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 GUÍA METODOLÓGICA DETALLADA</w:t>
      </w:r>
    </w:p>
    <w:p>
      <w:pPr>
        <w:pStyle w:val="Heading2"/>
        <w:keepNext/>
        <w:keepLines/>
      </w:pPr>
      <w:r>
        <w:rPr>
          <w:color w:val="0066CC"/>
        </w:rPr>
        <w:t>Encuesta MSS — Indicadores y Métricas de Servicios de Seguridad Gestionados</w:t>
      </w:r>
    </w:p>
    <w:p>
      <w:pPr>
        <w:pStyle w:val="Heading3"/>
        <w:keepNext/>
        <w:keepLines/>
      </w:pPr>
      <w:r>
        <w:t>Fundamentos, Diseño, Aplicación y Análisis</w:t>
      </w:r>
    </w:p>
    <w:p>
      <w:pPr>
        <w:pStyle w:val="Heading4"/>
        <w:keepNext/>
        <w:keepLines/>
      </w:pPr>
      <w:r>
        <w:t>Versión 1.0 — Abril 2026</w:t>
      </w:r>
    </w:p>
    <w:p>
      <w:r>
        <w:rPr>
          <w:i/>
        </w:rPr>
        <w:t>"Una encuesta sin metodología es un sondeo de opinión con ínfulas científicas. Una metodología sin encuesta es una obra de teatro sin público. El éxito de esta herramienta reside en su matrimonio."</w:t>
      </w:r>
    </w:p>
    <w:p>
      <w:pPr>
        <w:pStyle w:val="Heading2"/>
        <w:keepNext/>
        <w:keepLines/>
      </w:pPr>
      <w:r>
        <w:rPr>
          <w:color w:val="0066CC"/>
        </w:rPr>
        <w:t>1. FUNDAMENTOS EPISTEMOLÓGICOS Y MARCO TEÓRICO</w:t>
      </w:r>
    </w:p>
    <w:p>
      <w:pPr>
        <w:pStyle w:val="Heading3"/>
        <w:keepNext/>
        <w:keepLines/>
      </w:pPr>
      <w:r>
        <w:t>1.1 Justificación de la Herramienta</w:t>
      </w:r>
    </w:p>
    <w:p>
      <w:r>
        <w:t>Esta encuesta responde a una necesidad documentada en múltiples marcos de referencia internacionales: la ausencia de herramientas de diagnóstico estandarizadas para la medición de la madurez en Servicios de Seguridad Gestionados (MSS) en el contexto regulatorio español y europeo.</w:t>
      </w:r>
    </w:p>
    <w:p>
      <w:r>
        <w:t>El análisis de mercado MSS de ENISA (junio 2025) identificó que solo el 24% de las organizaciones que contratan MSS logran negociar la selección y parametrización de métricas específicas en sus SLAs, mientras que del lado de los proveedores ese porcentaje cae a nivel estadísticamente insignificante. Esta asimetría de información entre demanda y oferta genera un mercado en el que los incentivos para la mejora son débiles y la comparabilidad entre proveedores es prácticamente inexistente.</w:t>
      </w:r>
    </w:p>
    <w:p>
      <w:r>
        <w:t>El ENISA Cybersecurity Market Analysis Framework (ECSMAF) V3.0 (marzo 2026), desarrollado conjuntamente con la Università Bocconi, establece las bases metodológicas para un observatorio permanente del mercado MSS en la UE, con modelo federado de análisis a escala nacional. Esta encuesta es coherente con ese marco.</w:t>
      </w:r>
    </w:p>
    <w:p>
      <w:pPr>
        <w:pStyle w:val="Heading3"/>
        <w:keepNext/>
        <w:keepLines/>
      </w:pPr>
      <w:r>
        <w:t>1.2 Bases Normativas de Referencia</w:t>
      </w:r>
    </w:p>
    <w:p>
      <w:r>
        <w:t>La encuesta se fundamenta en los siguientes marcos normativos y de buenas prácticas: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Marco</w:t>
            </w:r>
          </w:p>
        </w:tc>
        <w:tc>
          <w:tcPr>
            <w:tcW w:type="dxa" w:w="3120"/>
            <w:shd w:fill="0033CC"/>
          </w:tcPr>
          <w:p>
            <w:pPr>
              <w:keepLines w:val="1"/>
              <w:keepNext w:val="1"/>
            </w:pPr>
            <w:r>
              <w:rPr>
                <w:b/>
                <w:color w:val="FFFFFF"/>
              </w:rPr>
              <w:t>Ámbito</w:t>
            </w:r>
          </w:p>
        </w:tc>
        <w:tc>
          <w:tcPr>
            <w:tcW w:type="dxa" w:w="3120"/>
            <w:shd w:fill="0033CC"/>
          </w:tcPr>
          <w:p>
            <w:pPr>
              <w:keepLines w:val="1"/>
              <w:keepNext w:val="1"/>
            </w:pPr>
            <w:r>
              <w:rPr>
                <w:b/>
                <w:color w:val="FFFFFF"/>
              </w:rPr>
              <w:t>Elementos incorporados en la encuesta</w:t>
            </w:r>
          </w:p>
        </w:tc>
      </w:tr>
      <w:tr>
        <w:trPr>
          <w:cantSplit w:val="1"/>
        </w:trPr>
        <w:tc>
          <w:tcPr>
            <w:tcW w:type="dxa" w:w="3120"/>
          </w:tcPr>
          <w:p>
            <w:pPr>
              <w:keepLines w:val="1"/>
              <w:keepNext w:val="1"/>
            </w:pPr>
            <w:r>
              <w:t>Reglamento (UE) 2025/37</w:t>
            </w:r>
          </w:p>
        </w:tc>
        <w:tc>
          <w:tcPr>
            <w:tcW w:type="dxa" w:w="3120"/>
          </w:tcPr>
          <w:p>
            <w:pPr>
              <w:keepLines w:val="1"/>
              <w:keepNext w:val="1"/>
            </w:pPr>
            <w:r>
              <w:t>Definición formal de MSS</w:t>
            </w:r>
          </w:p>
        </w:tc>
        <w:tc>
          <w:tcPr>
            <w:tcW w:type="dxa" w:w="3120"/>
          </w:tcPr>
          <w:p>
            <w:pPr>
              <w:keepLines w:val="1"/>
              <w:keepNext w:val="1"/>
            </w:pPr>
            <w:r>
              <w:t>Taxonomía de servicios, requisitos de certificación EUMSS</w:t>
            </w:r>
          </w:p>
        </w:tc>
      </w:tr>
      <w:tr>
        <w:trPr>
          <w:cantSplit w:val="1"/>
        </w:trPr>
        <w:tc>
          <w:tcPr>
            <w:tcW w:type="dxa" w:w="3120"/>
          </w:tcPr>
          <w:p>
            <w:pPr>
              <w:keepLines w:val="1"/>
              <w:keepNext w:val="1"/>
            </w:pPr>
            <w:r>
              <w:t>Directiva NIS2 (UE) 2022/2555</w:t>
            </w:r>
          </w:p>
        </w:tc>
        <w:tc>
          <w:tcPr>
            <w:tcW w:type="dxa" w:w="3120"/>
          </w:tcPr>
          <w:p>
            <w:pPr>
              <w:keepLines w:val="1"/>
              <w:keepNext w:val="1"/>
            </w:pPr>
            <w:r>
              <w:t>Seguridad de redes y sistemas</w:t>
            </w:r>
          </w:p>
        </w:tc>
        <w:tc>
          <w:tcPr>
            <w:tcW w:type="dxa" w:w="3120"/>
          </w:tcPr>
          <w:p>
            <w:pPr>
              <w:keepLines w:val="1"/>
              <w:keepNext w:val="1"/>
            </w:pPr>
            <w:r>
              <w:t>Plazos de notificación, requisitos de gobernanza, formación directiva</w:t>
            </w:r>
          </w:p>
        </w:tc>
      </w:tr>
      <w:tr>
        <w:trPr>
          <w:cantSplit w:val="1"/>
        </w:trPr>
        <w:tc>
          <w:tcPr>
            <w:tcW w:type="dxa" w:w="3120"/>
          </w:tcPr>
          <w:p>
            <w:pPr>
              <w:keepLines w:val="1"/>
              <w:keepNext w:val="1"/>
            </w:pPr>
            <w:r>
              <w:t>Anteproyecto Ley Gobernanza Ciberseguridad (España, enero 2025)</w:t>
            </w:r>
          </w:p>
        </w:tc>
        <w:tc>
          <w:tcPr>
            <w:tcW w:type="dxa" w:w="3120"/>
          </w:tcPr>
          <w:p>
            <w:pPr>
              <w:keepLines w:val="1"/>
              <w:keepNext w:val="1"/>
            </w:pPr>
            <w:r>
              <w:t>Marco nacional</w:t>
            </w:r>
          </w:p>
        </w:tc>
        <w:tc>
          <w:tcPr>
            <w:tcW w:type="dxa" w:w="3120"/>
          </w:tcPr>
          <w:p>
            <w:pPr>
              <w:keepLines w:val="1"/>
              <w:keepNext w:val="1"/>
            </w:pPr>
            <w:r>
              <w:t>CNCS, clasificación entidades, obligaciones</w:t>
            </w:r>
          </w:p>
        </w:tc>
      </w:tr>
      <w:tr>
        <w:trPr>
          <w:cantSplit w:val="1"/>
        </w:trPr>
        <w:tc>
          <w:tcPr>
            <w:tcW w:type="dxa" w:w="3120"/>
          </w:tcPr>
          <w:p>
            <w:pPr>
              <w:keepLines w:val="1"/>
              <w:keepNext w:val="1"/>
            </w:pPr>
            <w:r>
              <w:t>ENS RD 311/2022</w:t>
            </w:r>
          </w:p>
        </w:tc>
        <w:tc>
          <w:tcPr>
            <w:tcW w:type="dxa" w:w="3120"/>
          </w:tcPr>
          <w:p>
            <w:pPr>
              <w:keepLines w:val="1"/>
              <w:keepNext w:val="1"/>
            </w:pPr>
            <w:r>
              <w:t>Administración Pública española</w:t>
            </w:r>
          </w:p>
        </w:tc>
        <w:tc>
          <w:tcPr>
            <w:tcW w:type="dxa" w:w="3120"/>
          </w:tcPr>
          <w:p>
            <w:pPr>
              <w:keepLines w:val="1"/>
              <w:keepNext w:val="1"/>
            </w:pPr>
            <w:r>
              <w:t>Categorías, controles, auditoría</w:t>
            </w:r>
          </w:p>
        </w:tc>
      </w:tr>
      <w:tr>
        <w:trPr>
          <w:cantSplit w:val="1"/>
        </w:trPr>
        <w:tc>
          <w:tcPr>
            <w:tcW w:type="dxa" w:w="3120"/>
          </w:tcPr>
          <w:p>
            <w:pPr>
              <w:keepLines w:val="1"/>
              <w:keepNext w:val="1"/>
            </w:pPr>
            <w:r>
              <w:t>DORA (UE) 2022/2554</w:t>
            </w:r>
          </w:p>
        </w:tc>
        <w:tc>
          <w:tcPr>
            <w:tcW w:type="dxa" w:w="3120"/>
          </w:tcPr>
          <w:p>
            <w:pPr>
              <w:keepLines w:val="1"/>
              <w:keepNext w:val="1"/>
            </w:pPr>
            <w:r>
              <w:t>Sector financiero</w:t>
            </w:r>
          </w:p>
        </w:tc>
        <w:tc>
          <w:tcPr>
            <w:tcW w:type="dxa" w:w="3120"/>
          </w:tcPr>
          <w:p>
            <w:pPr>
              <w:keepLines w:val="1"/>
              <w:keepNext w:val="1"/>
            </w:pPr>
            <w:r>
              <w:t>Resiliencia operativa digital, gestión de riesgos TIC de terceros</w:t>
            </w:r>
          </w:p>
        </w:tc>
      </w:tr>
      <w:tr>
        <w:trPr>
          <w:cantSplit w:val="1"/>
        </w:trPr>
        <w:tc>
          <w:tcPr>
            <w:tcW w:type="dxa" w:w="3120"/>
          </w:tcPr>
          <w:p>
            <w:pPr>
              <w:keepLines w:val="1"/>
              <w:keepNext w:val="1"/>
            </w:pPr>
            <w:r>
              <w:t>ISO/IEC 27001:2022</w:t>
            </w:r>
          </w:p>
        </w:tc>
        <w:tc>
          <w:tcPr>
            <w:tcW w:type="dxa" w:w="3120"/>
          </w:tcPr>
          <w:p>
            <w:pPr>
              <w:keepLines w:val="1"/>
              <w:keepNext w:val="1"/>
            </w:pPr>
            <w:r>
              <w:t>SGSI</w:t>
            </w:r>
          </w:p>
        </w:tc>
        <w:tc>
          <w:tcPr>
            <w:tcW w:type="dxa" w:w="3120"/>
          </w:tcPr>
          <w:p>
            <w:pPr>
              <w:keepLines w:val="1"/>
              <w:keepNext w:val="1"/>
            </w:pPr>
            <w:r>
              <w:t>Controles de seguridad, métricas de gestión</w:t>
            </w:r>
          </w:p>
        </w:tc>
      </w:tr>
      <w:tr>
        <w:trPr>
          <w:cantSplit w:val="1"/>
        </w:trPr>
        <w:tc>
          <w:tcPr>
            <w:tcW w:type="dxa" w:w="3120"/>
          </w:tcPr>
          <w:p>
            <w:pPr>
              <w:keepLines w:val="1"/>
              <w:keepNext w:val="1"/>
            </w:pPr>
            <w:r>
              <w:t>ISO/IEC 27004:2016</w:t>
            </w:r>
          </w:p>
        </w:tc>
        <w:tc>
          <w:tcPr>
            <w:tcW w:type="dxa" w:w="3120"/>
          </w:tcPr>
          <w:p>
            <w:pPr>
              <w:keepLines w:val="1"/>
              <w:keepNext w:val="1"/>
            </w:pPr>
            <w:r>
              <w:t>Monitorización y medición</w:t>
            </w:r>
          </w:p>
        </w:tc>
        <w:tc>
          <w:tcPr>
            <w:tcW w:type="dxa" w:w="3120"/>
          </w:tcPr>
          <w:p>
            <w:pPr>
              <w:keepLines w:val="1"/>
              <w:keepNext w:val="1"/>
            </w:pPr>
            <w:r>
              <w:t>Framework de métricas SGSI</w:t>
            </w:r>
          </w:p>
        </w:tc>
      </w:tr>
      <w:tr>
        <w:trPr>
          <w:cantSplit w:val="1"/>
        </w:trPr>
        <w:tc>
          <w:tcPr>
            <w:tcW w:type="dxa" w:w="3120"/>
          </w:tcPr>
          <w:p>
            <w:pPr>
              <w:keepLines w:val="1"/>
              <w:keepNext w:val="1"/>
            </w:pPr>
            <w:r>
              <w:t>NIST Cybersecurity Framework 2.0</w:t>
            </w:r>
          </w:p>
        </w:tc>
        <w:tc>
          <w:tcPr>
            <w:tcW w:type="dxa" w:w="3120"/>
          </w:tcPr>
          <w:p>
            <w:pPr>
              <w:keepLines w:val="1"/>
              <w:keepNext w:val="1"/>
            </w:pPr>
            <w:r>
              <w:t>Marco universal</w:t>
            </w:r>
          </w:p>
        </w:tc>
        <w:tc>
          <w:tcPr>
            <w:tcW w:type="dxa" w:w="3120"/>
          </w:tcPr>
          <w:p>
            <w:pPr>
              <w:keepLines w:val="1"/>
              <w:keepNext w:val="1"/>
            </w:pPr>
            <w:r>
              <w:t>Funciones: Govern, Identify, Protect, Detect, Respond, Recover</w:t>
            </w:r>
          </w:p>
        </w:tc>
      </w:tr>
      <w:tr>
        <w:trPr>
          <w:cantSplit w:val="1"/>
        </w:trPr>
        <w:tc>
          <w:tcPr>
            <w:tcW w:type="dxa" w:w="3120"/>
          </w:tcPr>
          <w:p>
            <w:pPr>
              <w:keepLines w:val="1"/>
              <w:keepNext w:val="1"/>
            </w:pPr>
            <w:r>
              <w:t>NIST SP 800-55</w:t>
            </w:r>
          </w:p>
        </w:tc>
        <w:tc>
          <w:tcPr>
            <w:tcW w:type="dxa" w:w="3120"/>
          </w:tcPr>
          <w:p>
            <w:pPr>
              <w:keepLines w:val="1"/>
              <w:keepNext w:val="1"/>
            </w:pPr>
            <w:r>
              <w:t>Métricas de seguridad</w:t>
            </w:r>
          </w:p>
        </w:tc>
        <w:tc>
          <w:tcPr>
            <w:tcW w:type="dxa" w:w="3120"/>
          </w:tcPr>
          <w:p>
            <w:pPr>
              <w:keepLines w:val="1"/>
              <w:keepNext w:val="1"/>
            </w:pPr>
            <w:r>
              <w:t>Taxonomía de indicadores de rendimiento</w:t>
            </w:r>
          </w:p>
        </w:tc>
      </w:tr>
      <w:tr>
        <w:trPr>
          <w:cantSplit w:val="1"/>
        </w:trPr>
        <w:tc>
          <w:tcPr>
            <w:tcW w:type="dxa" w:w="3120"/>
          </w:tcPr>
          <w:p>
            <w:pPr>
              <w:keepLines w:val="1"/>
              <w:keepNext w:val="1"/>
            </w:pPr>
            <w:r>
              <w:t>ENISA MSS Market Analysis (junio 2025)</w:t>
            </w:r>
          </w:p>
        </w:tc>
        <w:tc>
          <w:tcPr>
            <w:tcW w:type="dxa" w:w="3120"/>
          </w:tcPr>
          <w:p>
            <w:pPr>
              <w:keepLines w:val="1"/>
              <w:keepNext w:val="1"/>
            </w:pPr>
            <w:r>
              <w:t>Mercado europeo MSS</w:t>
            </w:r>
          </w:p>
        </w:tc>
        <w:tc>
          <w:tcPr>
            <w:tcW w:type="dxa" w:w="3120"/>
          </w:tcPr>
          <w:p>
            <w:pPr>
              <w:keepLines w:val="1"/>
              <w:keepNext w:val="1"/>
            </w:pPr>
            <w:r>
              <w:t>Brechas de oferta-demanda, indicadores de mercado</w:t>
            </w:r>
          </w:p>
        </w:tc>
      </w:tr>
      <w:tr>
        <w:trPr>
          <w:cantSplit w:val="1"/>
        </w:trPr>
        <w:tc>
          <w:tcPr>
            <w:tcW w:type="dxa" w:w="3120"/>
          </w:tcPr>
          <w:p>
            <w:pPr>
              <w:keepLines w:val="1"/>
              <w:keepNext w:val="1"/>
            </w:pPr>
            <w:r>
              <w:t>ENISA ECSMAF V3.0 (marzo 2026)</w:t>
            </w:r>
          </w:p>
        </w:tc>
        <w:tc>
          <w:tcPr>
            <w:tcW w:type="dxa" w:w="3120"/>
          </w:tcPr>
          <w:p>
            <w:pPr>
              <w:keepLines w:val="1"/>
              <w:keepNext w:val="1"/>
            </w:pPr>
            <w:r>
              <w:t>Metodología análisis mercado</w:t>
            </w:r>
          </w:p>
        </w:tc>
        <w:tc>
          <w:tcPr>
            <w:tcW w:type="dxa" w:w="3120"/>
          </w:tcPr>
          <w:p>
            <w:pPr>
              <w:keepLines w:val="1"/>
              <w:keepNext w:val="1"/>
            </w:pPr>
            <w:r>
              <w:t>Dimensiones de análisis, encuesta federada</w:t>
            </w:r>
          </w:p>
        </w:tc>
      </w:tr>
      <w:tr>
        <w:trPr>
          <w:cantSplit w:val="1"/>
        </w:trPr>
        <w:tc>
          <w:tcPr>
            <w:tcW w:type="dxa" w:w="3120"/>
          </w:tcPr>
          <w:p>
            <w:pPr>
              <w:keepLines w:val="1"/>
              <w:keepNext w:val="1"/>
            </w:pPr>
            <w:r>
              <w:t>ENISA Threat Landscape 2025</w:t>
            </w:r>
          </w:p>
        </w:tc>
        <w:tc>
          <w:tcPr>
            <w:tcW w:type="dxa" w:w="3120"/>
          </w:tcPr>
          <w:p>
            <w:pPr>
              <w:keepLines w:val="1"/>
              <w:keepNext w:val="1"/>
            </w:pPr>
            <w:r>
              <w:t>Paisaje de amenazas</w:t>
            </w:r>
          </w:p>
        </w:tc>
        <w:tc>
          <w:tcPr>
            <w:tcW w:type="dxa" w:w="3120"/>
          </w:tcPr>
          <w:p>
            <w:pPr>
              <w:keepLines w:val="1"/>
              <w:keepNext w:val="1"/>
            </w:pPr>
            <w:r>
              <w:t>Vectores, sectores objetivo, estadísticas de incidentes</w:t>
            </w:r>
          </w:p>
        </w:tc>
      </w:tr>
      <w:tr>
        <w:trPr>
          <w:cantSplit w:val="1"/>
        </w:trPr>
        <w:tc>
          <w:tcPr>
            <w:tcW w:type="dxa" w:w="3120"/>
          </w:tcPr>
          <w:p>
            <w:pPr>
              <w:keepLines w:val="1"/>
              <w:keepNext w:val="1"/>
            </w:pPr>
            <w:r>
              <w:t>Balance INCIBE 2025</w:t>
            </w:r>
          </w:p>
        </w:tc>
        <w:tc>
          <w:tcPr>
            <w:tcW w:type="dxa" w:w="3120"/>
          </w:tcPr>
          <w:p>
            <w:pPr>
              <w:keepLines w:val="1"/>
              <w:keepNext w:val="1"/>
            </w:pPr>
            <w:r>
              <w:t>Contexto nacional</w:t>
            </w:r>
          </w:p>
        </w:tc>
        <w:tc>
          <w:tcPr>
            <w:tcW w:type="dxa" w:w="3120"/>
          </w:tcPr>
          <w:p>
            <w:pPr>
              <w:keepLines w:val="1"/>
              <w:keepNext w:val="1"/>
            </w:pPr>
            <w:r>
              <w:t>Estadísticas nacionales de incidentes</w:t>
            </w:r>
          </w:p>
        </w:tc>
      </w:tr>
      <w:tr>
        <w:trPr>
          <w:cantSplit w:val="1"/>
        </w:trPr>
        <w:tc>
          <w:tcPr>
            <w:tcW w:type="dxa" w:w="3120"/>
          </w:tcPr>
          <w:p>
            <w:pPr>
              <w:keepLines w:val="1"/>
            </w:pPr>
            <w:r>
              <w:t>CAS Research Paper on Cyber Risk (junio 2025)</w:t>
            </w:r>
          </w:p>
        </w:tc>
        <w:tc>
          <w:tcPr>
            <w:tcW w:type="dxa" w:w="3120"/>
          </w:tcPr>
          <w:p>
            <w:pPr>
              <w:keepLines w:val="1"/>
            </w:pPr>
            <w:r>
              <w:t>Actuarial</w:t>
            </w:r>
          </w:p>
        </w:tc>
        <w:tc>
          <w:tcPr>
            <w:tcW w:type="dxa" w:w="3120"/>
          </w:tcPr>
          <w:p>
            <w:pPr>
              <w:keepLines w:val="1"/>
            </w:pPr>
            <w:r>
              <w:t>CRQ, cuantificación, escenarios de estrés</w:t>
            </w:r>
          </w:p>
        </w:tc>
      </w:tr>
    </w:tbl>
    <w:p/>
    <w:p>
      <w:pPr>
        <w:pStyle w:val="Heading2"/>
        <w:keepNext/>
        <w:keepLines/>
      </w:pPr>
      <w:r>
        <w:rPr>
          <w:color w:val="0066CC"/>
        </w:rPr>
        <w:t>2. DISEÑO METODOLÓGICO DE LA ENCUESTA</w:t>
      </w:r>
    </w:p>
    <w:p>
      <w:pPr>
        <w:pStyle w:val="Heading3"/>
        <w:keepNext/>
        <w:keepLines/>
      </w:pPr>
      <w:r>
        <w:t>2.1 Tipo de Instrumento</w:t>
      </w:r>
    </w:p>
    <w:p>
      <w:r>
        <w:t xml:space="preserve">La encuesta es un instrumento de </w:t>
      </w:r>
      <w:r>
        <w:rPr>
          <w:b/>
        </w:rPr>
        <w:t>diagnóstico mixto</w:t>
      </w:r>
      <w:r>
        <w:t xml:space="preserve"> que combina:</w:t>
      </w:r>
    </w:p>
    <w:p>
      <w:pPr>
        <w:pStyle w:val="ListBullet"/>
        <w:keepLines w:val="1"/>
        <w:keepNext w:val="1"/>
        <w:widowControl w:val="1"/>
      </w:pPr>
      <w:r>
        <w:t>Preguntas de opción múltiple única (P0.1, P0.2…): Para datos de perfil y categorización unívoca.</w:t>
      </w:r>
    </w:p>
    <w:p>
      <w:pPr>
        <w:pStyle w:val="ListBullet"/>
        <w:keepLines w:val="1"/>
        <w:keepNext w:val="1"/>
        <w:widowControl w:val="1"/>
      </w:pPr>
      <w:r>
        <w:t>Preguntas de opción múltiple múltiple (P2.4, P6.1…): Para capturar la diversidad de prácticas en paralelo.</w:t>
      </w:r>
    </w:p>
    <w:p>
      <w:pPr>
        <w:pStyle w:val="ListBullet"/>
        <w:keepLines w:val="1"/>
        <w:keepNext w:val="1"/>
        <w:widowControl w:val="1"/>
      </w:pPr>
      <w:r>
        <w:t>Escalas de autoevaluación de 5 niveles (P2.7, P12.1): Alineadas con el modelo CMM (Capability Maturity Model) aplicado a SOC y MSS.</w:t>
      </w:r>
    </w:p>
    <w:p>
      <w:pPr>
        <w:pStyle w:val="ListBullet"/>
        <w:keepLines w:val="1"/>
        <w:keepNext w:val="1"/>
        <w:widowControl w:val="1"/>
      </w:pPr>
      <w:r>
        <w:t>Preguntas de texto libre (P12.4): Para capturar matices cualitativos no anticipados.</w:t>
      </w:r>
    </w:p>
    <w:p>
      <w:pPr>
        <w:pStyle w:val="ListBullet"/>
        <w:keepLines w:val="1"/>
        <w:widowControl w:val="1"/>
      </w:pPr>
      <w:r>
        <w:t>Preguntas de rango cuantitativo (P3.2, P3.4, P3.5…): Para obtener aproximaciones a métricas reales incluso cuando no existe medición formal.</w:t>
      </w:r>
    </w:p>
    <w:p>
      <w:pPr>
        <w:pStyle w:val="Heading3"/>
        <w:keepNext/>
        <w:keepLines/>
      </w:pPr>
      <w:r>
        <w:t>2.2 Estructura de Bloques y Lógica de Navegación</w:t>
      </w:r>
    </w:p>
    <w:p>
      <w:r>
        <w:t>La encuesta se organiza en 13 bloques (B0 a B12) con lógica de salto condicional:</w:t>
      </w:r>
    </w:p>
    <w:p>
      <w:pPr>
        <w:pStyle w:val="NoSpacing"/>
        <w:keepLines/>
        <w:shd w:fill="F5F5F5"/>
      </w:pPr>
      <w:r>
        <w:rPr>
          <w:rFonts w:ascii="Courier New" w:hAnsi="Courier New"/>
          <w:sz w:val="18"/>
        </w:rPr>
        <w:t>B0 (Perfil) → TODOS los respondentes</w:t>
        <w:br/>
        <w:t>B1 (Gobierno) → TODOS los respondentes</w:t>
        <w:br/>
        <w:t>B2 (Modelo MSS) → TODOS los respondentes</w:t>
        <w:br/>
        <w:t>B3 (Indicadores operativos) → Si P2.1 ≠ "Sin modelo definido"</w:t>
        <w:br/>
        <w:t>B4 (Cumplimiento) → TODOS los respondentes</w:t>
        <w:br/>
        <w:t>B5 (Resiliencia) → TODOS los respondentes</w:t>
        <w:br/>
        <w:t>B6 (Tecnología) → TODOS los respondentes</w:t>
        <w:br/>
        <w:t>B7 (Capital humano) → TODOS los respondentes</w:t>
        <w:br/>
        <w:t>B8 (CTI) → Si P2.1 incluye MSS externo O SOC interno</w:t>
        <w:br/>
        <w:t>B9 (Impacto financiero) → TODOS los respondentes</w:t>
        <w:br/>
        <w:t>B10 (Tecnologías emergentes) → TODOS los respondentes</w:t>
        <w:br/>
        <w:t>B11 (Soberanía digital) → Si P0.3 = Nacional/Europeo/Global</w:t>
        <w:br/>
        <w:t>B12 (Evaluación global) → TODOS los respondentes</w:t>
        <w:br/>
      </w:r>
    </w:p>
    <w:p>
      <w:r>
        <w:rPr>
          <w:b/>
        </w:rPr>
        <w:t>Total de preguntas:</w:t>
      </w:r>
      <w:r>
        <w:t xml:space="preserve"> 55 preguntas principales + subitems opcionales.</w:t>
      </w:r>
      <w:r/>
      <w:r>
        <w:br/>
      </w:r>
      <w:r>
        <w:rPr>
          <w:b/>
        </w:rPr>
        <w:t>Preguntas núcleo (no omisibles):</w:t>
      </w:r>
      <w:r>
        <w:t xml:space="preserve"> 28 preguntas marcadas como obligatorias.</w:t>
      </w:r>
      <w:r/>
      <w:r>
        <w:br/>
      </w:r>
      <w:r>
        <w:rPr>
          <w:b/>
        </w:rPr>
        <w:t>Tiempo estimado de respuesta:</w:t>
      </w:r>
      <w:r>
        <w:t xml:space="preserve"> 25-45 minutos.</w:t>
      </w:r>
    </w:p>
    <w:p>
      <w:pPr>
        <w:pStyle w:val="Heading3"/>
        <w:keepNext/>
        <w:keepLines/>
      </w:pPr>
      <w:r>
        <w:t>2.3 Validez y Fiabilidad del Instrumento</w:t>
      </w:r>
    </w:p>
    <w:p>
      <w:r>
        <w:rPr>
          <w:b/>
        </w:rPr>
        <w:t>Validez de contenido:</w:t>
      </w:r>
      <w:r>
        <w:t xml:space="preserve"> El instrumento fue diseñado mediante el proceso de revisión de litertura de los marcos normativos y estudios de referencia listados en la Sección 1.2. Cada pregunta mapa a uno o más requisitos normativos documentados (ver documento (d) Mapeo Normativo).</w:t>
      </w:r>
    </w:p>
    <w:p>
      <w:r>
        <w:rPr>
          <w:b/>
        </w:rPr>
        <w:t>Validez de constructo:</w:t>
      </w:r>
      <w:r>
        <w:t xml:space="preserve"> La agrupación en 5 pilares del Índice IGM-MSS (ver Sección 4) refleja la estructura del NIST CSF 2.0 y los dominios de análisis del ECSMAF V3.0 de ENISA.</w:t>
      </w:r>
    </w:p>
    <w:p>
      <w:r>
        <w:rPr>
          <w:b/>
        </w:rPr>
        <w:t>Fiabilidad test-retest:</w:t>
      </w:r>
      <w:r>
        <w:t xml:space="preserve"> Se recomienda la aplicación del coeficiente alpha de Cronbach para bloques de escala (B1, B6, B7) una vez acumulados al menos 30 respondentes.</w:t>
      </w:r>
    </w:p>
    <w:p>
      <w:r>
        <w:rPr>
          <w:b/>
        </w:rPr>
        <w:t>Sesgo de respuesta social:</w:t>
      </w:r>
      <w:r>
        <w:t xml:space="preserve"> El diseño de opciones incluye deliberadamente respuestas «honestas pero desfavorables» descritas con lenguaje literario no peyorativo, para reducir el sesgo hacia respuestas socialmente deseables. Ejemplo: </w:t>
      </w:r>
      <w:r>
        <w:rPr>
          <w:i/>
        </w:rPr>
        <w:t>"Confiamos en la resiliencia natural de la organización, que en los últimos años ha demostrado ser sorprendentemente frágil"</w:t>
      </w:r>
      <w:r>
        <w:t xml:space="preserve"> (P5.1).</w:t>
      </w:r>
    </w:p>
    <w:p>
      <w:pPr>
        <w:pStyle w:val="Heading2"/>
        <w:keepNext/>
        <w:keepLines/>
      </w:pPr>
      <w:r>
        <w:rPr>
          <w:color w:val="0066CC"/>
        </w:rPr>
        <w:t>3. PERFIL DE RESPONDENTES Y PROTOCOLO DE ADMINISTRACIÓN</w:t>
      </w:r>
    </w:p>
    <w:p>
      <w:pPr>
        <w:pStyle w:val="Heading3"/>
        <w:keepNext/>
        <w:keepLines/>
      </w:pPr>
      <w:r>
        <w:t>3.1 Respondentes Objetivo</w:t>
      </w:r>
    </w:p>
    <w:p>
      <w:r>
        <w:t xml:space="preserve">La encuesta está diseñada para ser respondida por </w:t>
      </w:r>
      <w:r>
        <w:rPr>
          <w:b/>
        </w:rPr>
        <w:t>uno o varios de los siguientes perfiles</w:t>
      </w:r>
      <w:r>
        <w:t xml:space="preserve"> en cada organización:</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Perfil</w:t>
            </w:r>
          </w:p>
        </w:tc>
        <w:tc>
          <w:tcPr>
            <w:tcW w:type="dxa" w:w="3120"/>
            <w:shd w:fill="0033CC"/>
          </w:tcPr>
          <w:p>
            <w:pPr>
              <w:keepLines w:val="1"/>
              <w:keepNext w:val="1"/>
            </w:pPr>
            <w:r>
              <w:rPr>
                <w:b/>
                <w:color w:val="FFFFFF"/>
              </w:rPr>
              <w:t>Bloques de máxima relevancia</w:t>
            </w:r>
          </w:p>
        </w:tc>
        <w:tc>
          <w:tcPr>
            <w:tcW w:type="dxa" w:w="3120"/>
            <w:shd w:fill="0033CC"/>
          </w:tcPr>
          <w:p>
            <w:pPr>
              <w:keepLines w:val="1"/>
              <w:keepNext w:val="1"/>
            </w:pPr>
            <w:r>
              <w:rPr>
                <w:b/>
                <w:color w:val="FFFFFF"/>
              </w:rPr>
              <w:t>Conocimiento requerido</w:t>
            </w:r>
          </w:p>
        </w:tc>
      </w:tr>
      <w:tr>
        <w:trPr>
          <w:cantSplit w:val="1"/>
        </w:trPr>
        <w:tc>
          <w:tcPr>
            <w:tcW w:type="dxa" w:w="3120"/>
          </w:tcPr>
          <w:p>
            <w:pPr>
              <w:keepLines w:val="1"/>
              <w:keepNext w:val="1"/>
            </w:pPr>
            <w:r>
              <w:t>CISO / Responsable de Seguridad</w:t>
            </w:r>
          </w:p>
        </w:tc>
        <w:tc>
          <w:tcPr>
            <w:tcW w:type="dxa" w:w="3120"/>
          </w:tcPr>
          <w:p>
            <w:pPr>
              <w:keepLines w:val="1"/>
              <w:keepNext w:val="1"/>
            </w:pPr>
            <w:r>
              <w:t>Todos (B0–B12)</w:t>
            </w:r>
          </w:p>
        </w:tc>
        <w:tc>
          <w:tcPr>
            <w:tcW w:type="dxa" w:w="3120"/>
          </w:tcPr>
          <w:p>
            <w:pPr>
              <w:keepLines w:val="1"/>
              <w:keepNext w:val="1"/>
            </w:pPr>
            <w:r>
              <w:t>Alto en todos los bloques</w:t>
            </w:r>
          </w:p>
        </w:tc>
      </w:tr>
      <w:tr>
        <w:trPr>
          <w:cantSplit w:val="1"/>
        </w:trPr>
        <w:tc>
          <w:tcPr>
            <w:tcW w:type="dxa" w:w="3120"/>
          </w:tcPr>
          <w:p>
            <w:pPr>
              <w:keepLines w:val="1"/>
              <w:keepNext w:val="1"/>
            </w:pPr>
            <w:r>
              <w:t>CTO / CIO</w:t>
            </w:r>
          </w:p>
        </w:tc>
        <w:tc>
          <w:tcPr>
            <w:tcW w:type="dxa" w:w="3120"/>
          </w:tcPr>
          <w:p>
            <w:pPr>
              <w:keepLines w:val="1"/>
              <w:keepNext w:val="1"/>
            </w:pPr>
            <w:r>
              <w:t>B0, B1, B2, B6, B7, B9, B12</w:t>
            </w:r>
          </w:p>
        </w:tc>
        <w:tc>
          <w:tcPr>
            <w:tcW w:type="dxa" w:w="3120"/>
          </w:tcPr>
          <w:p>
            <w:pPr>
              <w:keepLines w:val="1"/>
              <w:keepNext w:val="1"/>
            </w:pPr>
            <w:r>
              <w:t>Alto técnico, medio regulatorio</w:t>
            </w:r>
          </w:p>
        </w:tc>
      </w:tr>
      <w:tr>
        <w:trPr>
          <w:cantSplit w:val="1"/>
        </w:trPr>
        <w:tc>
          <w:tcPr>
            <w:tcW w:type="dxa" w:w="3120"/>
          </w:tcPr>
          <w:p>
            <w:pPr>
              <w:keepLines w:val="1"/>
              <w:keepNext w:val="1"/>
            </w:pPr>
            <w:r>
              <w:t>Director/a de Riesgos / Compliance</w:t>
            </w:r>
          </w:p>
        </w:tc>
        <w:tc>
          <w:tcPr>
            <w:tcW w:type="dxa" w:w="3120"/>
          </w:tcPr>
          <w:p>
            <w:pPr>
              <w:keepLines w:val="1"/>
              <w:keepNext w:val="1"/>
            </w:pPr>
            <w:r>
              <w:t>B0, B1, B4, B5, B9, B11, B12</w:t>
            </w:r>
          </w:p>
        </w:tc>
        <w:tc>
          <w:tcPr>
            <w:tcW w:type="dxa" w:w="3120"/>
          </w:tcPr>
          <w:p>
            <w:pPr>
              <w:keepLines w:val="1"/>
              <w:keepNext w:val="1"/>
            </w:pPr>
            <w:r>
              <w:t>Alto normativo, medio técnico</w:t>
            </w:r>
          </w:p>
        </w:tc>
      </w:tr>
      <w:tr>
        <w:trPr>
          <w:cantSplit w:val="1"/>
        </w:trPr>
        <w:tc>
          <w:tcPr>
            <w:tcW w:type="dxa" w:w="3120"/>
          </w:tcPr>
          <w:p>
            <w:pPr>
              <w:keepLines w:val="1"/>
              <w:keepNext w:val="1"/>
            </w:pPr>
            <w:r>
              <w:t>Responsable de SOC</w:t>
            </w:r>
          </w:p>
        </w:tc>
        <w:tc>
          <w:tcPr>
            <w:tcW w:type="dxa" w:w="3120"/>
          </w:tcPr>
          <w:p>
            <w:pPr>
              <w:keepLines w:val="1"/>
              <w:keepNext w:val="1"/>
            </w:pPr>
            <w:r>
              <w:t>B3, B6, B7, B8, B10</w:t>
            </w:r>
          </w:p>
        </w:tc>
        <w:tc>
          <w:tcPr>
            <w:tcW w:type="dxa" w:w="3120"/>
          </w:tcPr>
          <w:p>
            <w:pPr>
              <w:keepLines w:val="1"/>
              <w:keepNext w:val="1"/>
            </w:pPr>
            <w:r>
              <w:t>Alto técnico-operativo</w:t>
            </w:r>
          </w:p>
        </w:tc>
      </w:tr>
      <w:tr>
        <w:trPr>
          <w:cantSplit w:val="1"/>
        </w:trPr>
        <w:tc>
          <w:tcPr>
            <w:tcW w:type="dxa" w:w="3120"/>
          </w:tcPr>
          <w:p>
            <w:pPr>
              <w:keepLines w:val="1"/>
              <w:keepNext w:val="1"/>
            </w:pPr>
            <w:r>
              <w:t>Gestor/a de contratos MSS</w:t>
            </w:r>
          </w:p>
        </w:tc>
        <w:tc>
          <w:tcPr>
            <w:tcW w:type="dxa" w:w="3120"/>
          </w:tcPr>
          <w:p>
            <w:pPr>
              <w:keepLines w:val="1"/>
              <w:keepNext w:val="1"/>
            </w:pPr>
            <w:r>
              <w:t>B2, B3, B4</w:t>
            </w:r>
          </w:p>
        </w:tc>
        <w:tc>
          <w:tcPr>
            <w:tcW w:type="dxa" w:w="3120"/>
          </w:tcPr>
          <w:p>
            <w:pPr>
              <w:keepLines w:val="1"/>
              <w:keepNext w:val="1"/>
            </w:pPr>
            <w:r>
              <w:t>Medio-alto contractual</w:t>
            </w:r>
          </w:p>
        </w:tc>
      </w:tr>
      <w:tr>
        <w:trPr>
          <w:cantSplit w:val="1"/>
        </w:trPr>
        <w:tc>
          <w:tcPr>
            <w:tcW w:type="dxa" w:w="3120"/>
          </w:tcPr>
          <w:p>
            <w:pPr>
              <w:keepLines w:val="1"/>
            </w:pPr>
            <w:r>
              <w:t>Director/a General / COO</w:t>
            </w:r>
          </w:p>
        </w:tc>
        <w:tc>
          <w:tcPr>
            <w:tcW w:type="dxa" w:w="3120"/>
          </w:tcPr>
          <w:p>
            <w:pPr>
              <w:keepLines w:val="1"/>
            </w:pPr>
            <w:r>
              <w:t>B0, B1, B9, B12</w:t>
            </w:r>
          </w:p>
        </w:tc>
        <w:tc>
          <w:tcPr>
            <w:tcW w:type="dxa" w:w="3120"/>
          </w:tcPr>
          <w:p>
            <w:pPr>
              <w:keepLines w:val="1"/>
            </w:pPr>
            <w:r>
              <w:t>Estratégico, no técnico</w:t>
            </w:r>
          </w:p>
        </w:tc>
      </w:tr>
    </w:tbl>
    <w:p/>
    <w:p>
      <w:r>
        <w:rPr>
          <w:b/>
        </w:rPr>
        <w:t>Recomendación:</w:t>
      </w:r>
      <w:r>
        <w:t xml:space="preserve"> Para organizaciones de más de 250 empleados, se sugiere aplicación multi-respondente con la herramienta de reconciliación de respuestas incluida en la Plantilla Excel (documento e).</w:t>
      </w:r>
    </w:p>
    <w:p>
      <w:pPr>
        <w:pStyle w:val="Heading3"/>
        <w:keepNext/>
        <w:keepLines/>
      </w:pPr>
      <w:r>
        <w:t>3.2 Modalidades de Administración</w:t>
      </w:r>
    </w:p>
    <w:p>
      <w:r>
        <w:rPr>
          <w:b/>
        </w:rPr>
        <w:t>Modalidad A — Autoaplicación digital:</w:t>
      </w:r>
      <w:r/>
      <w:r>
        <w:br/>
        <w:t>- Formulario web (Google Forms, Microsoft Forms, Typeform o equivalente) con lógica de salto condicional.</w:t>
      </w:r>
      <w:r/>
      <w:r>
        <w:br/>
        <w:t>- Recomendada para estudios sectoriales y benchmarking.</w:t>
      </w:r>
      <w:r/>
      <w:r>
        <w:br/>
        <w:t>- Permite anonimización y exportación automática a CSV para procesamiento en la Plantilla Excel.</w:t>
      </w:r>
    </w:p>
    <w:p>
      <w:r>
        <w:rPr>
          <w:b/>
        </w:rPr>
        <w:t>Modalidad B — Entrevista guiada (presencial o videoconferencia):</w:t>
      </w:r>
      <w:r/>
      <w:r>
        <w:br/>
        <w:t>- Aplicación por consultor o investigador entrenado.</w:t>
      </w:r>
      <w:r/>
      <w:r>
        <w:br/>
        <w:t>- Permite explorar respuestas en profundidad y reducir el sesgo de incomprensión.</w:t>
      </w:r>
      <w:r/>
      <w:r>
        <w:br/>
        <w:t>- Recomendada para organizaciones de menos de 50 empleados donde el perfil CISO es inexistente.</w:t>
      </w:r>
      <w:r/>
      <w:r>
        <w:br/>
        <w:t>- Duración estimada: 60-90 minutos.</w:t>
      </w:r>
    </w:p>
    <w:p>
      <w:r>
        <w:rPr>
          <w:b/>
        </w:rPr>
        <w:t>Modalidad C — Taller de diagnóstico grupal:</w:t>
      </w:r>
      <w:r/>
      <w:r>
        <w:br/>
        <w:t>- Sesión de trabajo con múltiples responsables de la organización.</w:t>
      </w:r>
      <w:r/>
      <w:r>
        <w:br/>
        <w:t>- Facilita el consenso en respuestas donde los perfiles tienen perspectivas divergentes.</w:t>
      </w:r>
      <w:r/>
      <w:r>
        <w:br/>
        <w:t>- Especialmente útil para preguntas de B12 (evaluación estratégica).</w:t>
      </w:r>
      <w:r/>
      <w:r>
        <w:br/>
        <w:t>- Requiere facilitador externo para evitar sesgos de autoridad jerárquica.</w:t>
      </w:r>
    </w:p>
    <w:p>
      <w:pPr>
        <w:pStyle w:val="Heading3"/>
        <w:keepNext/>
        <w:keepLines/>
      </w:pPr>
      <w:r>
        <w:t>3.3 Protocolo de Anonimización y Protección de Datos</w:t>
      </w:r>
    </w:p>
    <w:p>
      <w:r>
        <w:t>La recogida y procesamiento de datos cumple con:</w:t>
      </w:r>
      <w:r/>
      <w:r>
        <w:br/>
        <w:t xml:space="preserve">- </w:t>
      </w:r>
      <w:r>
        <w:rPr>
          <w:b/>
        </w:rPr>
        <w:t>RGPD</w:t>
      </w:r>
      <w:r>
        <w:t xml:space="preserve"> (Reglamento UE 2016/679): Base legal de consentimiento informado o interés legítimo en estudios sectoriales.</w:t>
      </w:r>
      <w:r/>
      <w:r>
        <w:br/>
        <w:t xml:space="preserve">- </w:t>
      </w:r>
      <w:r>
        <w:rPr>
          <w:b/>
        </w:rPr>
        <w:t>LOPDGDD</w:t>
      </w:r>
      <w:r>
        <w:t xml:space="preserve"> (Ley Orgánica 3/2018): Normativa española de protección de datos personales.</w:t>
      </w:r>
    </w:p>
    <w:p>
      <w:r>
        <w:t>Principios aplicados:</w:t>
      </w:r>
      <w:r/>
      <w:r>
        <w:br/>
        <w:t xml:space="preserve">1. </w:t>
      </w:r>
      <w:r>
        <w:rPr>
          <w:b/>
        </w:rPr>
        <w:t>Minimización:</w:t>
      </w:r>
      <w:r>
        <w:t xml:space="preserve"> Solo se recogen datos necesarios para el cálculo del IGM-MSS y benchmarking sectorial.</w:t>
      </w:r>
      <w:r/>
      <w:r>
        <w:br/>
        <w:t xml:space="preserve">2. </w:t>
      </w:r>
      <w:r>
        <w:rPr>
          <w:b/>
        </w:rPr>
        <w:t>Seudonimización:</w:t>
      </w:r>
      <w:r>
        <w:t xml:space="preserve"> Los identificadores organizacionales se sustituyen por códigos internos antes del análisis.</w:t>
      </w:r>
      <w:r/>
      <w:r>
        <w:br/>
        <w:t xml:space="preserve">3. </w:t>
      </w:r>
      <w:r>
        <w:rPr>
          <w:b/>
        </w:rPr>
        <w:t>Separación:</w:t>
      </w:r>
      <w:r>
        <w:t xml:space="preserve"> Los datos de contacto se almacenan separados de las respuestas.</w:t>
      </w:r>
      <w:r/>
      <w:r>
        <w:br/>
        <w:t xml:space="preserve">4. </w:t>
      </w:r>
      <w:r>
        <w:rPr>
          <w:b/>
        </w:rPr>
        <w:t>Derecho de acceso y rectificación:</w:t>
      </w:r>
      <w:r>
        <w:t xml:space="preserve"> Disponible durante los 12 meses posteriores a la respuesta.</w:t>
      </w:r>
    </w:p>
    <w:p>
      <w:pPr>
        <w:pStyle w:val="Heading2"/>
        <w:keepNext/>
        <w:keepLines/>
      </w:pPr>
      <w:r>
        <w:rPr>
          <w:color w:val="0066CC"/>
        </w:rPr>
        <w:t>4. EL ÍNDICE DE MADUREZ GLOBAL MSS (IGM-MSS)</w:t>
      </w:r>
    </w:p>
    <w:p>
      <w:pPr>
        <w:pStyle w:val="Heading3"/>
        <w:keepNext/>
        <w:keepLines/>
      </w:pPr>
      <w:r>
        <w:t>4.1 Definición y Estructura</w:t>
      </w:r>
    </w:p>
    <w:p>
      <w:r>
        <w:t>El IGM-MSS es un indicador compuesto que sintetiza el nivel de madurez de la organización en ciberseguridad gestionada en una escala de 0 a 100 puntos, articulada en 5 pilares:</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Pilar</w:t>
            </w:r>
          </w:p>
        </w:tc>
        <w:tc>
          <w:tcPr>
            <w:tcW w:type="dxa" w:w="2340"/>
            <w:shd w:fill="0033CC"/>
          </w:tcPr>
          <w:p>
            <w:pPr>
              <w:keepLines w:val="1"/>
              <w:keepNext w:val="1"/>
            </w:pPr>
            <w:r>
              <w:rPr>
                <w:b/>
                <w:color w:val="FFFFFF"/>
              </w:rPr>
              <w:t>Preguntas asociadas</w:t>
            </w:r>
          </w:p>
        </w:tc>
        <w:tc>
          <w:tcPr>
            <w:tcW w:type="dxa" w:w="2340"/>
            <w:shd w:fill="0033CC"/>
          </w:tcPr>
          <w:p>
            <w:pPr>
              <w:keepLines w:val="1"/>
              <w:keepNext w:val="1"/>
            </w:pPr>
            <w:r>
              <w:rPr>
                <w:b/>
                <w:color w:val="FFFFFF"/>
              </w:rPr>
              <w:t>Ponderación</w:t>
            </w:r>
          </w:p>
        </w:tc>
        <w:tc>
          <w:tcPr>
            <w:tcW w:type="dxa" w:w="2340"/>
            <w:shd w:fill="0033CC"/>
          </w:tcPr>
          <w:p>
            <w:pPr>
              <w:keepLines w:val="1"/>
              <w:keepNext w:val="1"/>
            </w:pPr>
            <w:r>
              <w:rPr>
                <w:b/>
                <w:color w:val="FFFFFF"/>
              </w:rPr>
              <w:t>Descripción</w:t>
            </w:r>
          </w:p>
        </w:tc>
      </w:tr>
      <w:tr>
        <w:trPr>
          <w:cantSplit w:val="1"/>
        </w:trPr>
        <w:tc>
          <w:tcPr>
            <w:tcW w:type="dxa" w:w="2340"/>
          </w:tcPr>
          <w:p>
            <w:pPr>
              <w:keepLines w:val="1"/>
              <w:keepNext w:val="1"/>
            </w:pPr>
            <w:r>
              <w:t>P-I: Gobernanza y Estrategia</w:t>
            </w:r>
          </w:p>
        </w:tc>
        <w:tc>
          <w:tcPr>
            <w:tcW w:type="dxa" w:w="2340"/>
          </w:tcPr>
          <w:p>
            <w:pPr>
              <w:keepLines w:val="1"/>
              <w:keepNext w:val="1"/>
            </w:pPr>
            <w:r>
              <w:t>B1, B2 (parcial)</w:t>
            </w:r>
          </w:p>
        </w:tc>
        <w:tc>
          <w:tcPr>
            <w:tcW w:type="dxa" w:w="2340"/>
          </w:tcPr>
          <w:p>
            <w:pPr>
              <w:keepLines w:val="1"/>
              <w:keepNext w:val="1"/>
            </w:pPr>
            <w:r>
              <w:t>20%</w:t>
            </w:r>
          </w:p>
        </w:tc>
        <w:tc>
          <w:tcPr>
            <w:tcW w:type="dxa" w:w="2340"/>
          </w:tcPr>
          <w:p>
            <w:pPr>
              <w:keepLines w:val="1"/>
              <w:keepNext w:val="1"/>
            </w:pPr>
            <w:r>
              <w:t>Estructura de gobierno, estrategia, presupuesto, cultura</w:t>
            </w:r>
          </w:p>
        </w:tc>
      </w:tr>
      <w:tr>
        <w:trPr>
          <w:cantSplit w:val="1"/>
        </w:trPr>
        <w:tc>
          <w:tcPr>
            <w:tcW w:type="dxa" w:w="2340"/>
          </w:tcPr>
          <w:p>
            <w:pPr>
              <w:keepLines w:val="1"/>
              <w:keepNext w:val="1"/>
            </w:pPr>
            <w:r>
              <w:t>P-II: Detección y Respuesta Operativa</w:t>
            </w:r>
          </w:p>
        </w:tc>
        <w:tc>
          <w:tcPr>
            <w:tcW w:type="dxa" w:w="2340"/>
          </w:tcPr>
          <w:p>
            <w:pPr>
              <w:keepLines w:val="1"/>
              <w:keepNext w:val="1"/>
            </w:pPr>
            <w:r>
              <w:t>B3, B6 (parcial)</w:t>
            </w:r>
          </w:p>
        </w:tc>
        <w:tc>
          <w:tcPr>
            <w:tcW w:type="dxa" w:w="2340"/>
          </w:tcPr>
          <w:p>
            <w:pPr>
              <w:keepLines w:val="1"/>
              <w:keepNext w:val="1"/>
            </w:pPr>
            <w:r>
              <w:t>25%</w:t>
            </w:r>
          </w:p>
        </w:tc>
        <w:tc>
          <w:tcPr>
            <w:tcW w:type="dxa" w:w="2340"/>
          </w:tcPr>
          <w:p>
            <w:pPr>
              <w:keepLines w:val="1"/>
              <w:keepNext w:val="1"/>
            </w:pPr>
            <w:r>
              <w:t>MTTD, MTTC, MTTR, FPR, cobertura de activos</w:t>
            </w:r>
          </w:p>
        </w:tc>
      </w:tr>
      <w:tr>
        <w:trPr>
          <w:cantSplit w:val="1"/>
        </w:trPr>
        <w:tc>
          <w:tcPr>
            <w:tcW w:type="dxa" w:w="2340"/>
          </w:tcPr>
          <w:p>
            <w:pPr>
              <w:keepLines w:val="1"/>
              <w:keepNext w:val="1"/>
            </w:pPr>
            <w:r>
              <w:t>P-III: Cumplimiento y Gestión de Riesgos</w:t>
            </w:r>
          </w:p>
        </w:tc>
        <w:tc>
          <w:tcPr>
            <w:tcW w:type="dxa" w:w="2340"/>
          </w:tcPr>
          <w:p>
            <w:pPr>
              <w:keepLines w:val="1"/>
              <w:keepNext w:val="1"/>
            </w:pPr>
            <w:r>
              <w:t>B4, B11</w:t>
            </w:r>
          </w:p>
        </w:tc>
        <w:tc>
          <w:tcPr>
            <w:tcW w:type="dxa" w:w="2340"/>
          </w:tcPr>
          <w:p>
            <w:pPr>
              <w:keepLines w:val="1"/>
              <w:keepNext w:val="1"/>
            </w:pPr>
            <w:r>
              <w:t>20%</w:t>
            </w:r>
          </w:p>
        </w:tc>
        <w:tc>
          <w:tcPr>
            <w:tcW w:type="dxa" w:w="2340"/>
          </w:tcPr>
          <w:p>
            <w:pPr>
              <w:keepLines w:val="1"/>
              <w:keepNext w:val="1"/>
            </w:pPr>
            <w:r>
              <w:t>Cumplimiento regulatorio, TPRM, soberanía digital</w:t>
            </w:r>
          </w:p>
        </w:tc>
      </w:tr>
      <w:tr>
        <w:trPr>
          <w:cantSplit w:val="1"/>
        </w:trPr>
        <w:tc>
          <w:tcPr>
            <w:tcW w:type="dxa" w:w="2340"/>
          </w:tcPr>
          <w:p>
            <w:pPr>
              <w:keepLines w:val="1"/>
              <w:keepNext w:val="1"/>
            </w:pPr>
            <w:r>
              <w:t>P-IV: Resiliencia y Continuidad</w:t>
            </w:r>
          </w:p>
        </w:tc>
        <w:tc>
          <w:tcPr>
            <w:tcW w:type="dxa" w:w="2340"/>
          </w:tcPr>
          <w:p>
            <w:pPr>
              <w:keepLines w:val="1"/>
              <w:keepNext w:val="1"/>
            </w:pPr>
            <w:r>
              <w:t>B5, B7</w:t>
            </w:r>
          </w:p>
        </w:tc>
        <w:tc>
          <w:tcPr>
            <w:tcW w:type="dxa" w:w="2340"/>
          </w:tcPr>
          <w:p>
            <w:pPr>
              <w:keepLines w:val="1"/>
              <w:keepNext w:val="1"/>
            </w:pPr>
            <w:r>
              <w:t>15%</w:t>
            </w:r>
          </w:p>
        </w:tc>
        <w:tc>
          <w:tcPr>
            <w:tcW w:type="dxa" w:w="2340"/>
          </w:tcPr>
          <w:p>
            <w:pPr>
              <w:keepLines w:val="1"/>
              <w:keepNext w:val="1"/>
            </w:pPr>
            <w:r>
              <w:t>BCP, simulacros, recuperación, capital humano</w:t>
            </w:r>
          </w:p>
        </w:tc>
      </w:tr>
      <w:tr>
        <w:trPr>
          <w:cantSplit w:val="1"/>
        </w:trPr>
        <w:tc>
          <w:tcPr>
            <w:tcW w:type="dxa" w:w="2340"/>
          </w:tcPr>
          <w:p>
            <w:pPr>
              <w:keepLines w:val="1"/>
            </w:pPr>
            <w:r>
              <w:t>P-V: Tecnología y Madurez Emergente</w:t>
            </w:r>
          </w:p>
        </w:tc>
        <w:tc>
          <w:tcPr>
            <w:tcW w:type="dxa" w:w="2340"/>
          </w:tcPr>
          <w:p>
            <w:pPr>
              <w:keepLines w:val="1"/>
            </w:pPr>
            <w:r>
              <w:t>B6, B8, B9, B10</w:t>
            </w:r>
          </w:p>
        </w:tc>
        <w:tc>
          <w:tcPr>
            <w:tcW w:type="dxa" w:w="2340"/>
          </w:tcPr>
          <w:p>
            <w:pPr>
              <w:keepLines w:val="1"/>
            </w:pPr>
            <w:r>
              <w:t>20%</w:t>
            </w:r>
          </w:p>
        </w:tc>
        <w:tc>
          <w:tcPr>
            <w:tcW w:type="dxa" w:w="2340"/>
          </w:tcPr>
          <w:p>
            <w:pPr>
              <w:keepLines w:val="1"/>
            </w:pPr>
            <w:r>
              <w:t>CTI, PQC, IA, ROSI, ciberseguro</w:t>
            </w:r>
          </w:p>
        </w:tc>
      </w:tr>
    </w:tbl>
    <w:p/>
    <w:p>
      <w:r>
        <w:rPr>
          <w:b/>
        </w:rPr>
        <w:t>Puntuación total IGM-MSS:</w:t>
      </w:r>
    </w:p>
    <w:p>
      <w:pPr>
        <w:pStyle w:val="NoSpacing"/>
        <w:keepLines/>
        <w:shd w:fill="F5F5F5"/>
      </w:pPr>
      <w:r>
        <w:rPr>
          <w:rFonts w:ascii="Courier New" w:hAnsi="Courier New"/>
          <w:sz w:val="18"/>
        </w:rPr>
        <w:t>IGM-MSS = (P-I × 0.20) + (P-II × 0.25) + (P-III × 0.20) + (P-IV × 0.15) + (P-V × 0.20)</w:t>
        <w:br/>
      </w:r>
    </w:p>
    <w:p>
      <w:r>
        <w:t>Escala de interpretación:</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Rango IGM-MSS</w:t>
            </w:r>
          </w:p>
        </w:tc>
        <w:tc>
          <w:tcPr>
            <w:tcW w:type="dxa" w:w="3120"/>
            <w:shd w:fill="0033CC"/>
          </w:tcPr>
          <w:p>
            <w:pPr>
              <w:keepLines w:val="1"/>
              <w:keepNext w:val="1"/>
            </w:pPr>
            <w:r>
              <w:rPr>
                <w:b/>
                <w:color w:val="FFFFFF"/>
              </w:rPr>
              <w:t>Nivel de Madurez</w:t>
            </w:r>
          </w:p>
        </w:tc>
        <w:tc>
          <w:tcPr>
            <w:tcW w:type="dxa" w:w="3120"/>
            <w:shd w:fill="0033CC"/>
          </w:tcPr>
          <w:p>
            <w:pPr>
              <w:keepLines w:val="1"/>
              <w:keepNext w:val="1"/>
            </w:pPr>
            <w:r>
              <w:rPr>
                <w:b/>
                <w:color w:val="FFFFFF"/>
              </w:rPr>
              <w:t>Denominación CMM-SOC</w:t>
            </w:r>
          </w:p>
        </w:tc>
      </w:tr>
      <w:tr>
        <w:trPr>
          <w:cantSplit w:val="1"/>
        </w:trPr>
        <w:tc>
          <w:tcPr>
            <w:tcW w:type="dxa" w:w="3120"/>
          </w:tcPr>
          <w:p>
            <w:pPr>
              <w:keepLines w:val="1"/>
              <w:keepNext w:val="1"/>
            </w:pPr>
            <w:r>
              <w:t>0 – 20</w:t>
            </w:r>
          </w:p>
        </w:tc>
        <w:tc>
          <w:tcPr>
            <w:tcW w:type="dxa" w:w="3120"/>
          </w:tcPr>
          <w:p>
            <w:pPr>
              <w:keepLines w:val="1"/>
              <w:keepNext w:val="1"/>
            </w:pPr>
            <w:r>
              <w:t>Inicial</w:t>
            </w:r>
          </w:p>
        </w:tc>
        <w:tc>
          <w:tcPr>
            <w:tcW w:type="dxa" w:w="3120"/>
          </w:tcPr>
          <w:p>
            <w:pPr>
              <w:keepLines w:val="1"/>
              <w:keepNext w:val="1"/>
            </w:pPr>
            <w:r>
              <w:t>Nivel 1: Ad Hoc</w:t>
            </w:r>
          </w:p>
        </w:tc>
      </w:tr>
      <w:tr>
        <w:trPr>
          <w:cantSplit w:val="1"/>
        </w:trPr>
        <w:tc>
          <w:tcPr>
            <w:tcW w:type="dxa" w:w="3120"/>
          </w:tcPr>
          <w:p>
            <w:pPr>
              <w:keepLines w:val="1"/>
              <w:keepNext w:val="1"/>
            </w:pPr>
            <w:r>
              <w:t>21 – 40</w:t>
            </w:r>
          </w:p>
        </w:tc>
        <w:tc>
          <w:tcPr>
            <w:tcW w:type="dxa" w:w="3120"/>
          </w:tcPr>
          <w:p>
            <w:pPr>
              <w:keepLines w:val="1"/>
              <w:keepNext w:val="1"/>
            </w:pPr>
            <w:r>
              <w:t>Gestionado básico</w:t>
            </w:r>
          </w:p>
        </w:tc>
        <w:tc>
          <w:tcPr>
            <w:tcW w:type="dxa" w:w="3120"/>
          </w:tcPr>
          <w:p>
            <w:pPr>
              <w:keepLines w:val="1"/>
              <w:keepNext w:val="1"/>
            </w:pPr>
            <w:r>
              <w:t>Nivel 2: Reactivo</w:t>
            </w:r>
          </w:p>
        </w:tc>
      </w:tr>
      <w:tr>
        <w:trPr>
          <w:cantSplit w:val="1"/>
        </w:trPr>
        <w:tc>
          <w:tcPr>
            <w:tcW w:type="dxa" w:w="3120"/>
          </w:tcPr>
          <w:p>
            <w:pPr>
              <w:keepLines w:val="1"/>
              <w:keepNext w:val="1"/>
            </w:pPr>
            <w:r>
              <w:t>41 – 60</w:t>
            </w:r>
          </w:p>
        </w:tc>
        <w:tc>
          <w:tcPr>
            <w:tcW w:type="dxa" w:w="3120"/>
          </w:tcPr>
          <w:p>
            <w:pPr>
              <w:keepLines w:val="1"/>
              <w:keepNext w:val="1"/>
            </w:pPr>
            <w:r>
              <w:t>Definido</w:t>
            </w:r>
          </w:p>
        </w:tc>
        <w:tc>
          <w:tcPr>
            <w:tcW w:type="dxa" w:w="3120"/>
          </w:tcPr>
          <w:p>
            <w:pPr>
              <w:keepLines w:val="1"/>
              <w:keepNext w:val="1"/>
            </w:pPr>
            <w:r>
              <w:t>Nivel 3: Proactivo</w:t>
            </w:r>
          </w:p>
        </w:tc>
      </w:tr>
      <w:tr>
        <w:trPr>
          <w:cantSplit w:val="1"/>
        </w:trPr>
        <w:tc>
          <w:tcPr>
            <w:tcW w:type="dxa" w:w="3120"/>
          </w:tcPr>
          <w:p>
            <w:pPr>
              <w:keepLines w:val="1"/>
              <w:keepNext w:val="1"/>
            </w:pPr>
            <w:r>
              <w:t>61 – 80</w:t>
            </w:r>
          </w:p>
        </w:tc>
        <w:tc>
          <w:tcPr>
            <w:tcW w:type="dxa" w:w="3120"/>
          </w:tcPr>
          <w:p>
            <w:pPr>
              <w:keepLines w:val="1"/>
              <w:keepNext w:val="1"/>
            </w:pPr>
            <w:r>
              <w:t>Gestionado cuantitativamente</w:t>
            </w:r>
          </w:p>
        </w:tc>
        <w:tc>
          <w:tcPr>
            <w:tcW w:type="dxa" w:w="3120"/>
          </w:tcPr>
          <w:p>
            <w:pPr>
              <w:keepLines w:val="1"/>
              <w:keepNext w:val="1"/>
            </w:pPr>
            <w:r>
              <w:t>Nivel 4: Analítico</w:t>
            </w:r>
          </w:p>
        </w:tc>
      </w:tr>
      <w:tr>
        <w:trPr>
          <w:cantSplit w:val="1"/>
        </w:trPr>
        <w:tc>
          <w:tcPr>
            <w:tcW w:type="dxa" w:w="3120"/>
          </w:tcPr>
          <w:p>
            <w:pPr>
              <w:keepLines w:val="1"/>
            </w:pPr>
            <w:r>
              <w:t>81 – 100</w:t>
            </w:r>
          </w:p>
        </w:tc>
        <w:tc>
          <w:tcPr>
            <w:tcW w:type="dxa" w:w="3120"/>
          </w:tcPr>
          <w:p>
            <w:pPr>
              <w:keepLines w:val="1"/>
            </w:pPr>
            <w:r>
              <w:t>Optimizado</w:t>
            </w:r>
          </w:p>
        </w:tc>
        <w:tc>
          <w:tcPr>
            <w:tcW w:type="dxa" w:w="3120"/>
          </w:tcPr>
          <w:p>
            <w:pPr>
              <w:keepLines w:val="1"/>
            </w:pPr>
            <w:r>
              <w:t>Nivel 5: Estratégico</w:t>
            </w:r>
          </w:p>
        </w:tc>
      </w:tr>
    </w:tbl>
    <w:p/>
    <w:p>
      <w:pPr>
        <w:pStyle w:val="Heading3"/>
        <w:keepNext/>
        <w:keepLines/>
      </w:pPr>
      <w:r>
        <w:t>4.2 Sistema de Puntuación por Pregunta</w:t>
      </w:r>
    </w:p>
    <w:p>
      <w:r>
        <w:t>Cada respuesta recibe una puntuación entre 0 y 4 (normalizada al máximo del pilar correspondiente):</w:t>
      </w:r>
    </w:p>
    <w:p>
      <w:pPr>
        <w:pStyle w:val="ListBullet"/>
        <w:keepLines w:val="1"/>
        <w:keepNext w:val="1"/>
        <w:widowControl w:val="1"/>
      </w:pPr>
      <w:r>
        <w:t>Puntuación 4: Respuesta que refleja el nivel de excelencia o mejores prácticas internacionales.</w:t>
      </w:r>
    </w:p>
    <w:p>
      <w:pPr>
        <w:pStyle w:val="ListBullet"/>
        <w:keepLines w:val="1"/>
        <w:keepNext w:val="1"/>
        <w:widowControl w:val="1"/>
      </w:pPr>
      <w:r>
        <w:t>Puntuación 3: Respuesta que refleja práctica avanzada por encima de la media del mercado.</w:t>
      </w:r>
    </w:p>
    <w:p>
      <w:pPr>
        <w:pStyle w:val="ListBullet"/>
        <w:keepLines w:val="1"/>
        <w:keepNext w:val="1"/>
        <w:widowControl w:val="1"/>
      </w:pPr>
      <w:r>
        <w:t>Puntuación 2: Respuesta que refleja práctica aceptable alineada con requisitos mínimos.</w:t>
      </w:r>
    </w:p>
    <w:p>
      <w:pPr>
        <w:pStyle w:val="ListBullet"/>
        <w:keepLines w:val="1"/>
        <w:keepNext w:val="1"/>
        <w:widowControl w:val="1"/>
      </w:pPr>
      <w:r>
        <w:t>Puntuación 1: Respuesta que refleja práctica insuficiente con riesgos identificados.</w:t>
      </w:r>
    </w:p>
    <w:p>
      <w:pPr>
        <w:pStyle w:val="ListBullet"/>
        <w:keepLines w:val="1"/>
        <w:keepNext w:val="1"/>
        <w:widowControl w:val="1"/>
      </w:pPr>
      <w:r>
        <w:t>Puntuación 0: Respuesta que refleja ausencia de práctica o riesgo crítico.</w:t>
      </w:r>
    </w:p>
    <w:p>
      <w:pPr>
        <w:pStyle w:val="ListBullet"/>
        <w:keepLines w:val="1"/>
        <w:widowControl w:val="1"/>
      </w:pPr>
      <w:r>
        <w:t>N/A: No aplica; excluida del cálculo del pilar correspondiente con redistribución proporcional.</w:t>
      </w:r>
    </w:p>
    <w:p>
      <w:r>
        <w:t>La Plantilla Excel (documento e) automatiza este cálculo con tablas de conversión pregunta-a-puntuación.</w:t>
      </w:r>
    </w:p>
    <w:p>
      <w:pPr>
        <w:pStyle w:val="Heading3"/>
        <w:keepNext/>
        <w:keepLines/>
      </w:pPr>
      <w:r>
        <w:t>4.3 Benchmarks de Referencia</w:t>
      </w:r>
    </w:p>
    <w:p>
      <w:r>
        <w:t>Los siguientes benchmarks están disponibles para el posicionamiento comparativo:</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Benchmark</w:t>
            </w:r>
          </w:p>
        </w:tc>
        <w:tc>
          <w:tcPr>
            <w:tcW w:type="dxa" w:w="3120"/>
            <w:shd w:fill="0033CC"/>
          </w:tcPr>
          <w:p>
            <w:pPr>
              <w:keepLines w:val="1"/>
              <w:keepNext w:val="1"/>
            </w:pPr>
            <w:r>
              <w:rPr>
                <w:b/>
                <w:color w:val="FFFFFF"/>
              </w:rPr>
              <w:t>Fuente</w:t>
            </w:r>
          </w:p>
        </w:tc>
        <w:tc>
          <w:tcPr>
            <w:tcW w:type="dxa" w:w="3120"/>
            <w:shd w:fill="0033CC"/>
          </w:tcPr>
          <w:p>
            <w:pPr>
              <w:keepLines w:val="1"/>
              <w:keepNext w:val="1"/>
            </w:pPr>
            <w:r>
              <w:rPr>
                <w:b/>
                <w:color w:val="FFFFFF"/>
              </w:rPr>
              <w:t>Disponibilidad</w:t>
            </w:r>
          </w:p>
        </w:tc>
      </w:tr>
      <w:tr>
        <w:trPr>
          <w:cantSplit w:val="1"/>
        </w:trPr>
        <w:tc>
          <w:tcPr>
            <w:tcW w:type="dxa" w:w="3120"/>
          </w:tcPr>
          <w:p>
            <w:pPr>
              <w:keepLines w:val="1"/>
              <w:keepNext w:val="1"/>
            </w:pPr>
            <w:r>
              <w:t>Media sectorial España (por CNAE)</w:t>
            </w:r>
          </w:p>
        </w:tc>
        <w:tc>
          <w:tcPr>
            <w:tcW w:type="dxa" w:w="3120"/>
          </w:tcPr>
          <w:p>
            <w:pPr>
              <w:keepLines w:val="1"/>
              <w:keepNext w:val="1"/>
            </w:pPr>
            <w:r>
              <w:t>INCIBE Balance 2025 / Aon España 2025</w:t>
            </w:r>
          </w:p>
        </w:tc>
        <w:tc>
          <w:tcPr>
            <w:tcW w:type="dxa" w:w="3120"/>
          </w:tcPr>
          <w:p>
            <w:pPr>
              <w:keepLines w:val="1"/>
              <w:keepNext w:val="1"/>
            </w:pPr>
            <w:r>
              <w:t>Incluido en informe generado</w:t>
            </w:r>
          </w:p>
        </w:tc>
      </w:tr>
      <w:tr>
        <w:trPr>
          <w:cantSplit w:val="1"/>
        </w:trPr>
        <w:tc>
          <w:tcPr>
            <w:tcW w:type="dxa" w:w="3120"/>
          </w:tcPr>
          <w:p>
            <w:pPr>
              <w:keepLines w:val="1"/>
              <w:keepNext w:val="1"/>
            </w:pPr>
            <w:r>
              <w:t>Media UE por sector</w:t>
            </w:r>
          </w:p>
        </w:tc>
        <w:tc>
          <w:tcPr>
            <w:tcW w:type="dxa" w:w="3120"/>
          </w:tcPr>
          <w:p>
            <w:pPr>
              <w:keepLines w:val="1"/>
              <w:keepNext w:val="1"/>
            </w:pPr>
            <w:r>
              <w:t>ENISA ECSMAF V3.0 / MSS Market Analysis 2025</w:t>
            </w:r>
          </w:p>
        </w:tc>
        <w:tc>
          <w:tcPr>
            <w:tcW w:type="dxa" w:w="3120"/>
          </w:tcPr>
          <w:p>
            <w:pPr>
              <w:keepLines w:val="1"/>
              <w:keepNext w:val="1"/>
            </w:pPr>
            <w:r>
              <w:t>Incluido en informe generado</w:t>
            </w:r>
          </w:p>
        </w:tc>
      </w:tr>
      <w:tr>
        <w:trPr>
          <w:cantSplit w:val="1"/>
        </w:trPr>
        <w:tc>
          <w:tcPr>
            <w:tcW w:type="dxa" w:w="3120"/>
          </w:tcPr>
          <w:p>
            <w:pPr>
              <w:keepLines w:val="1"/>
              <w:keepNext w:val="1"/>
            </w:pPr>
            <w:r>
              <w:t>Percentiles por tamaño organizacional</w:t>
            </w:r>
          </w:p>
        </w:tc>
        <w:tc>
          <w:tcPr>
            <w:tcW w:type="dxa" w:w="3120"/>
          </w:tcPr>
          <w:p>
            <w:pPr>
              <w:keepLines w:val="1"/>
              <w:keepNext w:val="1"/>
            </w:pPr>
            <w:r>
              <w:t>Agregado de respuestas anónimas acumuladas</w:t>
            </w:r>
          </w:p>
        </w:tc>
        <w:tc>
          <w:tcPr>
            <w:tcW w:type="dxa" w:w="3120"/>
          </w:tcPr>
          <w:p>
            <w:pPr>
              <w:keepLines w:val="1"/>
              <w:keepNext w:val="1"/>
            </w:pPr>
            <w:r>
              <w:t>Disponible tras N&gt;30 respuestas</w:t>
            </w:r>
          </w:p>
        </w:tc>
      </w:tr>
      <w:tr>
        <w:trPr>
          <w:cantSplit w:val="1"/>
        </w:trPr>
        <w:tc>
          <w:tcPr>
            <w:tcW w:type="dxa" w:w="3120"/>
          </w:tcPr>
          <w:p>
            <w:pPr>
              <w:keepLines w:val="1"/>
            </w:pPr>
            <w:r>
              <w:t>Benchmark de entidades NIS2 esenciales</w:t>
            </w:r>
          </w:p>
        </w:tc>
        <w:tc>
          <w:tcPr>
            <w:tcW w:type="dxa" w:w="3120"/>
          </w:tcPr>
          <w:p>
            <w:pPr>
              <w:keepLines w:val="1"/>
            </w:pPr>
            <w:r>
              <w:t>ENISA NIS Investment Report</w:t>
            </w:r>
          </w:p>
        </w:tc>
        <w:tc>
          <w:tcPr>
            <w:tcW w:type="dxa" w:w="3120"/>
          </w:tcPr>
          <w:p>
            <w:pPr>
              <w:keepLines w:val="1"/>
            </w:pPr>
            <w:r>
              <w:t>Referencia externa</w:t>
            </w:r>
          </w:p>
        </w:tc>
      </w:tr>
    </w:tbl>
    <w:p/>
    <w:p>
      <w:pPr>
        <w:pStyle w:val="Heading2"/>
        <w:keepNext/>
        <w:keepLines/>
      </w:pPr>
      <w:r>
        <w:rPr>
          <w:color w:val="0066CC"/>
        </w:rPr>
        <w:t>5. ANÁLISIS CUALITATIVO Y TRIANGULACIÓN</w:t>
      </w:r>
    </w:p>
    <w:p>
      <w:pPr>
        <w:pStyle w:val="Heading3"/>
        <w:keepNext/>
        <w:keepLines/>
      </w:pPr>
      <w:r>
        <w:t>5.1 Codificación de Respuestas Abiertas (P12.4)</w:t>
      </w:r>
    </w:p>
    <w:p>
      <w:r>
        <w:t>Las respuestas del campo abierto P12.4 se analizan mediante:</w:t>
      </w:r>
      <w:r/>
      <w:r>
        <w:br/>
        <w:t xml:space="preserve">1. </w:t>
      </w:r>
      <w:r>
        <w:rPr>
          <w:b/>
        </w:rPr>
        <w:t>Análisis temático inductivo</w:t>
      </w:r>
      <w:r>
        <w:t xml:space="preserve"> (Braun &amp; Clarke, 2006): Identificación de temas recurrentes sin categorías predefinidas.</w:t>
      </w:r>
      <w:r/>
      <w:r>
        <w:br/>
        <w:t xml:space="preserve">2. </w:t>
      </w:r>
      <w:r>
        <w:rPr>
          <w:b/>
        </w:rPr>
        <w:t>Análisis de sentimiento</w:t>
      </w:r>
      <w:r>
        <w:t>: Clasificación positivo/neutro/negativo respecto a la postura de seguridad.</w:t>
      </w:r>
      <w:r/>
      <w:r>
        <w:br/>
        <w:t xml:space="preserve">3. </w:t>
      </w:r>
      <w:r>
        <w:rPr>
          <w:b/>
        </w:rPr>
        <w:t>Extracción de barreras emergentes</w:t>
      </w:r>
      <w:r>
        <w:t>: Identificación de obstáculos no contemplados en B12.2.</w:t>
      </w:r>
    </w:p>
    <w:p>
      <w:pPr>
        <w:pStyle w:val="Heading3"/>
        <w:keepNext/>
        <w:keepLines/>
      </w:pPr>
      <w:r>
        <w:t>5.2 Triangulación Multi-Respondente</w:t>
      </w:r>
    </w:p>
    <w:p>
      <w:r>
        <w:t>Para organizaciones donde varios perfiles completan la encuesta, se aplica el siguiente protocolo:</w:t>
      </w:r>
    </w:p>
    <w:p>
      <w:pPr>
        <w:pStyle w:val="ListBullet"/>
        <w:keepLines w:val="1"/>
        <w:keepNext w:val="1"/>
        <w:widowControl w:val="1"/>
      </w:pPr>
      <w:r>
        <w:t>Convergencia (≤1 nivel de diferencia en escala 5): Se adopta la media ponderada.</w:t>
      </w:r>
    </w:p>
    <w:p>
      <w:pPr>
        <w:pStyle w:val="ListBullet"/>
        <w:keepLines w:val="1"/>
        <w:keepNext w:val="1"/>
        <w:widowControl w:val="1"/>
      </w:pPr>
      <w:r>
        <w:t>Divergencia moderada (2 niveles): Se registra la divergencia como indicador de "desalineación de percepción" entre niveles de la organización.</w:t>
      </w:r>
    </w:p>
    <w:p>
      <w:pPr>
        <w:pStyle w:val="ListBullet"/>
        <w:keepLines w:val="1"/>
        <w:widowControl w:val="1"/>
      </w:pPr>
      <w:r>
        <w:t>Divergencia severa (≥3 niveles): Se identifica como "brecha de gobernanza" y se reporta como hallazgo prioritario en el informe.</w:t>
      </w:r>
    </w:p>
    <w:p>
      <w:pPr>
        <w:pStyle w:val="Heading3"/>
        <w:keepNext/>
        <w:keepLines/>
      </w:pPr>
      <w:r>
        <w:t>5.3 Análisis Longitudinal</w:t>
      </w:r>
    </w:p>
    <w:p>
      <w:r>
        <w:t>Se recomienda la reaplicación de la encuesta:</w:t>
      </w:r>
      <w:r/>
      <w:r>
        <w:br/>
        <w:t xml:space="preserve">- </w:t>
      </w:r>
      <w:r>
        <w:rPr>
          <w:b/>
        </w:rPr>
        <w:t>A los 6 meses:</w:t>
      </w:r>
      <w:r>
        <w:t xml:space="preserve"> Verificación de planes de mejora iniciados.</w:t>
      </w:r>
      <w:r/>
      <w:r>
        <w:br/>
        <w:t xml:space="preserve">- </w:t>
      </w:r>
      <w:r>
        <w:rPr>
          <w:b/>
        </w:rPr>
        <w:t>Al año:</w:t>
      </w:r>
      <w:r>
        <w:t xml:space="preserve"> Medición de evolución del IGM-MSS y recalibración de benchmarks.</w:t>
      </w:r>
      <w:r/>
      <w:r>
        <w:br/>
        <w:t xml:space="preserve">- </w:t>
      </w:r>
      <w:r>
        <w:rPr>
          <w:b/>
        </w:rPr>
        <w:t>Ante cambios regulatorios significativos:</w:t>
      </w:r>
      <w:r>
        <w:t xml:space="preserve"> Transposición NIS2, entrada en vigor EUMSS, etc.</w:t>
      </w:r>
    </w:p>
    <w:p>
      <w:pPr>
        <w:pStyle w:val="Heading2"/>
        <w:keepNext/>
        <w:keepLines/>
      </w:pPr>
      <w:r>
        <w:rPr>
          <w:color w:val="0066CC"/>
        </w:rPr>
        <w:t>6. LIMITACIONES Y MITIGACIONES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Limitación</w:t>
            </w:r>
          </w:p>
        </w:tc>
        <w:tc>
          <w:tcPr>
            <w:tcW w:type="dxa" w:w="3120"/>
            <w:shd w:fill="0033CC"/>
          </w:tcPr>
          <w:p>
            <w:pPr>
              <w:keepLines w:val="1"/>
              <w:keepNext w:val="1"/>
            </w:pPr>
            <w:r>
              <w:rPr>
                <w:b/>
                <w:color w:val="FFFFFF"/>
              </w:rPr>
              <w:t>Naturaleza</w:t>
            </w:r>
          </w:p>
        </w:tc>
        <w:tc>
          <w:tcPr>
            <w:tcW w:type="dxa" w:w="3120"/>
            <w:shd w:fill="0033CC"/>
          </w:tcPr>
          <w:p>
            <w:pPr>
              <w:keepLines w:val="1"/>
              <w:keepNext w:val="1"/>
            </w:pPr>
            <w:r>
              <w:rPr>
                <w:b/>
                <w:color w:val="FFFFFF"/>
              </w:rPr>
              <w:t>Estrategia de mitigación</w:t>
            </w:r>
          </w:p>
        </w:tc>
      </w:tr>
      <w:tr>
        <w:trPr>
          <w:cantSplit w:val="1"/>
        </w:trPr>
        <w:tc>
          <w:tcPr>
            <w:tcW w:type="dxa" w:w="3120"/>
          </w:tcPr>
          <w:p>
            <w:pPr>
              <w:keepLines w:val="1"/>
              <w:keepNext w:val="1"/>
            </w:pPr>
            <w:r>
              <w:t>Sesgo de deseabilidad social</w:t>
            </w:r>
          </w:p>
        </w:tc>
        <w:tc>
          <w:tcPr>
            <w:tcW w:type="dxa" w:w="3120"/>
          </w:tcPr>
          <w:p>
            <w:pPr>
              <w:keepLines w:val="1"/>
              <w:keepNext w:val="1"/>
            </w:pPr>
            <w:r>
              <w:t>Respondentes sobrevaloran prácticas</w:t>
            </w:r>
          </w:p>
        </w:tc>
        <w:tc>
          <w:tcPr>
            <w:tcW w:type="dxa" w:w="3120"/>
          </w:tcPr>
          <w:p>
            <w:pPr>
              <w:keepLines w:val="1"/>
              <w:keepNext w:val="1"/>
            </w:pPr>
            <w:r>
              <w:t>Opciones con lenguaje literario honesto; anonimización garantizada</w:t>
            </w:r>
          </w:p>
        </w:tc>
      </w:tr>
      <w:tr>
        <w:trPr>
          <w:cantSplit w:val="1"/>
        </w:trPr>
        <w:tc>
          <w:tcPr>
            <w:tcW w:type="dxa" w:w="3120"/>
          </w:tcPr>
          <w:p>
            <w:pPr>
              <w:keepLines w:val="1"/>
              <w:keepNext w:val="1"/>
            </w:pPr>
            <w:r>
              <w:t>Desconocimiento de métricas específicas</w:t>
            </w:r>
          </w:p>
        </w:tc>
        <w:tc>
          <w:tcPr>
            <w:tcW w:type="dxa" w:w="3120"/>
          </w:tcPr>
          <w:p>
            <w:pPr>
              <w:keepLines w:val="1"/>
              <w:keepNext w:val="1"/>
            </w:pPr>
            <w:r>
              <w:t>CISO/CTO no conoce valores reales</w:t>
            </w:r>
          </w:p>
        </w:tc>
        <w:tc>
          <w:tcPr>
            <w:tcW w:type="dxa" w:w="3120"/>
          </w:tcPr>
          <w:p>
            <w:pPr>
              <w:keepLines w:val="1"/>
              <w:keepNext w:val="1"/>
            </w:pPr>
            <w:r>
              <w:t>Opciones de «No disponemos de datos» sin penalización implícita</w:t>
            </w:r>
          </w:p>
        </w:tc>
      </w:tr>
      <w:tr>
        <w:trPr>
          <w:cantSplit w:val="1"/>
        </w:trPr>
        <w:tc>
          <w:tcPr>
            <w:tcW w:type="dxa" w:w="3120"/>
          </w:tcPr>
          <w:p>
            <w:pPr>
              <w:keepLines w:val="1"/>
              <w:keepNext w:val="1"/>
            </w:pPr>
            <w:r>
              <w:t>Variabilidad en definición de «incidente»</w:t>
            </w:r>
          </w:p>
        </w:tc>
        <w:tc>
          <w:tcPr>
            <w:tcW w:type="dxa" w:w="3120"/>
          </w:tcPr>
          <w:p>
            <w:pPr>
              <w:keepLines w:val="1"/>
              <w:keepNext w:val="1"/>
            </w:pPr>
            <w:r>
              <w:t>Distintas culturas organizacionales</w:t>
            </w:r>
          </w:p>
        </w:tc>
        <w:tc>
          <w:tcPr>
            <w:tcW w:type="dxa" w:w="3120"/>
          </w:tcPr>
          <w:p>
            <w:pPr>
              <w:keepLines w:val="1"/>
              <w:keepNext w:val="1"/>
            </w:pPr>
            <w:r>
              <w:t>Definiciones operativas incluidas en notas al pie de cada pregunta</w:t>
            </w:r>
          </w:p>
        </w:tc>
      </w:tr>
      <w:tr>
        <w:trPr>
          <w:cantSplit w:val="1"/>
        </w:trPr>
        <w:tc>
          <w:tcPr>
            <w:tcW w:type="dxa" w:w="3120"/>
          </w:tcPr>
          <w:p>
            <w:pPr>
              <w:keepLines w:val="1"/>
              <w:keepNext w:val="1"/>
            </w:pPr>
            <w:r>
              <w:t>Autoevaluación sin verificación externa</w:t>
            </w:r>
          </w:p>
        </w:tc>
        <w:tc>
          <w:tcPr>
            <w:tcW w:type="dxa" w:w="3120"/>
          </w:tcPr>
          <w:p>
            <w:pPr>
              <w:keepLines w:val="1"/>
              <w:keepNext w:val="1"/>
            </w:pPr>
            <w:r>
              <w:t>Respuesta puede no reflejar realidad</w:t>
            </w:r>
          </w:p>
        </w:tc>
        <w:tc>
          <w:tcPr>
            <w:tcW w:type="dxa" w:w="3120"/>
          </w:tcPr>
          <w:p>
            <w:pPr>
              <w:keepLines w:val="1"/>
              <w:keepNext w:val="1"/>
            </w:pPr>
            <w:r>
              <w:t>Triangulación multi-respondente y correlación con datos externos</w:t>
            </w:r>
          </w:p>
        </w:tc>
      </w:tr>
      <w:tr>
        <w:trPr>
          <w:cantSplit w:val="1"/>
        </w:trPr>
        <w:tc>
          <w:tcPr>
            <w:tcW w:type="dxa" w:w="3120"/>
          </w:tcPr>
          <w:p>
            <w:pPr>
              <w:keepLines w:val="1"/>
              <w:keepNext w:val="1"/>
            </w:pPr>
            <w:r>
              <w:t>Sesgos de sector y tamaño</w:t>
            </w:r>
          </w:p>
        </w:tc>
        <w:tc>
          <w:tcPr>
            <w:tcW w:type="dxa" w:w="3120"/>
          </w:tcPr>
          <w:p>
            <w:pPr>
              <w:keepLines w:val="1"/>
              <w:keepNext w:val="1"/>
            </w:pPr>
            <w:r>
              <w:t>Benchmarks pueden no ser representativos</w:t>
            </w:r>
          </w:p>
        </w:tc>
        <w:tc>
          <w:tcPr>
            <w:tcW w:type="dxa" w:w="3120"/>
          </w:tcPr>
          <w:p>
            <w:pPr>
              <w:keepLines w:val="1"/>
              <w:keepNext w:val="1"/>
            </w:pPr>
            <w:r>
              <w:t>Estratificación por sector y tamaño en análisis comparativo</w:t>
            </w:r>
          </w:p>
        </w:tc>
      </w:tr>
      <w:tr>
        <w:trPr>
          <w:cantSplit w:val="1"/>
        </w:trPr>
        <w:tc>
          <w:tcPr>
            <w:tcW w:type="dxa" w:w="3120"/>
          </w:tcPr>
          <w:p>
            <w:pPr>
              <w:keepLines w:val="1"/>
            </w:pPr>
            <w:r>
              <w:t>Asimetría de información en contratos MSS</w:t>
            </w:r>
          </w:p>
        </w:tc>
        <w:tc>
          <w:tcPr>
            <w:tcW w:type="dxa" w:w="3120"/>
          </w:tcPr>
          <w:p>
            <w:pPr>
              <w:keepLines w:val="1"/>
            </w:pPr>
            <w:r>
              <w:t>Gestores desconocen detalles SLA</w:t>
            </w:r>
          </w:p>
        </w:tc>
        <w:tc>
          <w:tcPr>
            <w:tcW w:type="dxa" w:w="3120"/>
          </w:tcPr>
          <w:p>
            <w:pPr>
              <w:keepLines w:val="1"/>
            </w:pPr>
            <w:r>
              <w:t>Se recomienda revisión previa del contrato antes de responder B2</w:t>
            </w:r>
          </w:p>
        </w:tc>
      </w:tr>
    </w:tbl>
    <w:p/>
    <w:p>
      <w:pPr>
        <w:pStyle w:val="Heading2"/>
        <w:keepNext/>
        <w:keepLines/>
      </w:pPr>
      <w:r>
        <w:rPr>
          <w:color w:val="0066CC"/>
        </w:rPr>
        <w:t>7. PROTOCOLO DE PRESENTACIÓN DE RESULTADOS</w:t>
      </w:r>
    </w:p>
    <w:p>
      <w:pPr>
        <w:pStyle w:val="Heading3"/>
        <w:keepNext/>
        <w:keepLines/>
      </w:pPr>
      <w:r>
        <w:t>7.1 Estructura del Informe de Retorno al Respondente</w:t>
      </w:r>
    </w:p>
    <w:p>
      <w:r>
        <w:t>El informe de resultados generado por la Plantilla Excel (documento e) incluye:</w:t>
      </w:r>
    </w:p>
    <w:p>
      <w:pPr>
        <w:pStyle w:val="ListNumber"/>
        <w:keepLines w:val="1"/>
        <w:keepNext w:val="1"/>
        <w:widowControl w:val="1"/>
      </w:pPr>
      <w:r>
        <w:t>Resumen ejecutivo (1 página): IGM-MSS global, fortalezas top-3 y brechas prioritarias.</w:t>
      </w:r>
    </w:p>
    <w:p>
      <w:pPr>
        <w:pStyle w:val="ListNumber"/>
        <w:keepLines w:val="1"/>
        <w:keepNext w:val="1"/>
        <w:widowControl w:val="1"/>
      </w:pPr>
      <w:r>
        <w:t>Diagnóstico por pilares (5 páginas): Puntuación, interpretación y benchmark sectorial para cada pilar P-I a P-V.</w:t>
      </w:r>
    </w:p>
    <w:p>
      <w:pPr>
        <w:pStyle w:val="ListNumber"/>
        <w:keepLines w:val="1"/>
        <w:keepNext w:val="1"/>
        <w:widowControl w:val="1"/>
      </w:pPr>
      <w:r>
        <w:t>Hoja de ruta de mejora (2 páginas): Acciones prioritarias ordenadas por impacto/esfuerzo, con mapeo a requisitos normativos.</w:t>
      </w:r>
    </w:p>
    <w:p>
      <w:pPr>
        <w:pStyle w:val="ListNumber"/>
        <w:keepLines w:val="1"/>
        <w:keepNext w:val="1"/>
        <w:widowControl w:val="1"/>
      </w:pPr>
      <w:r>
        <w:t>Comparativa sectorial (1 página): Posicionamiento percentil en el sector y en el mercado nacional.</w:t>
      </w:r>
    </w:p>
    <w:p>
      <w:pPr>
        <w:pStyle w:val="ListNumber"/>
        <w:keepLines w:val="1"/>
        <w:widowControl w:val="1"/>
      </w:pPr>
      <w:r>
        <w:t>Recomendaciones MSS (1 página): Indicadores a incluir en próximas negociaciones de SLA.</w:t>
      </w:r>
    </w:p>
    <w:p>
      <w:pPr>
        <w:pStyle w:val="Heading3"/>
        <w:keepNext/>
        <w:keepLines/>
      </w:pPr>
      <w:r>
        <w:t>7.2 Indicadores de Calidad de Respuesta</w:t>
      </w:r>
    </w:p>
    <w:p>
      <w:r>
        <w:t>Antes de calcular el IGM-MSS, se verifica la calidad de la respuesta:</w:t>
      </w:r>
      <w:r/>
      <w:r>
        <w:br/>
        <w:t xml:space="preserve">- </w:t>
      </w:r>
      <w:r>
        <w:rPr>
          <w:b/>
        </w:rPr>
        <w:t>Tasa de completitud:</w:t>
      </w:r>
      <w:r>
        <w:t xml:space="preserve"> ≥80% de preguntas respondidas (mínimo para cálculo válido).</w:t>
      </w:r>
      <w:r/>
      <w:r>
        <w:br/>
        <w:t xml:space="preserve">- </w:t>
      </w:r>
      <w:r>
        <w:rPr>
          <w:b/>
        </w:rPr>
        <w:t>Coherencia interna:</w:t>
      </w:r>
      <w:r>
        <w:t xml:space="preserve"> Verificación de inconsistencias lógicas (ej: P2.5 = «No proveedor MSS» + P2.6 con métricas marcadas).</w:t>
      </w:r>
      <w:r/>
      <w:r>
        <w:br/>
        <w:t xml:space="preserve">- </w:t>
      </w:r>
      <w:r>
        <w:rPr>
          <w:b/>
        </w:rPr>
        <w:t>Tiempo de respuesta:</w:t>
      </w:r>
      <w:r>
        <w:t xml:space="preserve"> Respuestas completadas en menos de 3 minutos se marcan como «respuesta rápida no analítica» para revisión manual.</w:t>
      </w:r>
    </w:p>
    <w:p>
      <w:pPr>
        <w:pStyle w:val="Heading2"/>
        <w:keepNext/>
        <w:keepLines/>
      </w:pPr>
      <w:r>
        <w:rPr>
          <w:color w:val="0066CC"/>
        </w:rPr>
        <w:t>8. GLOSARIO METODOLÓGICO</w:t>
      </w:r>
    </w:p>
    <w:tbl>
      <w:tblPr>
        <w:tblStyle w:val="LightGrid-Accent1"/>
        <w:tblW w:type="auto" w:w="0"/>
        <w:tblLook w:firstColumn="1" w:firstRow="1" w:lastColumn="0" w:lastRow="0" w:noHBand="0" w:noVBand="1" w:val="04A0"/>
      </w:tblPr>
      <w:tblGrid>
        <w:gridCol w:w="4680"/>
        <w:gridCol w:w="4680"/>
      </w:tblGrid>
      <w:tr>
        <w:trPr>
          <w:cantSplit w:val="1"/>
        </w:trPr>
        <w:tc>
          <w:tcPr>
            <w:tcW w:type="dxa" w:w="4680"/>
            <w:shd w:fill="0033CC"/>
          </w:tcPr>
          <w:p>
            <w:pPr>
              <w:keepLines w:val="1"/>
              <w:keepNext w:val="1"/>
            </w:pPr>
            <w:r>
              <w:rPr>
                <w:b/>
                <w:color w:val="FFFFFF"/>
              </w:rPr>
              <w:t>Término</w:t>
            </w:r>
          </w:p>
        </w:tc>
        <w:tc>
          <w:tcPr>
            <w:tcW w:type="dxa" w:w="4680"/>
            <w:shd w:fill="0033CC"/>
          </w:tcPr>
          <w:p>
            <w:pPr>
              <w:keepLines w:val="1"/>
              <w:keepNext w:val="1"/>
            </w:pPr>
            <w:r>
              <w:rPr>
                <w:b/>
                <w:color w:val="FFFFFF"/>
              </w:rPr>
              <w:t>Definición en contexto MSS</w:t>
            </w:r>
          </w:p>
        </w:tc>
      </w:tr>
      <w:tr>
        <w:trPr>
          <w:cantSplit w:val="1"/>
        </w:trPr>
        <w:tc>
          <w:tcPr>
            <w:tcW w:type="dxa" w:w="4680"/>
          </w:tcPr>
          <w:p>
            <w:pPr>
              <w:keepLines w:val="1"/>
              <w:keepNext w:val="1"/>
            </w:pPr>
            <w:r>
              <w:t>MTTD</w:t>
            </w:r>
          </w:p>
        </w:tc>
        <w:tc>
          <w:tcPr>
            <w:tcW w:type="dxa" w:w="4680"/>
          </w:tcPr>
          <w:p>
            <w:pPr>
              <w:keepLines w:val="1"/>
              <w:keepNext w:val="1"/>
            </w:pPr>
            <w:r>
              <w:t>Mean Time to Detect: tiempo medio desde el inicio de actividad maliciosa hasta su identificación por el sistema de detección</w:t>
            </w:r>
          </w:p>
        </w:tc>
      </w:tr>
      <w:tr>
        <w:trPr>
          <w:cantSplit w:val="1"/>
        </w:trPr>
        <w:tc>
          <w:tcPr>
            <w:tcW w:type="dxa" w:w="4680"/>
          </w:tcPr>
          <w:p>
            <w:pPr>
              <w:keepLines w:val="1"/>
              <w:keepNext w:val="1"/>
            </w:pPr>
            <w:r>
              <w:t>MTTA</w:t>
            </w:r>
          </w:p>
        </w:tc>
        <w:tc>
          <w:tcPr>
            <w:tcW w:type="dxa" w:w="4680"/>
          </w:tcPr>
          <w:p>
            <w:pPr>
              <w:keepLines w:val="1"/>
              <w:keepNext w:val="1"/>
            </w:pPr>
            <w:r>
              <w:t>Mean Time to Acknowledge: tiempo desde la creación de una alerta hasta que un analista la gestiona activamente</w:t>
            </w:r>
          </w:p>
        </w:tc>
      </w:tr>
      <w:tr>
        <w:trPr>
          <w:cantSplit w:val="1"/>
        </w:trPr>
        <w:tc>
          <w:tcPr>
            <w:tcW w:type="dxa" w:w="4680"/>
          </w:tcPr>
          <w:p>
            <w:pPr>
              <w:keepLines w:val="1"/>
              <w:keepNext w:val="1"/>
            </w:pPr>
            <w:r>
              <w:t>MTTC</w:t>
            </w:r>
          </w:p>
        </w:tc>
        <w:tc>
          <w:tcPr>
            <w:tcW w:type="dxa" w:w="4680"/>
          </w:tcPr>
          <w:p>
            <w:pPr>
              <w:keepLines w:val="1"/>
              <w:keepNext w:val="1"/>
            </w:pPr>
            <w:r>
              <w:t>Mean Time to Contain: tiempo desde la detección hasta el aislamiento efectivo de la amenaza</w:t>
            </w:r>
          </w:p>
        </w:tc>
      </w:tr>
      <w:tr>
        <w:trPr>
          <w:cantSplit w:val="1"/>
        </w:trPr>
        <w:tc>
          <w:tcPr>
            <w:tcW w:type="dxa" w:w="4680"/>
          </w:tcPr>
          <w:p>
            <w:pPr>
              <w:keepLines w:val="1"/>
              <w:keepNext w:val="1"/>
            </w:pPr>
            <w:r>
              <w:t>MTTR</w:t>
            </w:r>
          </w:p>
        </w:tc>
        <w:tc>
          <w:tcPr>
            <w:tcW w:type="dxa" w:w="4680"/>
          </w:tcPr>
          <w:p>
            <w:pPr>
              <w:keepLines w:val="1"/>
              <w:keepNext w:val="1"/>
            </w:pPr>
            <w:r>
              <w:t>Mean Time to Respond/Recover: tiempo desde la detección hasta la remediación completa y retorno a operaciones</w:t>
            </w:r>
          </w:p>
        </w:tc>
      </w:tr>
      <w:tr>
        <w:trPr>
          <w:cantSplit w:val="1"/>
        </w:trPr>
        <w:tc>
          <w:tcPr>
            <w:tcW w:type="dxa" w:w="4680"/>
          </w:tcPr>
          <w:p>
            <w:pPr>
              <w:keepLines w:val="1"/>
              <w:keepNext w:val="1"/>
            </w:pPr>
            <w:r>
              <w:t>FPR</w:t>
            </w:r>
          </w:p>
        </w:tc>
        <w:tc>
          <w:tcPr>
            <w:tcW w:type="dxa" w:w="4680"/>
          </w:tcPr>
          <w:p>
            <w:pPr>
              <w:keepLines w:val="1"/>
              <w:keepNext w:val="1"/>
            </w:pPr>
            <w:r>
              <w:t>False Positive Rate: tasa de alertas que resultan no ser incidentes reales</w:t>
            </w:r>
          </w:p>
        </w:tc>
      </w:tr>
      <w:tr>
        <w:trPr>
          <w:cantSplit w:val="1"/>
        </w:trPr>
        <w:tc>
          <w:tcPr>
            <w:tcW w:type="dxa" w:w="4680"/>
          </w:tcPr>
          <w:p>
            <w:pPr>
              <w:keepLines w:val="1"/>
              <w:keepNext w:val="1"/>
            </w:pPr>
            <w:r>
              <w:t>ACR</w:t>
            </w:r>
          </w:p>
        </w:tc>
        <w:tc>
          <w:tcPr>
            <w:tcW w:type="dxa" w:w="4680"/>
          </w:tcPr>
          <w:p>
            <w:pPr>
              <w:keepLines w:val="1"/>
              <w:keepNext w:val="1"/>
            </w:pPr>
            <w:r>
              <w:t>Asset Coverage Ratio: porcentaje del patrimonio digital monitorizado en tiempo real</w:t>
            </w:r>
          </w:p>
        </w:tc>
      </w:tr>
      <w:tr>
        <w:trPr>
          <w:cantSplit w:val="1"/>
        </w:trPr>
        <w:tc>
          <w:tcPr>
            <w:tcW w:type="dxa" w:w="4680"/>
          </w:tcPr>
          <w:p>
            <w:pPr>
              <w:keepLines w:val="1"/>
              <w:keepNext w:val="1"/>
            </w:pPr>
            <w:r>
              <w:t>ROSI</w:t>
            </w:r>
          </w:p>
        </w:tc>
        <w:tc>
          <w:tcPr>
            <w:tcW w:type="dxa" w:w="4680"/>
          </w:tcPr>
          <w:p>
            <w:pPr>
              <w:keepLines w:val="1"/>
              <w:keepNext w:val="1"/>
            </w:pPr>
            <w:r>
              <w:t>Return on Security Investment: retorno económico de la inversión en seguridad</w:t>
            </w:r>
          </w:p>
        </w:tc>
      </w:tr>
      <w:tr>
        <w:trPr>
          <w:cantSplit w:val="1"/>
        </w:trPr>
        <w:tc>
          <w:tcPr>
            <w:tcW w:type="dxa" w:w="4680"/>
          </w:tcPr>
          <w:p>
            <w:pPr>
              <w:keepLines w:val="1"/>
              <w:keepNext w:val="1"/>
            </w:pPr>
            <w:r>
              <w:t>CRQ</w:t>
            </w:r>
          </w:p>
        </w:tc>
        <w:tc>
          <w:tcPr>
            <w:tcW w:type="dxa" w:w="4680"/>
          </w:tcPr>
          <w:p>
            <w:pPr>
              <w:keepLines w:val="1"/>
              <w:keepNext w:val="1"/>
            </w:pPr>
            <w:r>
              <w:t>Cyber Risk Quantification: cuantificación probabilística del riesgo ciber con modelos actuariales</w:t>
            </w:r>
          </w:p>
        </w:tc>
      </w:tr>
      <w:tr>
        <w:trPr>
          <w:cantSplit w:val="1"/>
        </w:trPr>
        <w:tc>
          <w:tcPr>
            <w:tcW w:type="dxa" w:w="4680"/>
          </w:tcPr>
          <w:p>
            <w:pPr>
              <w:keepLines w:val="1"/>
              <w:keepNext w:val="1"/>
            </w:pPr>
            <w:r>
              <w:t>IGM-MSS</w:t>
            </w:r>
          </w:p>
        </w:tc>
        <w:tc>
          <w:tcPr>
            <w:tcW w:type="dxa" w:w="4680"/>
          </w:tcPr>
          <w:p>
            <w:pPr>
              <w:keepLines w:val="1"/>
              <w:keepNext w:val="1"/>
            </w:pPr>
            <w:r>
              <w:t>Índice de Madurez Global MSS: indicador compuesto de 0-100 puntos resultado de esta encuesta</w:t>
            </w:r>
          </w:p>
        </w:tc>
      </w:tr>
      <w:tr>
        <w:trPr>
          <w:cantSplit w:val="1"/>
        </w:trPr>
        <w:tc>
          <w:tcPr>
            <w:tcW w:type="dxa" w:w="4680"/>
          </w:tcPr>
          <w:p>
            <w:pPr>
              <w:keepLines w:val="1"/>
              <w:keepNext w:val="1"/>
            </w:pPr>
            <w:r>
              <w:t>CTI</w:t>
            </w:r>
          </w:p>
        </w:tc>
        <w:tc>
          <w:tcPr>
            <w:tcW w:type="dxa" w:w="4680"/>
          </w:tcPr>
          <w:p>
            <w:pPr>
              <w:keepLines w:val="1"/>
              <w:keepNext w:val="1"/>
            </w:pPr>
            <w:r>
              <w:t>Cyber Threat Intelligence: inteligencia de amenazas, información contextualizada sobre actores, TTP y IOCs</w:t>
            </w:r>
          </w:p>
        </w:tc>
      </w:tr>
      <w:tr>
        <w:trPr>
          <w:cantSplit w:val="1"/>
        </w:trPr>
        <w:tc>
          <w:tcPr>
            <w:tcW w:type="dxa" w:w="4680"/>
          </w:tcPr>
          <w:p>
            <w:pPr>
              <w:keepLines w:val="1"/>
              <w:keepNext w:val="1"/>
            </w:pPr>
            <w:r>
              <w:t>PQC</w:t>
            </w:r>
          </w:p>
        </w:tc>
        <w:tc>
          <w:tcPr>
            <w:tcW w:type="dxa" w:w="4680"/>
          </w:tcPr>
          <w:p>
            <w:pPr>
              <w:keepLines w:val="1"/>
              <w:keepNext w:val="1"/>
            </w:pPr>
            <w:r>
              <w:t>Post-Quantum Cryptography: criptografía resistente a ataques de computadoras cuánticas</w:t>
            </w:r>
          </w:p>
        </w:tc>
      </w:tr>
      <w:tr>
        <w:trPr>
          <w:cantSplit w:val="1"/>
        </w:trPr>
        <w:tc>
          <w:tcPr>
            <w:tcW w:type="dxa" w:w="4680"/>
          </w:tcPr>
          <w:p>
            <w:pPr>
              <w:keepLines w:val="1"/>
              <w:keepNext w:val="1"/>
            </w:pPr>
            <w:r>
              <w:t>TPRM</w:t>
            </w:r>
          </w:p>
        </w:tc>
        <w:tc>
          <w:tcPr>
            <w:tcW w:type="dxa" w:w="4680"/>
          </w:tcPr>
          <w:p>
            <w:pPr>
              <w:keepLines w:val="1"/>
              <w:keepNext w:val="1"/>
            </w:pPr>
            <w:r>
              <w:t>Third Party Risk Management: gestión formal del riesgo de seguridad de proveedores y terceros</w:t>
            </w:r>
          </w:p>
        </w:tc>
      </w:tr>
      <w:tr>
        <w:trPr>
          <w:cantSplit w:val="1"/>
        </w:trPr>
        <w:tc>
          <w:tcPr>
            <w:tcW w:type="dxa" w:w="4680"/>
          </w:tcPr>
          <w:p>
            <w:pPr>
              <w:keepLines w:val="1"/>
              <w:keepNext w:val="1"/>
            </w:pPr>
            <w:r>
              <w:t>UEBA</w:t>
            </w:r>
          </w:p>
        </w:tc>
        <w:tc>
          <w:tcPr>
            <w:tcW w:type="dxa" w:w="4680"/>
          </w:tcPr>
          <w:p>
            <w:pPr>
              <w:keepLines w:val="1"/>
              <w:keepNext w:val="1"/>
            </w:pPr>
            <w:r>
              <w:t>User and Entity Behavior Analytics: analítica de comportamiento de usuarios y entidades para detección de anomalías</w:t>
            </w:r>
          </w:p>
        </w:tc>
      </w:tr>
      <w:tr>
        <w:trPr>
          <w:cantSplit w:val="1"/>
        </w:trPr>
        <w:tc>
          <w:tcPr>
            <w:tcW w:type="dxa" w:w="4680"/>
          </w:tcPr>
          <w:p>
            <w:pPr>
              <w:keepLines w:val="1"/>
              <w:keepNext w:val="1"/>
            </w:pPr>
            <w:r>
              <w:t>TTP</w:t>
            </w:r>
          </w:p>
        </w:tc>
        <w:tc>
          <w:tcPr>
            <w:tcW w:type="dxa" w:w="4680"/>
          </w:tcPr>
          <w:p>
            <w:pPr>
              <w:keepLines w:val="1"/>
              <w:keepNext w:val="1"/>
            </w:pPr>
            <w:r>
              <w:t>Tactics, Techniques and Procedures: tácticas, técnicas y procedimientos de los actores de amenaza</w:t>
            </w:r>
          </w:p>
        </w:tc>
      </w:tr>
      <w:tr>
        <w:trPr>
          <w:cantSplit w:val="1"/>
        </w:trPr>
        <w:tc>
          <w:tcPr>
            <w:tcW w:type="dxa" w:w="4680"/>
          </w:tcPr>
          <w:p>
            <w:pPr>
              <w:keepLines w:val="1"/>
              <w:keepNext w:val="1"/>
            </w:pPr>
            <w:r>
              <w:t>IOC</w:t>
            </w:r>
          </w:p>
        </w:tc>
        <w:tc>
          <w:tcPr>
            <w:tcW w:type="dxa" w:w="4680"/>
          </w:tcPr>
          <w:p>
            <w:pPr>
              <w:keepLines w:val="1"/>
              <w:keepNext w:val="1"/>
            </w:pPr>
            <w:r>
              <w:t>Indicator of Compromise: indicador de compromiso, artefacto observable que indica actividad maliciosa</w:t>
            </w:r>
          </w:p>
        </w:tc>
      </w:tr>
      <w:tr>
        <w:trPr>
          <w:cantSplit w:val="1"/>
        </w:trPr>
        <w:tc>
          <w:tcPr>
            <w:tcW w:type="dxa" w:w="4680"/>
          </w:tcPr>
          <w:p>
            <w:pPr>
              <w:keepLines w:val="1"/>
              <w:keepNext w:val="1"/>
            </w:pPr>
            <w:r>
              <w:t>BCP</w:t>
            </w:r>
          </w:p>
        </w:tc>
        <w:tc>
          <w:tcPr>
            <w:tcW w:type="dxa" w:w="4680"/>
          </w:tcPr>
          <w:p>
            <w:pPr>
              <w:keepLines w:val="1"/>
              <w:keepNext w:val="1"/>
            </w:pPr>
            <w:r>
              <w:t>Business Continuity Plan: plan de continuidad de negocio ante interrupciones graves</w:t>
            </w:r>
          </w:p>
        </w:tc>
      </w:tr>
      <w:tr>
        <w:trPr>
          <w:cantSplit w:val="1"/>
        </w:trPr>
        <w:tc>
          <w:tcPr>
            <w:tcW w:type="dxa" w:w="4680"/>
          </w:tcPr>
          <w:p>
            <w:pPr>
              <w:keepLines w:val="1"/>
              <w:keepNext w:val="1"/>
            </w:pPr>
            <w:r>
              <w:t>ENS</w:t>
            </w:r>
          </w:p>
        </w:tc>
        <w:tc>
          <w:tcPr>
            <w:tcW w:type="dxa" w:w="4680"/>
          </w:tcPr>
          <w:p>
            <w:pPr>
              <w:keepLines w:val="1"/>
              <w:keepNext w:val="1"/>
            </w:pPr>
            <w:r>
              <w:t>Esquema Nacional de Seguridad (RD 311/2022): marco de seguridad para la Administración Pública española</w:t>
            </w:r>
          </w:p>
        </w:tc>
      </w:tr>
      <w:tr>
        <w:trPr>
          <w:cantSplit w:val="1"/>
        </w:trPr>
        <w:tc>
          <w:tcPr>
            <w:tcW w:type="dxa" w:w="4680"/>
          </w:tcPr>
          <w:p>
            <w:pPr>
              <w:keepLines w:val="1"/>
              <w:keepNext w:val="1"/>
            </w:pPr>
            <w:r>
              <w:t>NIS2</w:t>
            </w:r>
          </w:p>
        </w:tc>
        <w:tc>
          <w:tcPr>
            <w:tcW w:type="dxa" w:w="4680"/>
          </w:tcPr>
          <w:p>
            <w:pPr>
              <w:keepLines w:val="1"/>
              <w:keepNext w:val="1"/>
            </w:pPr>
            <w:r>
              <w:t>Network and Information Security Directive 2 (UE 2022/2555): directiva de seguridad de redes y sistemas de información</w:t>
            </w:r>
          </w:p>
        </w:tc>
      </w:tr>
      <w:tr>
        <w:trPr>
          <w:cantSplit w:val="1"/>
        </w:trPr>
        <w:tc>
          <w:tcPr>
            <w:tcW w:type="dxa" w:w="4680"/>
          </w:tcPr>
          <w:p>
            <w:pPr>
              <w:keepLines w:val="1"/>
              <w:keepNext w:val="1"/>
            </w:pPr>
            <w:r>
              <w:t>DORA</w:t>
            </w:r>
          </w:p>
        </w:tc>
        <w:tc>
          <w:tcPr>
            <w:tcW w:type="dxa" w:w="4680"/>
          </w:tcPr>
          <w:p>
            <w:pPr>
              <w:keepLines w:val="1"/>
              <w:keepNext w:val="1"/>
            </w:pPr>
            <w:r>
              <w:t>Digital Operational Resilience Act (UE 2022/2554): reglamento de resiliencia operativa digital para el sector financiero</w:t>
            </w:r>
          </w:p>
        </w:tc>
      </w:tr>
      <w:tr>
        <w:trPr>
          <w:cantSplit w:val="1"/>
        </w:trPr>
        <w:tc>
          <w:tcPr>
            <w:tcW w:type="dxa" w:w="4680"/>
          </w:tcPr>
          <w:p>
            <w:pPr>
              <w:keepLines w:val="1"/>
              <w:keepNext w:val="1"/>
            </w:pPr>
            <w:r>
              <w:t>EUMSS</w:t>
            </w:r>
          </w:p>
        </w:tc>
        <w:tc>
          <w:tcPr>
            <w:tcW w:type="dxa" w:w="4680"/>
          </w:tcPr>
          <w:p>
            <w:pPr>
              <w:keepLines w:val="1"/>
              <w:keepNext w:val="1"/>
            </w:pPr>
            <w:r>
              <w:t>European Managed Security Services (esquema de certificación europeo MSS, en desarrollo por ENISA desde 2025)</w:t>
            </w:r>
          </w:p>
        </w:tc>
      </w:tr>
      <w:tr>
        <w:trPr>
          <w:cantSplit w:val="1"/>
        </w:trPr>
        <w:tc>
          <w:tcPr>
            <w:tcW w:type="dxa" w:w="4680"/>
          </w:tcPr>
          <w:p>
            <w:pPr>
              <w:keepLines w:val="1"/>
            </w:pPr>
            <w:r>
              <w:t>ECSMAF</w:t>
            </w:r>
          </w:p>
        </w:tc>
        <w:tc>
          <w:tcPr>
            <w:tcW w:type="dxa" w:w="4680"/>
          </w:tcPr>
          <w:p>
            <w:pPr>
              <w:keepLines w:val="1"/>
            </w:pPr>
            <w:r>
              <w:t>ENISA Cybersecurity Market Analysis Framework (metodología V3.0, marzo 2026)</w:t>
            </w:r>
          </w:p>
        </w:tc>
      </w:tr>
    </w:tbl>
    <w:p/>
    <w:p>
      <w:r>
        <w:rPr>
          <w:i/>
        </w:rPr>
        <w:t>Guía Metodológica — Versión 1.0 · Abril 2026</w:t>
      </w:r>
      <w:r/>
      <w:r>
        <w:br/>
      </w:r>
      <w:r>
        <w:rPr>
          <w:i/>
        </w:rPr>
        <w:t>Basada en: ENISA ECSMAF V3.0, ENISA MSS Market Analysis 2025, NIST SP 800-55, ISO/IEC 27004, CMM-SOC, Braun &amp; Clarke (2006)</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