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🗺️ MAPEO NORMATIVO DE PREGUNTAS</w:t>
      </w:r>
    </w:p>
    <w:p>
      <w:pPr>
        <w:pStyle w:val="Heading2"/>
        <w:keepNext/>
        <w:keepLines/>
      </w:pPr>
      <w:r>
        <w:rPr>
          <w:color w:val="0066CC"/>
        </w:rPr>
        <w:t>Encuesta MSS — Correspondencia con Requisitos Regulatorios</w:t>
      </w:r>
    </w:p>
    <w:p>
      <w:pPr>
        <w:pStyle w:val="Heading3"/>
        <w:keepNext/>
        <w:keepLines/>
      </w:pPr>
      <w:r>
        <w:t>Cada Pregunta, Su Marco Legal y Su Consecuencia</w:t>
      </w:r>
    </w:p>
    <w:p>
      <w:pPr>
        <w:pStyle w:val="Heading4"/>
        <w:keepNext/>
        <w:keepLines/>
      </w:pPr>
      <w:r>
        <w:t>Versión 1.0 — Abril 2026</w:t>
      </w:r>
    </w:p>
    <w:p>
      <w:r>
        <w:rPr>
          <w:i/>
        </w:rPr>
        <w:t>"Las normas sin indicadores son deseos con sello oficial. Los indicadores sin normas son métricas en busca de consecuencias. Esta tabla es el matrimonio de ambos."</w:t>
      </w:r>
    </w:p>
    <w:p>
      <w:pPr>
        <w:pStyle w:val="Heading2"/>
        <w:keepNext/>
        <w:keepLines/>
      </w:pPr>
      <w:r>
        <w:rPr>
          <w:color w:val="0066CC"/>
        </w:rPr>
        <w:t>NOTA INTRODUCTORIA</w:t>
      </w:r>
    </w:p>
    <w:p>
      <w:r>
        <w:t>La siguiente tabla mapea cada pregunta de la Encuesta MSS a los requisitos normativos y marcos de buenas prácticas que la justifican. Las columnas indican:</w:t>
      </w:r>
    </w:p>
    <w:p>
      <w:pPr>
        <w:pStyle w:val="ListBullet"/>
        <w:keepLines w:val="1"/>
        <w:keepNext w:val="1"/>
        <w:widowControl w:val="1"/>
      </w:pPr>
      <w:r>
        <w:t>Pregunta: Identificador del bloque y pregunta</w:t>
      </w:r>
    </w:p>
    <w:p>
      <w:pPr>
        <w:pStyle w:val="ListBullet"/>
        <w:keepLines w:val="1"/>
        <w:keepNext w:val="1"/>
        <w:widowControl w:val="1"/>
      </w:pPr>
      <w:r>
        <w:t>Texto resumido: Resumen de lo que evalúa</w:t>
      </w:r>
    </w:p>
    <w:p>
      <w:pPr>
        <w:pStyle w:val="ListBullet"/>
        <w:keepLines w:val="1"/>
        <w:keepNext w:val="1"/>
        <w:widowControl w:val="1"/>
      </w:pPr>
      <w:r>
        <w:t>NIS2 / Ley Gobernanza: Artículos relevantes de la Directiva NIS2 y el Anteproyecto español</w:t>
      </w:r>
    </w:p>
    <w:p>
      <w:pPr>
        <w:pStyle w:val="ListBullet"/>
        <w:keepLines w:val="1"/>
        <w:keepNext w:val="1"/>
        <w:widowControl w:val="1"/>
      </w:pPr>
      <w:r>
        <w:t>ENS: Medidas y categorías del Esquema Nacional de Seguridad (RD 311/2022)</w:t>
      </w:r>
    </w:p>
    <w:p>
      <w:pPr>
        <w:pStyle w:val="ListBullet"/>
        <w:keepLines w:val="1"/>
        <w:keepNext w:val="1"/>
        <w:widowControl w:val="1"/>
      </w:pPr>
      <w:r>
        <w:t>DORA: Artículos relevantes del Reglamento (UE) 2022/2554</w:t>
      </w:r>
    </w:p>
    <w:p>
      <w:pPr>
        <w:pStyle w:val="ListBullet"/>
        <w:keepLines w:val="1"/>
        <w:keepNext w:val="1"/>
        <w:widowControl w:val="1"/>
      </w:pPr>
      <w:r>
        <w:t>ISO 27001:2022: Cláusulas y controles de Annex A relevantes</w:t>
      </w:r>
    </w:p>
    <w:p>
      <w:pPr>
        <w:pStyle w:val="ListBullet"/>
        <w:keepLines w:val="1"/>
        <w:keepNext w:val="1"/>
        <w:widowControl w:val="1"/>
      </w:pPr>
      <w:r>
        <w:t>NIST CSF 2.0: Funciones y subcategorías relevantes</w:t>
      </w:r>
    </w:p>
    <w:p>
      <w:pPr>
        <w:pStyle w:val="ListBullet"/>
        <w:keepLines w:val="1"/>
        <w:keepNext w:val="1"/>
        <w:widowControl w:val="1"/>
      </w:pPr>
      <w:r>
        <w:t>ENISA MSS / ECSMAF: Referencias al análisis de mercado MSS y el framework de análisis</w:t>
      </w:r>
    </w:p>
    <w:p>
      <w:pPr>
        <w:pStyle w:val="ListBullet"/>
        <w:keepLines w:val="1"/>
        <w:widowControl w:val="1"/>
      </w:pPr>
      <w:r>
        <w:t>Consecuencia regulatoria: Impacto de incumplimiento o brecha</w:t>
      </w:r>
    </w:p>
    <w:p>
      <w:pPr>
        <w:pStyle w:val="Heading2"/>
        <w:keepNext/>
        <w:keepLines/>
      </w:pPr>
      <w:r>
        <w:rPr>
          <w:color w:val="0066CC"/>
        </w:rPr>
        <w:t>TABLA DE MAPEO NORMATIVO COMPLETA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Texto resumido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Ley Gobernanza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(RD 311/2022)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ENISA MSS 2025 / ECSMAF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Consecuencia regulatoria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P0.5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Clasificación como Operador Esencial o Entidad Importante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3 NIS2; Art. 5-8 Anteproyecto Ley Gobernanza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No aplica directamente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 DORA (sector financiero)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GV.OC-01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ECSMAF V3.0 Sección 3.1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Multas hasta 10M€ o 2% facturación global (Operador Esencial)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Existencia de Estrategia de Ciberseguridad formal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21.1 NIS2; Art. 15 Anteproyecto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Política de seguridad (org.1, org.2)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6.1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5.2, 6.1, 6.2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GV.PO-01, GV.PO-02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ECSMAF Dimensión Gobernanza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Incumplimiento NIS2 Art. 21 → sanción administrativa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Frecuencia de revisión de la Estrategia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21.1 c) NIS2: gestión continua del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Revisión periódica implícita categoría ALTA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6.5 DORA: revisiones anuales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9.3 (revisión por dirección)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GV.PO-02, ID.RA-09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 Market Analysis: revisión de servicios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Estrategia obsoleta = incumplimiento del deber de diligencia NIS2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Existencia de función CISO o equivalente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20 NIS2: responsabilidad directiva en ciberseguridad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Responsable de seguridad obligatorio (org.4)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5 DORA: órganos de gestión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5.3 (roles y responsabilidades)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GV.RR-01, GV.RR-02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Ausencia de función CISO = riesgo de accountability difuso bajo NIS2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Reporte periódico a Alta Dirección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20.1 NIS2: gestión activa Alta Dirección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Implícito en revisión por dirección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5.2 e) DORA: reporte al órgano de dirección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9.3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GV.OV-01, GV.OV-02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Responsabilidad personal de miembros del Consejo bajo NIS2 Art. 20.2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Formación Alta Dirección en ciberseguridad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20.2 NIS2: obligación EXPLÍCITA de formación directiva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No explícito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5.4 DORA: conocimientos adecuados del órgano rector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7.2 (competencia)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GV.RR-04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Multa directa a miembros individuales de la Alta Dirección (NIS2)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Comité de Seguridad activo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NIS2: gobernanza de riesgos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org.4 (comités y responsabilidades)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5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6.1.1, Cl. 5.3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GV.OV-01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Ausencia = déficit de gobernanza en auditorías NIS2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Presupuesto ciberseguridad (% TI)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NIS2: medidas «proporcionales al riesgo»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Proporcionalidad según categoría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17.1 DORA: recursos adecuados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6.1.3 (tratamiento de riesgo con recursos)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GV.OV-05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ENISA: presupuesto MSS &lt; 10% como brecha de mercado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Insuficiencia presupuestaria = incumplimiento del principio de proporcionalidad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Modelo de provisión de seguridad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21.1 d) NIS2: seguridad en cadena de suministro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Externalización con responsabilidad retenida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28-30 DORA: gestión de riesgos de terceros TIC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A.5.19 (seguridad en relaciones con proveedores)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GV.SC-01, GV.SC-05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 Market Analysis: taxonomía de servicios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Responsabilidad no delegable al proveedor MSS bajo NIS2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Número de proveedores MSS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21.1 d)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28.2 DORA: identificación de dependencias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A.5.19, A.5.20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GV.SC-06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ENISA: concentración de mercado, riesgo de dependencia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Fragmentación excesiva = riesgo de coordinación en IR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Domicilio y control del proveedor MSS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21.1 NIS2; soberanía digital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28 DORA: evaluación de riesgos de proveedor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A.5.19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GV.SC-07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2025: 51% MSSPs bajo control no-UE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Riesgo geopolítico; potencial conflicto con GDPR (transferencias internacionales)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Servicios MSS contratados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NIS2: catálogo de medidas mínimas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Medidas técnicas ENS según categoría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 DORA: funciones críticas externalizadas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A.5.20, A.5.21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PR.AA, DE.CM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taxonomía de servicios (técnicos, consultoría, formación)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Ausencia de servicios mínimos = incumplimiento NIS2 Art. 21.2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Existencia de SLA formal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NIS2; Art. 28.9 d) DORA (SLAs documentados)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Contratos con proveedores críticos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30 DORA: cláusulas contractuales obligatorias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A.5.20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GV.SC-10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ENISA: brecha demanda/oferta en personalización de SLA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Ausencia de SLA = incumplimiento DORA Art. 30 para sector financiero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Métricas en SLA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NIS2; Art. 30.2 g) DORA (indicadores de rendimiento)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30.2 g) DORA: métricas de rendimiento obligatorias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A.5.20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GV.SC-10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ENISA: 24% demanda logra personalización vs. 0% oferta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DORA requiere explícitamente indicadores de rendimiento en contratos TIC críticos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Valoración de personalización de métricas MSS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30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A.5.20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brecha estructural de personalización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Indicador de calidad del contrato MSS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Monitorización del MTTD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23 NIS2: notificación en plazos (requiere detección)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op.mon.1 (monitorización del sistema)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11.6 DORA: métricas de resiliencia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A.8.16 (monitorización de actividades)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DE.CM-01, DE.AE-01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MTTD como métrica esencial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Sin MTTD medido = imposible cumplir plazos notificación NIS2 de 24h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Valor real del MTTD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23.1 NIS2: alerta temprana 24h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op.mon.1, op.exp.1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11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A.8.16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DE.CM-09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ENISA: MTTD como KPI primario MSS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MTTD &gt; 24h pone en riesgo el cumplimiento de la ventana de notificación NIS2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Monitorización del MTTR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c) NIS2: recuperación post-incidente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op.exp.3 (gestión de incidentes)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11.6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A.5.26 (respuesta a incidentes)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RS.MA-01, RC.RP-01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MTTR como KPI de respuesta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Valor real del MTTR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NIS2: medidas proporcionales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11 DORA: resiliencia operativa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A.5.26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RS.MA-04, RC.RP-02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indicadores temporales core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MTTR &gt; 72h implica incapacidad de recuperación en el plazo de notificación NIS2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Tasa de falsos positivos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op.mon.1: eficacia de monitorización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A.8.16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DE.AE-04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calidad de detección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Alta FPR = fatiga de analistas = incidentes reales no detectados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Asset Coverage Ratio (ACR)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a) NIS2: políticas de seguridad sobre activos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op.inv.1 (inventario de activos)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8 DORA: gestión de activos TIC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A.5.9 (inventario de activos)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ID.AM-01, ID.AM-02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ECSMAF: cobertura como dimensión de madurez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ACR &lt; 80% = superficie sin monitorizar; riesgo de incidentes no detectados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Gestión continua de vulnerabilidades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b) NIS2: gestión de vulnerabilidades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op.exp.2 (gestión de vulnerabilidades)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9.4 DORA: pruebas de vulnerabilidades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A.8.8 (gestión de vulnerabilidades técnicas)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ID.RA-01, PR.PS-02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NIS2 Art. 21.2 b) exige explícitamente gestión de vulnerabilidades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Tiempo de remediación de CVEs críticas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b)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9.4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ID.RA-05, PR.PS-02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CVE crítica sin parchear &gt; 30 días = riesgo de explotación activa (CISA KEV)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Threat Hunting proactivo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a) NIS2: detección de amenazas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op.mon.3 (detección de intrusiones)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11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A.5.25 (evaluación de eventos)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DE.AE-07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Threat Hunting como servicio premium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P3.10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Capacidad de respuesta 24×7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c) NIS2; Art. 23 (notificación sin demora)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11.1 DORA: continuidad del proceso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A.5.26 (respuesta a incidentes de seguridad)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RS.MA-01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disponibilidad como KPI de SLA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Sin 24×7 = imposible cumplir ventana de alerta NIS2 de 24h en incidentes nocturnos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Estado conformidad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ENS RD 311/2022: certificación obligatoria para AAPP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Incumplimiento ENS = suspensión de contratos con AAPP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Preparación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NIS2; Ley Gobernanza Ciberseguridad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GV.PO-02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ECSMAF: análisis brechas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Multas hasta 10M€ o 2% / 7M€ o 1.4% según clasificación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Plazos de notificación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23 NIS2: 24h/72h/1 mes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op.exp.7 (notificación de incidentes)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19 DORA: notificación 4h/24h/1 mes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A.5.24 (planificación de respuesta a incidentes)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RS.CO-02, RS.CO-03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Incumplimiento plazos = multa directa + notificación regulatoria obligatoria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Certificación ISO/IEC 27001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24 NIS2: uso de certificaciones europeas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ENS reconoce ISO 27001 como equivalente parcial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26.1 DORA: marcos de referencia reconocidos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ISO/IEC 27001:2022: todas las cláusulas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Todos los dominios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ISO 27004 adoptado por 92% proveedores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Certificación facilita demostración de cumplimiento NIS2 Art. 21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Conformidad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DORA Reglamento (UE) 2022/2554: en vigor enero 2025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Multas supervisoras del sector financiero (BCE, BdE)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Evaluaciones formales de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21.1 a) NIS2: política de análisis y gestión de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mp.inf.1, op.pl.1 (análisis de riesgos)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6.1 DORA: marco de gestión de riesgos TIC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6.1.2 (evaluación de riesgos)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ID.RA-01 al ID.RA-09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Ausencia de evaluación formal = incumplimiento base NIS2 Art. 21.1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Gestión riesgo de proveedores (TPRM)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21.1 d) NIS2; Art. 21.3 NIS2 (cadena de suministro)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Acuerdos con terceros: op.ext.1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28-30 DORA: marco completo TPRM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A.5.19 al A.5.22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GV.SC-01 al GV.SC-10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riesgo de cadena de suministro MSS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NIS2 exige evaluaciones de seguridad de proveedores críticos; DORA los codifica en detalle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Plan de Continuidad de Negocio (BCP)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c) NIS2: continuidad del negocio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op.cont.1, op.cont.2 (continuidad)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11 DORA: continuidad operativa y planes de recuperación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A.5.29, A.5.30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RC.RP-01, RC.RP-03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Ausencia de BCP con escenarios ciber = incumplimiento NIS2 Art. 21.2 c)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Frecuencia de simulacros ciber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c) NIS2: pruebas y ejercicios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op.cont.3 (pruebas y ensayos)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26 DORA: pruebas de resiliencia operativa digital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A.5.29 (preparación para interrupciones)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RC.IM-01, ID.IM-01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simulacros como servicio de formación MSS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DORA Art. 26: pruebas TLPT obligatorias para entidades financieras significativas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RTO/RPO definidos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c)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op.cont.1 (objetivos de recuperación)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11.3 DORA: objetivos de recuperación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A.5.29, A.5.30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RC.RP-03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RTO/RPO no probados = incumplimiento del principio de efectividad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Copias de seguridad verificadas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c)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mp.com.9 (copias de seguridad)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9.4 DORA: copias de seguridad y restauración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A.8.13 (copia de seguridad de la información)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PR.DS-11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Backup en misma red que producción = vector de ransomware documentado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Experiencia con ransomware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Contexto de incidente real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TL 2025: ransomware impacto más alto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Dato contextual para calibración de madurez real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SIEM operativo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a)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op.mon.1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11 DORA: detección precoz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A.8.16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DE.CM-01, DE.CM-09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SIEM/MDR como servicio central MSS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Sin SIEM = imposible cumplir requisitos de monitorización NIS2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Arquitectura Zero Trust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NIS2: medidas proporcionales avanzadas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op.acc.1 y siguientes (control de acceso)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 DORA: seguridad de red y protocolos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A.8.2, A.8.3 (gestión de accesos)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PR.AA-01 al PR.AA-05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Zero Trust como tendencia emergente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Zero Trust reduce superficie de ataque de movimiento lateral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Autenticación multifactor (MFA)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j) NIS2: autenticación multifactor explícita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op.acc.5 (autenticación)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9.4 b) DORA: autenticación fuerte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A.8.5 (autenticación segura)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PR.AA-03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NIS2 Art. 21.2 j) menciona explícitamente MFA como medida obligatoria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XDR/EDR avanzado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op.exp.5 (herramientas de seguridad)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9.4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A.8.16, A.8.22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DE.CM-01, PR.PS-01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MDR/XDR como servicio MSS esencial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Inventario de activos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a)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op.pl.1 (inventario de activos): OBLIGATORIO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8.1 DORA: registro de activos TIC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A.5.9 (inventario de activos)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ID.AM-01, ID.AM-02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ECSMAF: inventario como prerequisito de análisis de madurez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Inventario incompleto = shadow IT = superficie de ataque no gestionada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Entornos OT/ICS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NIS2: sectores OT incluidos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mp.if.7 (perímetro de seguridad física)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 DORA (si aplica sector)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A.8.1 al A.8.25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PR.IR-01 (segmentación de red)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OT como brecha de mercado identificada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Convergencia IT/OT sin segmentación = riesgo crítico para infraestructuras esenciales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Programa de formación y concienciación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20.2 NIS2; Art. 21.2 i) NIS2: higiene cibernética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mp.per.3 (concienciación)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13.6 DORA: programas de formación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A.6.3 (concienciación, educación y formación)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PR.AT-01, PR.AT-02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formación como familia de servicios MSS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NIS2 Art. 21.2 i) exige higiene cibernética y formación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Simulacros de phishing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i)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mp.per.4 (formación)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13.6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A.6.3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PR.AT-01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simulaciones como servicio formativo MSS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Tasa de clics en phishing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Indicador de eficacia de formación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A.6.3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PR.AT-01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&gt; 20% tasa clics = brecha de concienciación significativa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Brecha de talento en ciberseguridad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NIS2: recursos adecuados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5.4 DORA: conocimientos adecuados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7.2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GV.RR-01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ENISA: crisis de talento como driver MSS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Brecha de talento justifica y exige adopción de MSS externos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Programa de amenaza interna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NIS2: seguridad de RRHH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mp.per.1 (gestión del personal)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5.9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A.6.1, A.6.2 (condiciones de empleo)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DE.AE-06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Insider Threat no gestionado = vector frecuente en incidentes de alto impacto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P8.1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Consumo de Threat Intelligence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f) NIS2: evaluación de eficacia de medidas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op.mon.5 (detección de intrusiones avanzada)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11.5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A.5.7 (inteligencia sobre amenazas)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DE.AE-02, ID.RA-02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CTI como servicio MSS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A.5.7 ISO 27001:2022 introduce explícitamente inteligencia de amenazas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P8.2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Participación en plataformas de intercambio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29 NIS2: acuerdos de intercambio de información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45 DORA: intercambio de información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ID.RA-06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ENISA: plataformas compartición como buena práctica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NIS2 Art. 29 crea base legal para compartición voluntaria de información sobre amenazas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P8.3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Vigilancia Dark Web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NIS2: detección proactiva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op.mon.4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A.5.7, A.8.16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DE.AE-02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vigilancia digital como servicio CTI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P9.1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Cuantificación impacto económico (CRQ)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21.1 a) NIS2: gestión del riesgo con base económica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6.5 DORA: escenarios de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6.1.2 (valoración de riesgos)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ID.RA-08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CAS Research Paper 2025: CRQ metodología actuarial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ROSI no medido = argumento presupuestario débil ante la Alta Dirección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P9.2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Seguro de ciberriesgos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 (transferencia del riesgo)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6.1.3 (tratamiento del riesgo: transferencia)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ID.RA-09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Aon España 2025: mercado ciberseguro +12%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Ciberseguro inadecuado = exposición financiera residual sin cobertura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P9.3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Variación de prima de ciberseguro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Indicador de madurez del mercado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Aon España 2025: -7% primas Q1 2025 para mejores controles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Aumento de prima = señal del mercado de deterioro del perfil de riesgo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P9.4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Medición del ROSI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NIS2: proporcionalidad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17 DORA: coste-beneficio de medidas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6.1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GV.OV-05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ROSI negativo o no medido = incapacidad de justificar inversión en seguridad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P10.1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Evaluación de riesgo cuántico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NIS2: gestión de riesgos emergentes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 DORA: tecnologías emergentes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6.1.2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ID.RA-01, ID.RA-09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ENISA: PQC como driver de crecimiento MSS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«Harvest Now, Decrypt Later»: daño futuro por datos robados hoy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P10.2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Plan de transición PQC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6.1.3 (tratamiento de riesgo)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PR.PS-01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criptografía postcuántica como driver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PQC standards publicados agosto 2024: ventana de migración abierta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P10.3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Gestión «Harvest Now, Decrypt Later»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NIS2: protección de confidencialidad a largo plazo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mp.com.2 (cifrado)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A.8.24 (uso de la criptografía)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PR.DS-01, PR.DS-10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ENISA: riesgo cuántico como tendencia emergente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Sectores con datos larga vida (banca, defensa, salud): riesgo de retroacción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P10.4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IA en detección y respuesta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NIS2: eficacia de medidas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op.mon.1: herramientas avanzadas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11 DORA: herramientas de detección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A.8.16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DE.CM-09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IA como diferenciador de eficacia MSS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Microsoft: -40% MTTR con IA; +60% reducción falsos positivos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P10.5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Riesgos de IA generativa por empleados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NIS2: gestión de riesgos emergentes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mp.per.3 (concienciación de riesgos)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A.6.3, A.8.16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ID.RA-01, PR.AT-01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TL 2025: IA como vector de amenaza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Fraude IA +1.210% en 2025; deepfakes +880% (CyberSecStats 2026)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Localización y jurisdicción de datos en la nube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NIS2; RGPD Art. 46-49 (transferencias internacionales)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mp.com.1 (protección de la información)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28.8 DORA: localización del proveedor TIC crítico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A.5.33 (protección de registros)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PR.DS-01, PR.DS-10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ENISA: soberanía digital como dimensión de riesgo MSS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RGPD: transferencias a países sin decisión de adecuación requieren garantías adicionales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Estrategia de salida de proveedores MSS/cloud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21.1 d) NIS2: gestión de dependencias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28.2 f) y Art. 30.2 h) DORA: estrategias de salida OBLIGATORIAS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Cl. A.5.20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GV.SC-09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MSS: lock-in de proveedor como riesgo sistémico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DORA exige contractualmente estrategias de salida para proveedores TIC críticos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P12.1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Nivel de madurez global autoevaluado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Marco de referencia general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ENS: niveles de madurez implícitos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DORA: niveles de madurez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Todos los dominios CSF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CMM-SOC (niveles 1-5)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Indicador de autoconciencia organizacional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P12.2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Principales obstáculos de mejora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ECSMAF V3.0: análisis de barreras del mercado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Identificación de barreras sistémicas para políticas públicas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P12.3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Iniciativa prioritaria próximos 12 meses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ECSMAF V3.0: prioridades de inversión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Orientación de la hoja de ruta de mejora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P12.4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Observaciones abiertas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Enriquecimiento cualitativo del diagnóstico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DE ARTÍCULOS NIS2 DE MAYOR IMPACTO EN LA ENCUESTA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NIS2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que evalúan su cumplimiento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Gobernanza: responsabilidad directiva y formación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P1.3, P1.4, P1.5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de gestión de riesgos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P1.1, P1.2, P4.6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 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Políticas de análisis de riesgo, seguridad de activos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P3.6, P6.5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 b)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Gestión de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P3.1–P3.4, P3.7, P3.8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 c)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Continuidad del negocio y recuperación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P5.1–P5.4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 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Seguridad de la cadena de suministro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P2.3, P4.7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 f)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Eficacia de medidas de gestión de riesgos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P8.1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 i)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Higiene cibernética y formación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P7.1, P7.2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 j)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MFA y comunicaciones seguras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P6.3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Notificación de incidentes: 24h/72h/1 mes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P3.10, P4.3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Certificaciones y estándares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P4.4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Art. 29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Intercambio de información sobre amenazas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P8.2</w:t>
            </w:r>
          </w:p>
        </w:tc>
      </w:tr>
    </w:tbl>
    <w:p/>
    <w:p>
      <w:r>
        <w:rPr>
          <w:i/>
        </w:rPr>
        <w:t>Mapeo Normativo — Versión 1.0 · Abril 2026</w:t>
      </w:r>
      <w:r/>
      <w:r>
        <w:br/>
      </w:r>
      <w:r>
        <w:rPr>
          <w:i/>
        </w:rPr>
        <w:t>Fuentes normativas: Directiva (UE) 2022/2555 (NIS2), Reglamento (UE) 2022/2554 (DORA), Reglamento (UE) 2025/37, RD 311/2022 (ENS), ISO/IEC 27001:2022, NIST CSF 2.0, ENISA MSS Market Analysis junio 2025, ENISA ECSMAF V3.0 marzo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