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PLANTILLA DE REPORTE EJECUTIVO MSS</w:t>
      </w:r>
    </w:p>
    <w:p>
      <w:pPr>
        <w:pStyle w:val="Heading2"/>
        <w:keepNext/>
        <w:keepLines/>
      </w:pPr>
      <w:r>
        <w:rPr>
          <w:color w:val="0066CC"/>
        </w:rPr>
        <w:t>Estructura para Presentación PowerPoint/Impress</w:t>
      </w:r>
    </w:p>
    <w:p>
      <w:pPr>
        <w:pStyle w:val="Heading3"/>
        <w:keepNext/>
        <w:keepLines/>
      </w:pPr>
      <w:r>
        <w:t>Contenido, Diseño y Narrativa por Diapositiva</w:t>
      </w:r>
    </w:p>
    <w:p>
      <w:pPr>
        <w:pStyle w:val="Heading4"/>
        <w:keepNext/>
        <w:keepLines/>
      </w:pPr>
      <w:r>
        <w:t>Versión 1.0 — Abril 2026</w:t>
      </w:r>
    </w:p>
    <w:p>
      <w:r>
        <w:rPr>
          <w:i/>
        </w:rPr>
        <w:t>"El reporte ejecutivo es la traducción simultánea del lenguaje de los bits al lenguaje del dinero. Si alguno de los dos idiomas desaparece de la sala, la conversación pierde su razón de ser."</w:t>
      </w:r>
    </w:p>
    <w:p>
      <w:pPr>
        <w:pStyle w:val="Heading2"/>
        <w:keepNext/>
        <w:keepLines/>
      </w:pPr>
      <w:r>
        <w:rPr>
          <w:color w:val="0066CC"/>
        </w:rPr>
        <w:t>DESCRIPCIÓN GENERAL</w:t>
      </w:r>
    </w:p>
    <w:p>
      <w:r>
        <w:t xml:space="preserve">Esta plantilla define la estructura, contenido, narrativa recomendada y elementos visuales de un </w:t>
      </w:r>
      <w:r>
        <w:rPr>
          <w:b/>
        </w:rPr>
        <w:t>Reporte Ejecutivo MSS</w:t>
      </w:r>
      <w:r>
        <w:t xml:space="preserve"> para presentar los resultados del diagnóstico de madurez a la Alta Dirección, el Consejo de Administración o el Comité de Seguridad.</w:t>
      </w:r>
    </w:p>
    <w:p>
      <w:r>
        <w:rPr>
          <w:b/>
        </w:rPr>
        <w:t>Formato recomendado:</w:t>
      </w:r>
      <w:r>
        <w:t xml:space="preserve"> PowerPoint 365 / Google Slides / Canva Pro</w:t>
      </w:r>
      <w:r/>
      <w:r>
        <w:br/>
      </w:r>
      <w:r>
        <w:rPr>
          <w:b/>
        </w:rPr>
        <w:t>Número de diapositivas:</w:t>
      </w:r>
      <w:r>
        <w:t xml:space="preserve"> 16 diapositivas nucleares + 5 apéndices técnicos</w:t>
      </w:r>
      <w:r/>
      <w:r>
        <w:br/>
      </w:r>
      <w:r>
        <w:rPr>
          <w:b/>
        </w:rPr>
        <w:t>Duración estimada de presentación:</w:t>
      </w:r>
      <w:r>
        <w:t xml:space="preserve"> 20-30 minutos de presentación + 10-15 minutos de preguntas</w:t>
      </w:r>
      <w:r/>
      <w:r>
        <w:br/>
      </w:r>
      <w:r>
        <w:rPr>
          <w:b/>
        </w:rPr>
        <w:t>Audiencia objetivo:</w:t>
      </w:r>
      <w:r>
        <w:t xml:space="preserve"> CEO, CFO, COO, Consejo de Administración, Comité de Riesgos</w:t>
      </w:r>
      <w:r/>
      <w:r>
        <w:br/>
      </w:r>
      <w:r>
        <w:rPr>
          <w:b/>
        </w:rPr>
        <w:t>Nivel técnico:</w:t>
      </w:r>
      <w:r>
        <w:t xml:space="preserve"> No técnico (lenguaje de negocio, con referencias a regulación)</w:t>
      </w:r>
    </w:p>
    <w:p>
      <w:pPr>
        <w:pStyle w:val="Heading2"/>
        <w:keepNext/>
        <w:keepLines/>
      </w:pPr>
      <w:r>
        <w:rPr>
          <w:color w:val="0066CC"/>
        </w:rPr>
        <w:t>ESTRUCTURA DE LA PRESENTACIÓN: 16 DIAPOSITIVAS NUCLEARES</w:t>
      </w:r>
    </w:p>
    <w:p>
      <w:pPr>
        <w:pStyle w:val="Heading3"/>
        <w:keepNext/>
        <w:keepLines/>
      </w:pPr>
      <w:r>
        <w:t>DIAPOSITIVA 1 — PORTADA</w:t>
      </w:r>
    </w:p>
    <w:p>
      <w:r>
        <w:rPr>
          <w:b/>
        </w:rPr>
        <w:t>Título:</w:t>
      </w:r>
      <w:r>
        <w:t xml:space="preserve"> </w:t>
      </w:r>
      <w:r>
        <w:rPr>
          <w:rFonts w:ascii="Courier New" w:hAnsi="Courier New"/>
          <w:sz w:val="18"/>
        </w:rPr>
        <w:t>Diagnóstico de Madurez MSS — [Nombre de la Organización]</w:t>
      </w:r>
      <w:r/>
      <w:r>
        <w:br/>
      </w:r>
      <w:r>
        <w:rPr>
          <w:b/>
        </w:rPr>
        <w:t>Subtítulo:</w:t>
      </w:r>
      <w:r>
        <w:t xml:space="preserve"> </w:t>
      </w:r>
      <w:r>
        <w:rPr>
          <w:rFonts w:ascii="Courier New" w:hAnsi="Courier New"/>
          <w:sz w:val="18"/>
        </w:rPr>
        <w:t>Índice IGM-MSS y Análisis de Brechas · [Mes Año]</w:t>
      </w:r>
      <w:r/>
      <w:r>
        <w:br/>
      </w:r>
      <w:r>
        <w:rPr>
          <w:b/>
        </w:rPr>
        <w:t>Visual recomendado:</w:t>
      </w:r>
      <w:r>
        <w:t xml:space="preserve"> Imagen corporativa + logo + código de clasificación del documento (Confidencial)</w:t>
      </w:r>
      <w:r/>
      <w:r>
        <w:br/>
      </w:r>
      <w:r>
        <w:rPr>
          <w:b/>
        </w:rPr>
        <w:t>Elementos adicionales:</w:t>
      </w:r>
      <w:r>
        <w:t xml:space="preserve"> Nombre del presentador/a · Cargo · Fecha</w:t>
      </w:r>
    </w:p>
    <w:p>
      <w:r>
        <w:rPr>
          <w:b/>
        </w:rPr>
        <w:t>Nota de orador:</w:t>
      </w:r>
      <w:r>
        <w:t xml:space="preserve"> </w:t>
      </w:r>
      <w:r>
        <w:rPr>
          <w:i/>
        </w:rPr>
        <w:t>"Este informe traduce en indicadores medibles el estado de madurez de nuestra ciberseguridad gestionada. No es un informe de cumplimiento: es una conversación sobre riesgo, inversión y resiliencia."</w:t>
      </w:r>
    </w:p>
    <w:p>
      <w:pPr>
        <w:pStyle w:val="Heading3"/>
        <w:keepNext/>
        <w:keepLines/>
      </w:pPr>
      <w:r>
        <w:t>DIAPOSITIVA 2 — RESUMEN EJECUTIVO (Una página, 90 segundos)</w:t>
      </w:r>
    </w:p>
    <w:p>
      <w:r>
        <w:rPr>
          <w:b/>
        </w:rPr>
        <w:t>Estructura de la diapositiva:</w:t>
      </w:r>
    </w:p>
    <w:p>
      <w:pPr>
        <w:pStyle w:val="NoSpacing"/>
        <w:keepLines/>
        <w:shd w:fill="F5F5F5"/>
      </w:pPr>
      <w:r>
        <w:rPr>
          <w:rFonts w:ascii="Courier New" w:hAnsi="Courier New"/>
          <w:sz w:val="18"/>
        </w:rPr>
        <w:t>┌─────────────────────────────────────────────────────────┐</w:t>
        <w:br/>
        <w:t>│  IGM-MSS: [XX/100] — Nivel [X]: [Nombre del Nivel]      │</w:t>
        <w:br/>
        <w:t>│  ──────────────────────────────────────────────────────  │</w:t>
        <w:br/>
        <w:t>│  ✅ FORTALEZA 1: [Ej: Gobernanza ejecutiva sólida]       │</w:t>
        <w:br/>
        <w:t>│  ✅ FORTALEZA 2: [Ej: Plan de continuidad documentado]   │</w:t>
        <w:br/>
        <w:t>│  ✅ FORTALEZA 3: [Ej: Certificación ISO 27001 vigente]   │</w:t>
        <w:br/>
        <w:t>│  ──────────────────────────────────────────────────────  │</w:t>
        <w:br/>
        <w:t>│  ⚠️ BRECHA PRIORITARIA 1: [Ej: MFA no universal]        │</w:t>
        <w:br/>
        <w:t>│  ⚠️ BRECHA PRIORITARIA 2: [Ej: MTTD no medido]          │</w:t>
        <w:br/>
        <w:t>│  ⚠️ BRECHA PRIORITARIA 3: [Ej: BCP sin escenarios ciber] │</w:t>
        <w:br/>
        <w:t>│  ──────────────────────────────────────────────────────  │</w:t>
        <w:br/>
        <w:t>│  💶 ROSI ESTIMADO: [XX%] | Exposición residual: [XX€]    │</w:t>
        <w:br/>
        <w:t>└─────────────────────────────────────────────────────────┘</w:t>
        <w:br/>
      </w:r>
    </w:p>
    <w:p>
      <w:r>
        <w:rPr>
          <w:b/>
        </w:rPr>
        <w:t>Nota de orador:</w:t>
      </w:r>
      <w:r>
        <w:t xml:space="preserve"> </w:t>
      </w:r>
      <w:r>
        <w:rPr>
          <w:i/>
        </w:rPr>
        <w:t>"En una sola pantalla: dónde estamos, qué nos protege y qué nos expone. Los detalles siguen en las próximas diapositivas."</w:t>
      </w:r>
    </w:p>
    <w:p>
      <w:pPr>
        <w:pStyle w:val="Heading3"/>
        <w:keepNext/>
        <w:keepLines/>
      </w:pPr>
      <w:r>
        <w:t>DIAPOSITIVA 3 — CONTEXTO: POR QUÉ AHORA (El paisaje de amenazas)</w:t>
      </w:r>
    </w:p>
    <w:p>
      <w:r>
        <w:rPr>
          <w:b/>
        </w:rPr>
        <w:t>Título:</w:t>
      </w:r>
      <w:r>
        <w:t xml:space="preserve"> </w:t>
      </w:r>
      <w:r>
        <w:rPr>
          <w:rFonts w:ascii="Courier New" w:hAnsi="Courier New"/>
          <w:sz w:val="18"/>
        </w:rPr>
        <w:t>El entorno de amenazas en 2025-2026: los números que justifican esta conversación</w:t>
      </w:r>
    </w:p>
    <w:p>
      <w:r>
        <w:rPr>
          <w:b/>
        </w:rPr>
        <w:t>Elementos visuales clave:</w:t>
      </w:r>
    </w:p>
    <w:p>
      <w:pPr>
        <w:pStyle w:val="ListBullet"/>
        <w:keepLines w:val="1"/>
        <w:keepNext w:val="1"/>
        <w:widowControl w:val="1"/>
      </w:pPr>
      <w:r>
        <w:t>Estadística 1 (grande, central): 122.223 incidentes gestionados por INCIBE en España en 2025 (+26%)</w:t>
      </w:r>
    </w:p>
    <w:p>
      <w:pPr>
        <w:pStyle w:val="ListBullet"/>
        <w:keepLines w:val="1"/>
        <w:keepNext w:val="1"/>
        <w:widowControl w:val="1"/>
      </w:pPr>
      <w:r>
        <w:t>Estadística 2: +880% deepfakes en 2025 / +1.210% fraude IA</w:t>
      </w:r>
    </w:p>
    <w:p>
      <w:pPr>
        <w:pStyle w:val="ListBullet"/>
        <w:keepLines w:val="1"/>
        <w:keepNext w:val="1"/>
        <w:widowControl w:val="1"/>
      </w:pPr>
      <w:r>
        <w:t>Estadística 3: 1.157 M€ invertidos por el Gobierno de España en ciberseguridad (mayo 2025)</w:t>
      </w:r>
    </w:p>
    <w:p>
      <w:pPr>
        <w:pStyle w:val="ListBullet"/>
        <w:keepLines w:val="1"/>
        <w:keepNext w:val="1"/>
        <w:widowControl w:val="1"/>
      </w:pPr>
      <w:r>
        <w:t>Estadística 4: 51% de los MSSPs europeos bajo control de empresas no-UE</w:t>
      </w:r>
    </w:p>
    <w:p>
      <w:pPr>
        <w:pStyle w:val="ListBullet"/>
        <w:keepLines w:val="1"/>
        <w:widowControl w:val="1"/>
      </w:pPr>
      <w:r>
        <w:t>Indicador normativo: NIS2 en vigor · Multas hasta 10M€ o 2% facturación global</w:t>
      </w:r>
    </w:p>
    <w:p>
      <w:r>
        <w:rPr>
          <w:b/>
        </w:rPr>
        <w:t>Visual recomendado:</w:t>
      </w:r>
      <w:r>
        <w:t xml:space="preserve"> Mapa de Europa con puntos calientes de incidentes + barras de crecimiento temporal</w:t>
      </w:r>
    </w:p>
    <w:p>
      <w:r>
        <w:rPr>
          <w:b/>
        </w:rPr>
        <w:t>Nota de orador:</w:t>
      </w:r>
      <w:r>
        <w:t xml:space="preserve"> </w:t>
      </w:r>
      <w:r>
        <w:rPr>
          <w:i/>
        </w:rPr>
        <w:t>"Estos números no son alarmismo: son el contexto operativo en el que nuestra organización compite todos los días."</w:t>
      </w:r>
    </w:p>
    <w:p>
      <w:pPr>
        <w:pStyle w:val="Heading3"/>
        <w:keepNext/>
        <w:keepLines/>
      </w:pPr>
      <w:r>
        <w:t>DIAPOSITIVA 4 — METODOLOGÍA (30 segundos, para credibilidad)</w:t>
      </w:r>
    </w:p>
    <w:p>
      <w:r>
        <w:rPr>
          <w:b/>
        </w:rPr>
        <w:t>Título:</w:t>
      </w:r>
      <w:r>
        <w:t xml:space="preserve"> </w:t>
      </w:r>
      <w:r>
        <w:rPr>
          <w:rFonts w:ascii="Courier New" w:hAnsi="Courier New"/>
          <w:sz w:val="18"/>
        </w:rPr>
        <w:t>Cómo hemos evaluado nuestra madurez</w:t>
      </w:r>
    </w:p>
    <w:p>
      <w:r>
        <w:rPr>
          <w:b/>
        </w:rPr>
        <w:t>Contenido:</w:t>
      </w:r>
    </w:p>
    <w:p>
      <w:pPr>
        <w:pStyle w:val="NoSpacing"/>
        <w:keepLines/>
        <w:shd w:fill="F5F5F5"/>
      </w:pPr>
      <w:r>
        <w:rPr>
          <w:rFonts w:ascii="Courier New" w:hAnsi="Courier New"/>
          <w:sz w:val="18"/>
        </w:rPr>
        <w:t>INSTRUMENTO: Encuesta MSS — 55 preguntas · 12 bloques temáticos</w:t>
        <w:br/>
        <w:t>MARCOS: NIS2 · ENS · DORA · ISO 27001 · NIST CSF 2.0 · ENISA MSS 2025</w:t>
        <w:br/>
        <w:t>ÍNDICE: IGM-MSS (0-100) · 5 Pilares ponderados</w:t>
        <w:br/>
        <w:t>BENCHMARK: Datos de referencia ENISA / AON España / INCIBE 2025</w:t>
        <w:br/>
        <w:t>RESPONDENTES: [N perfiles] · [Fechas de respuesta]</w:t>
        <w:br/>
      </w:r>
    </w:p>
    <w:p>
      <w:r>
        <w:rPr>
          <w:b/>
        </w:rPr>
        <w:t>Visual recomendado:</w:t>
      </w:r>
      <w:r>
        <w:t xml:space="preserve"> Diagrama de flujo sencillo: Encuesta → Puntuación → IGM-MSS → Benchmark → Recomendaciones</w:t>
      </w:r>
    </w:p>
    <w:p>
      <w:pPr>
        <w:pStyle w:val="Heading3"/>
        <w:keepNext/>
        <w:keepLines/>
      </w:pPr>
      <w:r>
        <w:t>DIAPOSITIVA 5 — RESULTADO GLOBAL: EL VELOCÍMETRO</w:t>
      </w:r>
    </w:p>
    <w:p>
      <w:r>
        <w:rPr>
          <w:b/>
        </w:rPr>
        <w:t>Título:</w:t>
      </w:r>
      <w:r>
        <w:t xml:space="preserve"> </w:t>
      </w:r>
      <w:r>
        <w:rPr>
          <w:rFonts w:ascii="Courier New" w:hAnsi="Courier New"/>
          <w:sz w:val="18"/>
        </w:rPr>
        <w:t>Nuestro IGM-MSS: [XX/100]</w:t>
      </w:r>
    </w:p>
    <w:p>
      <w:r>
        <w:rPr>
          <w:b/>
        </w:rPr>
        <w:t>Visual principal:</w:t>
      </w:r>
      <w:r>
        <w:t xml:space="preserve"> Gráfico tipo velocímetro (gauge) grande y central</w:t>
      </w:r>
    </w:p>
    <w:p>
      <w:pPr>
        <w:pStyle w:val="NoSpacing"/>
        <w:keepLines/>
        <w:shd w:fill="F5F5F5"/>
      </w:pPr>
      <w:r>
        <w:rPr>
          <w:rFonts w:ascii="Courier New" w:hAnsi="Courier New"/>
          <w:sz w:val="18"/>
        </w:rPr>
        <w:t>┌──────────────────────────────────────────────┐</w:t>
        <w:br/>
        <w:t>│         [VELOCÍMETRO IGM-MSS]                │</w:t>
        <w:br/>
        <w:t>│    0    20    40    60    80   100            │</w:t>
        <w:br/>
        <w:t>│  [🔴] [🟠] [🟡] [🟢lite] [🟢]               │</w:t>
        <w:br/>
        <w:t>│         ↑                                    │</w:t>
        <w:br/>
        <w:t>│      [XX puntos]                             │</w:t>
        <w:br/>
        <w:t>│   Nivel [X]: [Nombre]                        │</w:t>
        <w:br/>
        <w:t>│                                              │</w:t>
        <w:br/>
        <w:t>│  Benchmark sector: [XX] | Benchmark UE: [XX] │</w:t>
        <w:br/>
        <w:t>└──────────────────────────────────────────────┘</w:t>
        <w:br/>
      </w:r>
    </w:p>
    <w:p>
      <w:r>
        <w:rPr>
          <w:b/>
        </w:rPr>
        <w:t>Texto complementario:</w:t>
      </w:r>
      <w:r/>
      <w:r>
        <w:br/>
        <w:t>- "Nos situamos en el percentil [XX] de nuestro sector en España"</w:t>
      </w:r>
      <w:r/>
      <w:r>
        <w:br/>
        <w:t>- "Por encima / por debajo de la media del mercado UE en [X] puntos"</w:t>
      </w:r>
    </w:p>
    <w:p>
      <w:pPr>
        <w:pStyle w:val="Heading3"/>
        <w:keepNext/>
        <w:keepLines/>
      </w:pPr>
      <w:r>
        <w:t>DIAPOSITIVA 6 — PERFIL DE MADUREZ POR PILARES (Spider Chart)</w:t>
      </w:r>
    </w:p>
    <w:p>
      <w:r>
        <w:rPr>
          <w:b/>
        </w:rPr>
        <w:t>Título:</w:t>
      </w:r>
      <w:r>
        <w:t xml:space="preserve"> </w:t>
      </w:r>
      <w:r>
        <w:rPr>
          <w:rFonts w:ascii="Courier New" w:hAnsi="Courier New"/>
          <w:sz w:val="18"/>
        </w:rPr>
        <w:t>Fortalezas y Brechas: Perfil de Madurez por Pilares</w:t>
      </w:r>
    </w:p>
    <w:p>
      <w:r>
        <w:rPr>
          <w:b/>
        </w:rPr>
        <w:t>Visual principal:</w:t>
      </w:r>
      <w:r>
        <w:t xml:space="preserve"> Gráfico de radar / araña con 5 ejes:</w:t>
      </w:r>
      <w:r/>
      <w:r>
        <w:br/>
        <w:t>- Eje 1: Gobernanza y Estrategia (0-100)</w:t>
      </w:r>
      <w:r/>
      <w:r>
        <w:br/>
        <w:t>- Eje 2: Detección y Respuesta (0-100)</w:t>
      </w:r>
      <w:r/>
      <w:r>
        <w:br/>
        <w:t>- Eje 3: Cumplimiento y Riesgos (0-100)</w:t>
      </w:r>
      <w:r/>
      <w:r>
        <w:br/>
        <w:t>- Eje 4: Resiliencia y Capital Humano (0-100)</w:t>
      </w:r>
      <w:r/>
      <w:r>
        <w:br/>
        <w:t>- Eje 5: Tecnología y Madurez Emergente (0-100)</w:t>
      </w:r>
    </w:p>
    <w:p>
      <w:r>
        <w:rPr>
          <w:b/>
        </w:rPr>
        <w:t>Series en el gráfico:</w:t>
      </w:r>
      <w:r/>
      <w:r>
        <w:br/>
        <w:t>- Línea azul sólida: puntuación de la organización</w:t>
      </w:r>
      <w:r/>
      <w:r>
        <w:br/>
        <w:t>- Línea gris punteada: benchmark sectorial</w:t>
      </w:r>
      <w:r/>
      <w:r>
        <w:br/>
        <w:t>- Línea verde punteada fina: benchmark UE</w:t>
      </w:r>
    </w:p>
    <w:p>
      <w:r>
        <w:rPr>
          <w:b/>
        </w:rPr>
        <w:t>Tabla complementaria (opcional, abajo):</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Pilar</w:t>
            </w:r>
          </w:p>
        </w:tc>
        <w:tc>
          <w:tcPr>
            <w:tcW w:type="dxa" w:w="2340"/>
            <w:shd w:fill="0033CC"/>
          </w:tcPr>
          <w:p>
            <w:pPr>
              <w:keepLines w:val="1"/>
              <w:keepNext w:val="1"/>
            </w:pPr>
            <w:r>
              <w:rPr>
                <w:b/>
                <w:color w:val="FFFFFF"/>
              </w:rPr>
              <w:t>Puntuación</w:t>
            </w:r>
          </w:p>
        </w:tc>
        <w:tc>
          <w:tcPr>
            <w:tcW w:type="dxa" w:w="2340"/>
            <w:shd w:fill="0033CC"/>
          </w:tcPr>
          <w:p>
            <w:pPr>
              <w:keepLines w:val="1"/>
              <w:keepNext w:val="1"/>
            </w:pPr>
            <w:r>
              <w:rPr>
                <w:b/>
                <w:color w:val="FFFFFF"/>
              </w:rPr>
              <w:t>Benchmark Sector</w:t>
            </w:r>
          </w:p>
        </w:tc>
        <w:tc>
          <w:tcPr>
            <w:tcW w:type="dxa" w:w="2340"/>
            <w:shd w:fill="0033CC"/>
          </w:tcPr>
          <w:p>
            <w:pPr>
              <w:keepLines w:val="1"/>
              <w:keepNext w:val="1"/>
            </w:pPr>
            <w:r>
              <w:rPr>
                <w:b/>
                <w:color w:val="FFFFFF"/>
              </w:rPr>
              <w:t>Diferencia</w:t>
            </w:r>
          </w:p>
        </w:tc>
      </w:tr>
      <w:tr>
        <w:trPr>
          <w:cantSplit w:val="1"/>
        </w:trPr>
        <w:tc>
          <w:tcPr>
            <w:tcW w:type="dxa" w:w="2340"/>
          </w:tcPr>
          <w:p>
            <w:pPr>
              <w:keepLines w:val="1"/>
              <w:keepNext w:val="1"/>
            </w:pPr>
            <w:r>
              <w:t>I. Gobernanza</w:t>
            </w:r>
          </w:p>
        </w:tc>
        <w:tc>
          <w:tcPr>
            <w:tcW w:type="dxa" w:w="2340"/>
          </w:tcPr>
          <w:p>
            <w:pPr>
              <w:keepLines w:val="1"/>
              <w:keepNext w:val="1"/>
            </w:pPr>
            <w:r>
              <w:t>[XX]</w:t>
            </w:r>
          </w:p>
        </w:tc>
        <w:tc>
          <w:tcPr>
            <w:tcW w:type="dxa" w:w="2340"/>
          </w:tcPr>
          <w:p>
            <w:pPr>
              <w:keepLines w:val="1"/>
              <w:keepNext w:val="1"/>
            </w:pPr>
            <w:r>
              <w:t>[XX]</w:t>
            </w:r>
          </w:p>
        </w:tc>
        <w:tc>
          <w:tcPr>
            <w:tcW w:type="dxa" w:w="2340"/>
          </w:tcPr>
          <w:p>
            <w:pPr>
              <w:keepLines w:val="1"/>
              <w:keepNext w:val="1"/>
            </w:pPr>
            <w:r>
              <w:t>[+/-XX]</w:t>
            </w:r>
          </w:p>
        </w:tc>
      </w:tr>
      <w:tr>
        <w:trPr>
          <w:cantSplit w:val="1"/>
        </w:trPr>
        <w:tc>
          <w:tcPr>
            <w:tcW w:type="dxa" w:w="2340"/>
          </w:tcPr>
          <w:p>
            <w:pPr>
              <w:keepLines w:val="1"/>
              <w:keepNext w:val="1"/>
            </w:pPr>
            <w:r>
              <w:t>II. Detección</w:t>
            </w:r>
          </w:p>
        </w:tc>
        <w:tc>
          <w:tcPr>
            <w:tcW w:type="dxa" w:w="2340"/>
          </w:tcPr>
          <w:p>
            <w:pPr>
              <w:keepLines w:val="1"/>
              <w:keepNext w:val="1"/>
            </w:pPr>
            <w:r>
              <w:t>[XX]</w:t>
            </w:r>
          </w:p>
        </w:tc>
        <w:tc>
          <w:tcPr>
            <w:tcW w:type="dxa" w:w="2340"/>
          </w:tcPr>
          <w:p>
            <w:pPr>
              <w:keepLines w:val="1"/>
              <w:keepNext w:val="1"/>
            </w:pPr>
            <w:r>
              <w:t>[XX]</w:t>
            </w:r>
          </w:p>
        </w:tc>
        <w:tc>
          <w:tcPr>
            <w:tcW w:type="dxa" w:w="2340"/>
          </w:tcPr>
          <w:p>
            <w:pPr>
              <w:keepLines w:val="1"/>
              <w:keepNext w:val="1"/>
            </w:pPr>
            <w:r>
              <w:t>[+/-XX]</w:t>
            </w:r>
          </w:p>
        </w:tc>
      </w:tr>
      <w:tr>
        <w:trPr>
          <w:cantSplit w:val="1"/>
        </w:trPr>
        <w:tc>
          <w:tcPr>
            <w:tcW w:type="dxa" w:w="2340"/>
          </w:tcPr>
          <w:p>
            <w:pPr>
              <w:keepLines w:val="1"/>
              <w:keepNext w:val="1"/>
            </w:pPr>
            <w:r>
              <w:t>III. Cumplimiento</w:t>
            </w:r>
          </w:p>
        </w:tc>
        <w:tc>
          <w:tcPr>
            <w:tcW w:type="dxa" w:w="2340"/>
          </w:tcPr>
          <w:p>
            <w:pPr>
              <w:keepLines w:val="1"/>
              <w:keepNext w:val="1"/>
            </w:pPr>
            <w:r>
              <w:t>[XX]</w:t>
            </w:r>
          </w:p>
        </w:tc>
        <w:tc>
          <w:tcPr>
            <w:tcW w:type="dxa" w:w="2340"/>
          </w:tcPr>
          <w:p>
            <w:pPr>
              <w:keepLines w:val="1"/>
              <w:keepNext w:val="1"/>
            </w:pPr>
            <w:r>
              <w:t>[XX]</w:t>
            </w:r>
          </w:p>
        </w:tc>
        <w:tc>
          <w:tcPr>
            <w:tcW w:type="dxa" w:w="2340"/>
          </w:tcPr>
          <w:p>
            <w:pPr>
              <w:keepLines w:val="1"/>
              <w:keepNext w:val="1"/>
            </w:pPr>
            <w:r>
              <w:t>[+/-XX]</w:t>
            </w:r>
          </w:p>
        </w:tc>
      </w:tr>
      <w:tr>
        <w:trPr>
          <w:cantSplit w:val="1"/>
        </w:trPr>
        <w:tc>
          <w:tcPr>
            <w:tcW w:type="dxa" w:w="2340"/>
          </w:tcPr>
          <w:p>
            <w:pPr>
              <w:keepLines w:val="1"/>
              <w:keepNext w:val="1"/>
            </w:pPr>
            <w:r>
              <w:t>IV. Resiliencia</w:t>
            </w:r>
          </w:p>
        </w:tc>
        <w:tc>
          <w:tcPr>
            <w:tcW w:type="dxa" w:w="2340"/>
          </w:tcPr>
          <w:p>
            <w:pPr>
              <w:keepLines w:val="1"/>
              <w:keepNext w:val="1"/>
            </w:pPr>
            <w:r>
              <w:t>[XX]</w:t>
            </w:r>
          </w:p>
        </w:tc>
        <w:tc>
          <w:tcPr>
            <w:tcW w:type="dxa" w:w="2340"/>
          </w:tcPr>
          <w:p>
            <w:pPr>
              <w:keepLines w:val="1"/>
              <w:keepNext w:val="1"/>
            </w:pPr>
            <w:r>
              <w:t>[XX]</w:t>
            </w:r>
          </w:p>
        </w:tc>
        <w:tc>
          <w:tcPr>
            <w:tcW w:type="dxa" w:w="2340"/>
          </w:tcPr>
          <w:p>
            <w:pPr>
              <w:keepLines w:val="1"/>
              <w:keepNext w:val="1"/>
            </w:pPr>
            <w:r>
              <w:t>[+/-XX]</w:t>
            </w:r>
          </w:p>
        </w:tc>
      </w:tr>
      <w:tr>
        <w:trPr>
          <w:cantSplit w:val="1"/>
        </w:trPr>
        <w:tc>
          <w:tcPr>
            <w:tcW w:type="dxa" w:w="2340"/>
          </w:tcPr>
          <w:p>
            <w:pPr>
              <w:keepLines w:val="1"/>
            </w:pPr>
            <w:r>
              <w:t>V. Tecnología</w:t>
            </w:r>
          </w:p>
        </w:tc>
        <w:tc>
          <w:tcPr>
            <w:tcW w:type="dxa" w:w="2340"/>
          </w:tcPr>
          <w:p>
            <w:pPr>
              <w:keepLines w:val="1"/>
            </w:pPr>
            <w:r>
              <w:t>[XX]</w:t>
            </w:r>
          </w:p>
        </w:tc>
        <w:tc>
          <w:tcPr>
            <w:tcW w:type="dxa" w:w="2340"/>
          </w:tcPr>
          <w:p>
            <w:pPr>
              <w:keepLines w:val="1"/>
            </w:pPr>
            <w:r>
              <w:t>[XX]</w:t>
            </w:r>
          </w:p>
        </w:tc>
        <w:tc>
          <w:tcPr>
            <w:tcW w:type="dxa" w:w="2340"/>
          </w:tcPr>
          <w:p>
            <w:pPr>
              <w:keepLines w:val="1"/>
            </w:pPr>
            <w:r>
              <w:t>[+/-XX]</w:t>
            </w:r>
          </w:p>
        </w:tc>
      </w:tr>
    </w:tbl>
    <w:p/>
    <w:p>
      <w:pPr>
        <w:pStyle w:val="Heading3"/>
        <w:keepNext/>
        <w:keepLines/>
      </w:pPr>
      <w:r>
        <w:t>DIAPOSITIVA 7 — PILAR II EN DETALLE: LOS TIEMPOS QUE IMPORTAN</w:t>
      </w:r>
    </w:p>
    <w:p>
      <w:r>
        <w:rPr>
          <w:b/>
        </w:rPr>
        <w:t>Título:</w:t>
      </w:r>
      <w:r>
        <w:t xml:space="preserve"> </w:t>
      </w:r>
      <w:r>
        <w:rPr>
          <w:rFonts w:ascii="Courier New" w:hAnsi="Courier New"/>
          <w:sz w:val="18"/>
        </w:rPr>
        <w:t>Detección y Respuesta: El Reloj del Atacante vs. el Nuestro</w:t>
      </w:r>
    </w:p>
    <w:p>
      <w:r>
        <w:rPr>
          <w:b/>
        </w:rPr>
        <w:t>Visual recomendado:</w:t>
      </w:r>
      <w:r>
        <w:t xml:space="preserve"> Línea de tiempo comparativa</w:t>
      </w:r>
    </w:p>
    <w:p>
      <w:pPr>
        <w:pStyle w:val="NoSpacing"/>
        <w:keepLines/>
        <w:shd w:fill="F5F5F5"/>
      </w:pPr>
      <w:r>
        <w:rPr>
          <w:rFonts w:ascii="Courier New" w:hAnsi="Courier New"/>
          <w:sz w:val="18"/>
        </w:rPr>
        <w:t>Tiempo del atacante: 48 minutos para comprometer un sistema (CrowdStrike 2025)</w:t>
        <w:br/>
        <w:t xml:space="preserve">              │</w:t>
        <w:br/>
        <w:t xml:space="preserve">              ▼</w:t>
        <w:br/>
        <w:t xml:space="preserve">  Minuto 0    Hora 1    Hora 4    Hora 24    Día 3    Día 7</w:t>
        <w:br/>
        <w:t xml:space="preserve">     │           │         │          │        │        │</w:t>
        <w:br/>
        <w:t xml:space="preserve">     │           │         │          │        │        │</w:t>
        <w:br/>
        <w:t xml:space="preserve">  [IDEAL]      [BIEN]   [ACEPTABLE] [LÍMITE NIS2]  [RIESGO] [CRÍTICO]</w:t>
        <w:br/>
        <w:t xml:space="preserve">  MTTD&lt;15min  &lt;1hora    &lt;4horas     &lt;24horas  &lt;3días   &gt;7días</w:t>
        <w:br/>
        <w:t xml:space="preserve">                                    ↑</w:t>
        <w:br/>
        <w:t xml:space="preserve">                        VENTANA NOTIFICACIÓN NIS2 (24h)</w:t>
        <w:br/>
        <w:br/>
        <w:t xml:space="preserve">  NUESTRO MTTD ACTUAL: [XX horas/minutos] ← Se ubica en la línea</w:t>
        <w:br/>
      </w:r>
    </w:p>
    <w:p>
      <w:r>
        <w:rPr>
          <w:b/>
        </w:rPr>
        <w:t>Texto clave:</w:t>
      </w:r>
      <w:r/>
      <w:r>
        <w:br/>
        <w:t>- "Cada hora de MTTD extra es una hora que el atacante opera sin restricciones"</w:t>
      </w:r>
      <w:r/>
      <w:r>
        <w:br/>
        <w:t>- "NIS2 exige notificación en 24h: sin MTTD medido, el cumplimiento es improbable"</w:t>
      </w:r>
    </w:p>
    <w:p>
      <w:pPr>
        <w:pStyle w:val="Heading3"/>
        <w:keepNext/>
        <w:keepLines/>
      </w:pPr>
      <w:r>
        <w:t>DIAPOSITIVA 8 — EXPOSICIÓN REGULATORIA: LO QUE ESTÁ EN JUEGO</w:t>
      </w:r>
    </w:p>
    <w:p>
      <w:r>
        <w:rPr>
          <w:b/>
        </w:rPr>
        <w:t>Título:</w:t>
      </w:r>
      <w:r>
        <w:t xml:space="preserve"> </w:t>
      </w:r>
      <w:r>
        <w:rPr>
          <w:rFonts w:ascii="Courier New" w:hAnsi="Courier New"/>
          <w:sz w:val="18"/>
        </w:rPr>
        <w:t>Nuestras Obligaciones Regulatorias en 2026: El Mapa Completo</w:t>
      </w:r>
    </w:p>
    <w:p>
      <w:r>
        <w:rPr>
          <w:b/>
        </w:rPr>
        <w:t>Visual recomendado:</w:t>
      </w:r>
      <w:r>
        <w:t xml:space="preserve"> Tabla de semáforo de cumplimiento</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Marco Regulatorio</w:t>
            </w:r>
          </w:p>
        </w:tc>
        <w:tc>
          <w:tcPr>
            <w:tcW w:type="dxa" w:w="1872"/>
            <w:shd w:fill="0033CC"/>
          </w:tcPr>
          <w:p>
            <w:pPr>
              <w:keepLines w:val="1"/>
              <w:keepNext w:val="1"/>
            </w:pPr>
            <w:r>
              <w:rPr>
                <w:b/>
                <w:color w:val="FFFFFF"/>
              </w:rPr>
              <w:t>Estado Actual</w:t>
            </w:r>
          </w:p>
        </w:tc>
        <w:tc>
          <w:tcPr>
            <w:tcW w:type="dxa" w:w="1872"/>
            <w:shd w:fill="0033CC"/>
          </w:tcPr>
          <w:p>
            <w:pPr>
              <w:keepLines w:val="1"/>
              <w:keepNext w:val="1"/>
            </w:pPr>
            <w:r>
              <w:rPr>
                <w:b/>
                <w:color w:val="FFFFFF"/>
              </w:rPr>
              <w:t>Plazo</w:t>
            </w:r>
          </w:p>
        </w:tc>
        <w:tc>
          <w:tcPr>
            <w:tcW w:type="dxa" w:w="1872"/>
            <w:shd w:fill="0033CC"/>
          </w:tcPr>
          <w:p>
            <w:pPr>
              <w:keepLines w:val="1"/>
              <w:keepNext w:val="1"/>
            </w:pPr>
            <w:r>
              <w:rPr>
                <w:b/>
                <w:color w:val="FFFFFF"/>
              </w:rPr>
              <w:t>Exposición</w:t>
            </w:r>
          </w:p>
        </w:tc>
        <w:tc>
          <w:tcPr>
            <w:tcW w:type="dxa" w:w="1872"/>
            <w:shd w:fill="0033CC"/>
          </w:tcPr>
          <w:p>
            <w:pPr>
              <w:keepLines w:val="1"/>
              <w:keepNext w:val="1"/>
            </w:pPr>
            <w:r>
              <w:rPr>
                <w:b/>
                <w:color w:val="FFFFFF"/>
              </w:rPr>
              <w:t>Prioridad</w:t>
            </w:r>
          </w:p>
        </w:tc>
      </w:tr>
      <w:tr>
        <w:trPr>
          <w:cantSplit w:val="1"/>
        </w:trPr>
        <w:tc>
          <w:tcPr>
            <w:tcW w:type="dxa" w:w="1872"/>
          </w:tcPr>
          <w:p>
            <w:pPr>
              <w:keepLines w:val="1"/>
              <w:keepNext w:val="1"/>
            </w:pPr>
            <w:r>
              <w:t>NIS2 / Ley Gobernanza</w:t>
            </w:r>
          </w:p>
        </w:tc>
        <w:tc>
          <w:tcPr>
            <w:tcW w:type="dxa" w:w="1872"/>
          </w:tcPr>
          <w:p>
            <w:pPr>
              <w:keepLines w:val="1"/>
              <w:keepNext w:val="1"/>
            </w:pPr>
            <w:r>
              <w:t>🔴 / 🟡 / 🟢</w:t>
            </w:r>
          </w:p>
        </w:tc>
        <w:tc>
          <w:tcPr>
            <w:tcW w:type="dxa" w:w="1872"/>
          </w:tcPr>
          <w:p>
            <w:pPr>
              <w:keepLines w:val="1"/>
              <w:keepNext w:val="1"/>
            </w:pPr>
            <w:r>
              <w:t>En vigor</w:t>
            </w:r>
          </w:p>
        </w:tc>
        <w:tc>
          <w:tcPr>
            <w:tcW w:type="dxa" w:w="1872"/>
          </w:tcPr>
          <w:p>
            <w:pPr>
              <w:keepLines w:val="1"/>
              <w:keepNext w:val="1"/>
            </w:pPr>
            <w:r>
              <w:t>Hasta 10M€ o 2%</w:t>
            </w:r>
          </w:p>
        </w:tc>
        <w:tc>
          <w:tcPr>
            <w:tcW w:type="dxa" w:w="1872"/>
          </w:tcPr>
          <w:p>
            <w:pPr>
              <w:keepLines w:val="1"/>
              <w:keepNext w:val="1"/>
            </w:pPr>
            <w:r>
              <w:t>🔴 Alta</w:t>
            </w:r>
          </w:p>
        </w:tc>
      </w:tr>
      <w:tr>
        <w:trPr>
          <w:cantSplit w:val="1"/>
        </w:trPr>
        <w:tc>
          <w:tcPr>
            <w:tcW w:type="dxa" w:w="1872"/>
          </w:tcPr>
          <w:p>
            <w:pPr>
              <w:keepLines w:val="1"/>
              <w:keepNext w:val="1"/>
            </w:pPr>
            <w:r>
              <w:t>ENS (categoría aplicable)</w:t>
            </w:r>
          </w:p>
        </w:tc>
        <w:tc>
          <w:tcPr>
            <w:tcW w:type="dxa" w:w="1872"/>
          </w:tcPr>
          <w:p>
            <w:pPr>
              <w:keepLines w:val="1"/>
              <w:keepNext w:val="1"/>
            </w:pPr>
            <w:r>
              <w:t>🔴 / 🟡 / 🟢</w:t>
            </w:r>
          </w:p>
        </w:tc>
        <w:tc>
          <w:tcPr>
            <w:tcW w:type="dxa" w:w="1872"/>
          </w:tcPr>
          <w:p>
            <w:pPr>
              <w:keepLines w:val="1"/>
              <w:keepNext w:val="1"/>
            </w:pPr>
            <w:r>
              <w:t>Permanente</w:t>
            </w:r>
          </w:p>
        </w:tc>
        <w:tc>
          <w:tcPr>
            <w:tcW w:type="dxa" w:w="1872"/>
          </w:tcPr>
          <w:p>
            <w:pPr>
              <w:keepLines w:val="1"/>
              <w:keepNext w:val="1"/>
            </w:pPr>
            <w:r>
              <w:t>Suspensión contratos AAPP</w:t>
            </w:r>
          </w:p>
        </w:tc>
        <w:tc>
          <w:tcPr>
            <w:tcW w:type="dxa" w:w="1872"/>
          </w:tcPr>
          <w:p>
            <w:pPr>
              <w:keepLines w:val="1"/>
              <w:keepNext w:val="1"/>
            </w:pPr>
            <w:r>
              <w:t>🔴 Alta</w:t>
            </w:r>
          </w:p>
        </w:tc>
      </w:tr>
      <w:tr>
        <w:trPr>
          <w:cantSplit w:val="1"/>
        </w:trPr>
        <w:tc>
          <w:tcPr>
            <w:tcW w:type="dxa" w:w="1872"/>
          </w:tcPr>
          <w:p>
            <w:pPr>
              <w:keepLines w:val="1"/>
              <w:keepNext w:val="1"/>
            </w:pPr>
            <w:r>
              <w:t>DORA (si aplica)</w:t>
            </w:r>
          </w:p>
        </w:tc>
        <w:tc>
          <w:tcPr>
            <w:tcW w:type="dxa" w:w="1872"/>
          </w:tcPr>
          <w:p>
            <w:pPr>
              <w:keepLines w:val="1"/>
              <w:keepNext w:val="1"/>
            </w:pPr>
            <w:r>
              <w:t>🔴 / 🟡 / 🟢</w:t>
            </w:r>
          </w:p>
        </w:tc>
        <w:tc>
          <w:tcPr>
            <w:tcW w:type="dxa" w:w="1872"/>
          </w:tcPr>
          <w:p>
            <w:pPr>
              <w:keepLines w:val="1"/>
              <w:keepNext w:val="1"/>
            </w:pPr>
            <w:r>
              <w:t>Desde ene 2025</w:t>
            </w:r>
          </w:p>
        </w:tc>
        <w:tc>
          <w:tcPr>
            <w:tcW w:type="dxa" w:w="1872"/>
          </w:tcPr>
          <w:p>
            <w:pPr>
              <w:keepLines w:val="1"/>
              <w:keepNext w:val="1"/>
            </w:pPr>
            <w:r>
              <w:t>Sanciones BdE/CNMV</w:t>
            </w:r>
          </w:p>
        </w:tc>
        <w:tc>
          <w:tcPr>
            <w:tcW w:type="dxa" w:w="1872"/>
          </w:tcPr>
          <w:p>
            <w:pPr>
              <w:keepLines w:val="1"/>
              <w:keepNext w:val="1"/>
            </w:pPr>
            <w:r>
              <w:t>🔴 Alta</w:t>
            </w:r>
          </w:p>
        </w:tc>
      </w:tr>
      <w:tr>
        <w:trPr>
          <w:cantSplit w:val="1"/>
        </w:trPr>
        <w:tc>
          <w:tcPr>
            <w:tcW w:type="dxa" w:w="1872"/>
          </w:tcPr>
          <w:p>
            <w:pPr>
              <w:keepLines w:val="1"/>
              <w:keepNext w:val="1"/>
            </w:pPr>
            <w:r>
              <w:t>ISO 27001:2022</w:t>
            </w:r>
          </w:p>
        </w:tc>
        <w:tc>
          <w:tcPr>
            <w:tcW w:type="dxa" w:w="1872"/>
          </w:tcPr>
          <w:p>
            <w:pPr>
              <w:keepLines w:val="1"/>
              <w:keepNext w:val="1"/>
            </w:pPr>
            <w:r>
              <w:t>🔴 / 🟡 / 🟢</w:t>
            </w:r>
          </w:p>
        </w:tc>
        <w:tc>
          <w:tcPr>
            <w:tcW w:type="dxa" w:w="1872"/>
          </w:tcPr>
          <w:p>
            <w:pPr>
              <w:keepLines w:val="1"/>
              <w:keepNext w:val="1"/>
            </w:pPr>
            <w:r>
              <w:t>—</w:t>
            </w:r>
          </w:p>
        </w:tc>
        <w:tc>
          <w:tcPr>
            <w:tcW w:type="dxa" w:w="1872"/>
          </w:tcPr>
          <w:p>
            <w:pPr>
              <w:keepLines w:val="1"/>
              <w:keepNext w:val="1"/>
            </w:pPr>
            <w:r>
              <w:t>Reputacional + SLA</w:t>
            </w:r>
          </w:p>
        </w:tc>
        <w:tc>
          <w:tcPr>
            <w:tcW w:type="dxa" w:w="1872"/>
          </w:tcPr>
          <w:p>
            <w:pPr>
              <w:keepLines w:val="1"/>
              <w:keepNext w:val="1"/>
            </w:pPr>
            <w:r>
              <w:t>🟡 Media</w:t>
            </w:r>
          </w:p>
        </w:tc>
      </w:tr>
      <w:tr>
        <w:trPr>
          <w:cantSplit w:val="1"/>
        </w:trPr>
        <w:tc>
          <w:tcPr>
            <w:tcW w:type="dxa" w:w="1872"/>
          </w:tcPr>
          <w:p>
            <w:pPr>
              <w:keepLines w:val="1"/>
            </w:pPr>
            <w:r>
              <w:t>GDPR / LOPDGDD</w:t>
            </w:r>
          </w:p>
        </w:tc>
        <w:tc>
          <w:tcPr>
            <w:tcW w:type="dxa" w:w="1872"/>
          </w:tcPr>
          <w:p>
            <w:pPr>
              <w:keepLines w:val="1"/>
            </w:pPr>
            <w:r>
              <w:t>🔴 / 🟡 / 🟢</w:t>
            </w:r>
          </w:p>
        </w:tc>
        <w:tc>
          <w:tcPr>
            <w:tcW w:type="dxa" w:w="1872"/>
          </w:tcPr>
          <w:p>
            <w:pPr>
              <w:keepLines w:val="1"/>
            </w:pPr>
            <w:r>
              <w:t>Permanente</w:t>
            </w:r>
          </w:p>
        </w:tc>
        <w:tc>
          <w:tcPr>
            <w:tcW w:type="dxa" w:w="1872"/>
          </w:tcPr>
          <w:p>
            <w:pPr>
              <w:keepLines w:val="1"/>
            </w:pPr>
            <w:r>
              <w:t>Hasta 20M€ o 4%</w:t>
            </w:r>
          </w:p>
        </w:tc>
        <w:tc>
          <w:tcPr>
            <w:tcW w:type="dxa" w:w="1872"/>
          </w:tcPr>
          <w:p>
            <w:pPr>
              <w:keepLines w:val="1"/>
            </w:pPr>
            <w:r>
              <w:t>🟡 Media</w:t>
            </w:r>
          </w:p>
        </w:tc>
      </w:tr>
    </w:tbl>
    <w:p/>
    <w:p>
      <w:r>
        <w:rPr>
          <w:b/>
        </w:rPr>
        <w:t>Leyenda:</w:t>
      </w:r>
      <w:r>
        <w:t xml:space="preserve"> 🔴 Incumplimiento / Brecha significativa · 🟡 Parcialmente conforme · 🟢 Conforme</w:t>
      </w:r>
    </w:p>
    <w:p>
      <w:r>
        <w:rPr>
          <w:b/>
        </w:rPr>
        <w:t>Nota de orador:</w:t>
      </w:r>
      <w:r>
        <w:t xml:space="preserve"> </w:t>
      </w:r>
      <w:r>
        <w:rPr>
          <w:i/>
        </w:rPr>
        <w:t>"Este semáforo no es una evaluación de auditoría legal. Es una estimación de riesgo de cumplimiento basada en nuestras respuestas al diagnóstico."</w:t>
      </w:r>
    </w:p>
    <w:p>
      <w:pPr>
        <w:pStyle w:val="Heading3"/>
        <w:keepNext/>
        <w:keepLines/>
      </w:pPr>
      <w:r>
        <w:t>DIAPOSITIVA 9 — ROSI: EL LENGUAJE DEL DINERO</w:t>
      </w:r>
    </w:p>
    <w:p>
      <w:r>
        <w:rPr>
          <w:b/>
        </w:rPr>
        <w:t>Título:</w:t>
      </w:r>
      <w:r>
        <w:t xml:space="preserve"> </w:t>
      </w:r>
      <w:r>
        <w:rPr>
          <w:rFonts w:ascii="Courier New" w:hAnsi="Courier New"/>
          <w:sz w:val="18"/>
        </w:rPr>
        <w:t>¿Cuánto vale nuestra seguridad? El ROSI en euros</w:t>
      </w:r>
    </w:p>
    <w:p>
      <w:r>
        <w:rPr>
          <w:b/>
        </w:rPr>
        <w:t>Visual principal:</w:t>
      </w:r>
      <w:r>
        <w:t xml:space="preserve"> Gráfico de barras comparativo</w:t>
      </w:r>
    </w:p>
    <w:p>
      <w:pPr>
        <w:pStyle w:val="NoSpacing"/>
        <w:keepLines/>
        <w:shd w:fill="F5F5F5"/>
      </w:pPr>
      <w:r>
        <w:rPr>
          <w:rFonts w:ascii="Courier New" w:hAnsi="Courier New"/>
          <w:sz w:val="18"/>
        </w:rPr>
        <w:t>┌─────────────────────────────────────────────────┐</w:t>
        <w:br/>
        <w:t>│  SIN controles MSS → ALE estimada: [XX€/año]    │</w:t>
        <w:br/>
        <w:t>│  CON controles MSS → ALE reducida: [XX€/año]    │</w:t>
        <w:br/>
        <w:t>│                                                  │</w:t>
        <w:br/>
        <w:t>│  Pérdidas evitadas anuales: [XX€]                │</w:t>
        <w:br/>
        <w:t>│  Coste anual del servicio MSS: [XX€]             │</w:t>
        <w:br/>
        <w:t>│                                                  │</w:t>
        <w:br/>
        <w:t>│  ROSI = [XX%]    Payback = [X,X años]            │</w:t>
        <w:br/>
        <w:t>│                                                  │</w:t>
        <w:br/>
        <w:t>│  "Por cada euro invertido en MSS,                 │</w:t>
        <w:br/>
        <w:t>│   evitamos [X,X€] en pérdidas esperadas"         │</w:t>
        <w:br/>
        <w:t>└─────────────────────────────────────────────────┘</w:t>
        <w:br/>
      </w:r>
    </w:p>
    <w:p>
      <w:r>
        <w:rPr>
          <w:b/>
        </w:rPr>
        <w:t>Visual secundario:</w:t>
      </w:r>
      <w:r>
        <w:t xml:space="preserve"> Mini tabla de escenarios de sensibilidad (optimista / base / pesimista)</w:t>
      </w:r>
    </w:p>
    <w:p>
      <w:r>
        <w:rPr>
          <w:b/>
        </w:rPr>
        <w:t>Nota de orador:</w:t>
      </w:r>
      <w:r>
        <w:t xml:space="preserve"> </w:t>
      </w:r>
      <w:r>
        <w:rPr>
          <w:i/>
        </w:rPr>
        <w:t>"El ROSI no es una certeza matemática: es una estimación de probabilidades. Lo que sí es cierto es que sin los controles, la exposición financiera es real, medible y creciente."</w:t>
      </w:r>
    </w:p>
    <w:p>
      <w:pPr>
        <w:pStyle w:val="Heading3"/>
        <w:keepNext/>
        <w:keepLines/>
      </w:pPr>
      <w:r>
        <w:t>DIAPOSITIVA 10 — TOP 5 BRECHAS PRIORITARIAS</w:t>
      </w:r>
    </w:p>
    <w:p>
      <w:r>
        <w:rPr>
          <w:b/>
        </w:rPr>
        <w:t>Título:</w:t>
      </w:r>
      <w:r>
        <w:t xml:space="preserve"> </w:t>
      </w:r>
      <w:r>
        <w:rPr>
          <w:rFonts w:ascii="Courier New" w:hAnsi="Courier New"/>
          <w:sz w:val="18"/>
        </w:rPr>
        <w:t>Las cinco brechas que más exponen a la organización hoy</w:t>
      </w:r>
    </w:p>
    <w:p>
      <w:r>
        <w:rPr>
          <w:b/>
        </w:rPr>
        <w:t>Visual recomendado:</w:t>
      </w:r>
      <w:r>
        <w:t xml:space="preserve"> 5 tarjetas (cards) con impacto y esfuerzo estimado</w:t>
      </w:r>
    </w:p>
    <w:p>
      <w:pPr>
        <w:pStyle w:val="NoSpacing"/>
        <w:keepLines/>
        <w:shd w:fill="F5F5F5"/>
      </w:pPr>
      <w:r>
        <w:rPr>
          <w:rFonts w:ascii="Courier New" w:hAnsi="Courier New"/>
          <w:sz w:val="18"/>
        </w:rPr>
        <w:t>┌──────────────────────────────────────────────────────────────────┐</w:t>
        <w:br/>
        <w:t>│  BRECHA 1: [Nombre]                                              │</w:t>
        <w:br/>
        <w:t>│  Impacto: 🔴 Alto | Esfuerzo: 🟡 Medio | Plazo recomendado: 30d │</w:t>
        <w:br/>
        <w:t>│  Marco: NIS2 Art. [XX] | Puntuación actual: 0/4 | Objetivo: 3/4  │</w:t>
        <w:br/>
        <w:t>├──────────────────────────────────────────────────────────────────┤</w:t>
        <w:br/>
        <w:t>│  BRECHA 2: [Nombre]                                              │</w:t>
        <w:br/>
        <w:t>│  Impacto: 🔴 Alto | Esfuerzo: 🟢 Bajo  | Plazo recomendado: 60d │</w:t>
        <w:br/>
        <w:t>│  ...                                                             │</w:t>
        <w:br/>
        <w:t>└──────────────────────────────────────────────────────────────────┘</w:t>
        <w:br/>
      </w:r>
    </w:p>
    <w:p>
      <w:pPr>
        <w:pStyle w:val="Heading3"/>
        <w:keepNext/>
        <w:keepLines/>
      </w:pPr>
      <w:r>
        <w:t>DIAPOSITIVA 11 — HOJA DE RUTA DE MEJORA (ROADMAP)</w:t>
      </w:r>
    </w:p>
    <w:p>
      <w:r>
        <w:rPr>
          <w:b/>
        </w:rPr>
        <w:t>Título:</w:t>
      </w:r>
      <w:r>
        <w:t xml:space="preserve"> </w:t>
      </w:r>
      <w:r>
        <w:rPr>
          <w:rFonts w:ascii="Courier New" w:hAnsi="Courier New"/>
          <w:sz w:val="18"/>
        </w:rPr>
        <w:t>Hoja de Ruta: De Donde Estamos a Donde Necesitamos Estar</w:t>
      </w:r>
    </w:p>
    <w:p>
      <w:r>
        <w:rPr>
          <w:b/>
        </w:rPr>
        <w:t>Visual recomendado:</w:t>
      </w:r>
      <w:r>
        <w:t xml:space="preserve"> Diagrama de Gantt simplificado con 3 horizontes temporales</w:t>
      </w:r>
    </w:p>
    <w:p>
      <w:pPr>
        <w:pStyle w:val="NoSpacing"/>
        <w:keepLines/>
        <w:shd w:fill="F5F5F5"/>
      </w:pPr>
      <w:r>
        <w:rPr>
          <w:rFonts w:ascii="Courier New" w:hAnsi="Courier New"/>
          <w:sz w:val="18"/>
        </w:rPr>
        <w:t>HORIZONTE INMEDIATO (0-3 meses) — «Quick Wins»</w:t>
        <w:br/>
        <w:t xml:space="preserve">  ✦ [Acción 1]: [descripción breve] — [responsable] — [coste estimado]</w:t>
        <w:br/>
        <w:t xml:space="preserve">  ✦ [Acción 2]: [descripción breve] — [responsable] — [coste estimado]</w:t>
        <w:br/>
        <w:t xml:space="preserve">  ✦ [Acción 3]: [descripción breve] — [responsable] — [coste estimado]</w:t>
        <w:br/>
        <w:br/>
        <w:t>HORIZONTE MEDIO (3-12 meses) — «Inversiones Estratégicas»</w:t>
        <w:br/>
        <w:t xml:space="preserve">  ✦ [Acción 4]: [descripción breve] — [responsable] — [coste estimado]</w:t>
        <w:br/>
        <w:t xml:space="preserve">  ✦ [Acción 5]: [descripción breve] — [responsable] — [coste estimado]</w:t>
        <w:br/>
        <w:br/>
        <w:t>HORIZONTE LARGO (12-24 meses) — «Transformación de Madurez»</w:t>
        <w:br/>
        <w:t xml:space="preserve">  ✦ [Acción 6]: [descripción breve] — [responsable] — [coste estimado]</w:t>
        <w:br/>
        <w:t xml:space="preserve">  ✦ [Acción 7]: [descripción breve] — [responsable] — [coste estimado]</w:t>
        <w:br/>
      </w:r>
    </w:p>
    <w:p>
      <w:r>
        <w:rPr>
          <w:b/>
        </w:rPr>
        <w:t>IGM-MSS proyectado al año:</w:t>
      </w:r>
      <w:r/>
      <w:r>
        <w:br/>
        <w:t>- Línea de tendencia: de [XX] actual → [XX+15] en 6 meses → [XX+25] en 12 meses</w:t>
      </w:r>
    </w:p>
    <w:p>
      <w:pPr>
        <w:pStyle w:val="Heading3"/>
        <w:keepNext/>
        <w:keepLines/>
      </w:pPr>
      <w:r>
        <w:t>DIAPOSITIVA 12 — ANÁLISIS DE PROVEEDORES MSS</w:t>
      </w:r>
    </w:p>
    <w:p>
      <w:r>
        <w:rPr>
          <w:b/>
        </w:rPr>
        <w:t>Título:</w:t>
      </w:r>
      <w:r>
        <w:t xml:space="preserve"> </w:t>
      </w:r>
      <w:r>
        <w:rPr>
          <w:rFonts w:ascii="Courier New" w:hAnsi="Courier New"/>
          <w:sz w:val="18"/>
        </w:rPr>
        <w:t>Nuestros Proveedores MSS: Calidad, Cobertura y Soberanía Digital</w:t>
      </w:r>
    </w:p>
    <w:p>
      <w:r>
        <w:rPr>
          <w:b/>
        </w:rPr>
        <w:t>Contenido para cada proveedor:</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Dimensión</w:t>
            </w:r>
          </w:p>
        </w:tc>
        <w:tc>
          <w:tcPr>
            <w:tcW w:type="dxa" w:w="3120"/>
            <w:shd w:fill="0033CC"/>
          </w:tcPr>
          <w:p>
            <w:pPr>
              <w:keepLines w:val="1"/>
              <w:keepNext w:val="1"/>
            </w:pPr>
            <w:r>
              <w:rPr>
                <w:b/>
                <w:color w:val="FFFFFF"/>
              </w:rPr>
              <w:t>Estado</w:t>
            </w:r>
          </w:p>
        </w:tc>
        <w:tc>
          <w:tcPr>
            <w:tcW w:type="dxa" w:w="3120"/>
            <w:shd w:fill="0033CC"/>
          </w:tcPr>
          <w:p>
            <w:pPr>
              <w:keepLines w:val="1"/>
              <w:keepNext w:val="1"/>
            </w:pPr>
            <w:r>
              <w:rPr>
                <w:b/>
                <w:color w:val="FFFFFF"/>
              </w:rPr>
              <w:t>Semáforo</w:t>
            </w:r>
          </w:p>
        </w:tc>
      </w:tr>
      <w:tr>
        <w:trPr>
          <w:cantSplit w:val="1"/>
        </w:trPr>
        <w:tc>
          <w:tcPr>
            <w:tcW w:type="dxa" w:w="3120"/>
          </w:tcPr>
          <w:p>
            <w:pPr>
              <w:keepLines w:val="1"/>
              <w:keepNext w:val="1"/>
            </w:pPr>
            <w:r>
              <w:t>Cobertura de servicios MSS</w:t>
            </w:r>
          </w:p>
        </w:tc>
        <w:tc>
          <w:tcPr>
            <w:tcW w:type="dxa" w:w="3120"/>
          </w:tcPr>
          <w:p>
            <w:pPr>
              <w:keepLines w:val="1"/>
              <w:keepNext w:val="1"/>
            </w:pPr>
            <w:r>
              <w:t>[descripción]</w:t>
            </w:r>
          </w:p>
        </w:tc>
        <w:tc>
          <w:tcPr>
            <w:tcW w:type="dxa" w:w="3120"/>
          </w:tcPr>
          <w:p>
            <w:pPr>
              <w:keepLines w:val="1"/>
              <w:keepNext w:val="1"/>
            </w:pPr>
            <w:r>
              <w:t>🔴/🟡/🟢</w:t>
            </w:r>
          </w:p>
        </w:tc>
      </w:tr>
      <w:tr>
        <w:trPr>
          <w:cantSplit w:val="1"/>
        </w:trPr>
        <w:tc>
          <w:tcPr>
            <w:tcW w:type="dxa" w:w="3120"/>
          </w:tcPr>
          <w:p>
            <w:pPr>
              <w:keepLines w:val="1"/>
              <w:keepNext w:val="1"/>
            </w:pPr>
            <w:r>
              <w:t>Personalización de SLA y métricas</w:t>
            </w:r>
          </w:p>
        </w:tc>
        <w:tc>
          <w:tcPr>
            <w:tcW w:type="dxa" w:w="3120"/>
          </w:tcPr>
          <w:p>
            <w:pPr>
              <w:keepLines w:val="1"/>
              <w:keepNext w:val="1"/>
            </w:pPr>
            <w:r>
              <w:t>[descripción]</w:t>
            </w:r>
          </w:p>
        </w:tc>
        <w:tc>
          <w:tcPr>
            <w:tcW w:type="dxa" w:w="3120"/>
          </w:tcPr>
          <w:p>
            <w:pPr>
              <w:keepLines w:val="1"/>
              <w:keepNext w:val="1"/>
            </w:pPr>
            <w:r>
              <w:t>🔴/🟡/🟢</w:t>
            </w:r>
          </w:p>
        </w:tc>
      </w:tr>
      <w:tr>
        <w:trPr>
          <w:cantSplit w:val="1"/>
        </w:trPr>
        <w:tc>
          <w:tcPr>
            <w:tcW w:type="dxa" w:w="3120"/>
          </w:tcPr>
          <w:p>
            <w:pPr>
              <w:keepLines w:val="1"/>
              <w:keepNext w:val="1"/>
            </w:pPr>
            <w:r>
              <w:t>Control y domicilio UE</w:t>
            </w:r>
          </w:p>
        </w:tc>
        <w:tc>
          <w:tcPr>
            <w:tcW w:type="dxa" w:w="3120"/>
          </w:tcPr>
          <w:p>
            <w:pPr>
              <w:keepLines w:val="1"/>
              <w:keepNext w:val="1"/>
            </w:pPr>
            <w:r>
              <w:t>[descripción]</w:t>
            </w:r>
          </w:p>
        </w:tc>
        <w:tc>
          <w:tcPr>
            <w:tcW w:type="dxa" w:w="3120"/>
          </w:tcPr>
          <w:p>
            <w:pPr>
              <w:keepLines w:val="1"/>
              <w:keepNext w:val="1"/>
            </w:pPr>
            <w:r>
              <w:t>🔴/🟡/🟢</w:t>
            </w:r>
          </w:p>
        </w:tc>
      </w:tr>
      <w:tr>
        <w:trPr>
          <w:cantSplit w:val="1"/>
        </w:trPr>
        <w:tc>
          <w:tcPr>
            <w:tcW w:type="dxa" w:w="3120"/>
          </w:tcPr>
          <w:p>
            <w:pPr>
              <w:keepLines w:val="1"/>
              <w:keepNext w:val="1"/>
            </w:pPr>
            <w:r>
              <w:t>Estrategia de salida documentada</w:t>
            </w:r>
          </w:p>
        </w:tc>
        <w:tc>
          <w:tcPr>
            <w:tcW w:type="dxa" w:w="3120"/>
          </w:tcPr>
          <w:p>
            <w:pPr>
              <w:keepLines w:val="1"/>
              <w:keepNext w:val="1"/>
            </w:pPr>
            <w:r>
              <w:t>[descripción]</w:t>
            </w:r>
          </w:p>
        </w:tc>
        <w:tc>
          <w:tcPr>
            <w:tcW w:type="dxa" w:w="3120"/>
          </w:tcPr>
          <w:p>
            <w:pPr>
              <w:keepLines w:val="1"/>
              <w:keepNext w:val="1"/>
            </w:pPr>
            <w:r>
              <w:t>🔴/🟡/🟢</w:t>
            </w:r>
          </w:p>
        </w:tc>
      </w:tr>
      <w:tr>
        <w:trPr>
          <w:cantSplit w:val="1"/>
        </w:trPr>
        <w:tc>
          <w:tcPr>
            <w:tcW w:type="dxa" w:w="3120"/>
          </w:tcPr>
          <w:p>
            <w:pPr>
              <w:keepLines w:val="1"/>
            </w:pPr>
            <w:r>
              <w:t>Certificación relevante (ISO, EUMSS)</w:t>
            </w:r>
          </w:p>
        </w:tc>
        <w:tc>
          <w:tcPr>
            <w:tcW w:type="dxa" w:w="3120"/>
          </w:tcPr>
          <w:p>
            <w:pPr>
              <w:keepLines w:val="1"/>
            </w:pPr>
            <w:r>
              <w:t>[descripción]</w:t>
            </w:r>
          </w:p>
        </w:tc>
        <w:tc>
          <w:tcPr>
            <w:tcW w:type="dxa" w:w="3120"/>
          </w:tcPr>
          <w:p>
            <w:pPr>
              <w:keepLines w:val="1"/>
            </w:pPr>
            <w:r>
              <w:t>🔴/🟡/🟢</w:t>
            </w:r>
          </w:p>
        </w:tc>
      </w:tr>
    </w:tbl>
    <w:p/>
    <w:p>
      <w:r>
        <w:rPr>
          <w:b/>
        </w:rPr>
        <w:t>Nota regulatoria:</w:t>
      </w:r>
      <w:r>
        <w:t xml:space="preserve"> </w:t>
      </w:r>
      <w:r>
        <w:rPr>
          <w:i/>
        </w:rPr>
        <w:t>"DORA Art. 30.2h exige documentar la estrategia de salida en contratos con proveedores TIC críticos. El futuro esquema EUMSS de la UE establecerá certificación obligatoria para MSSPs."</w:t>
      </w:r>
    </w:p>
    <w:p>
      <w:pPr>
        <w:pStyle w:val="Heading3"/>
        <w:keepNext/>
        <w:keepLines/>
      </w:pPr>
      <w:r>
        <w:t>DIAPOSITIVA 13 — EL HORIZONTE CUÁNTICO E IA</w:t>
      </w:r>
    </w:p>
    <w:p>
      <w:r>
        <w:rPr>
          <w:b/>
        </w:rPr>
        <w:t>Título:</w:t>
      </w:r>
      <w:r>
        <w:t xml:space="preserve"> </w:t>
      </w:r>
      <w:r>
        <w:rPr>
          <w:rFonts w:ascii="Courier New" w:hAnsi="Courier New"/>
          <w:sz w:val="18"/>
        </w:rPr>
        <w:t>Las Amenazas que los SLAs Actuales No Contemplan (Pero Deberían)</w:t>
      </w:r>
    </w:p>
    <w:p>
      <w:r>
        <w:rPr>
          <w:b/>
        </w:rPr>
        <w:t>Visual recomendado:</w:t>
      </w:r>
      <w:r>
        <w:t xml:space="preserve"> Línea temporal 2025-2030</w:t>
      </w:r>
    </w:p>
    <w:p>
      <w:pPr>
        <w:pStyle w:val="NoSpacing"/>
        <w:keepLines/>
        <w:shd w:fill="F5F5F5"/>
      </w:pPr>
      <w:r>
        <w:rPr>
          <w:rFonts w:ascii="Courier New" w:hAnsi="Courier New"/>
          <w:sz w:val="18"/>
        </w:rPr>
        <w:t>2025         2026          2027          2028-2030</w:t>
        <w:br/>
        <w:t xml:space="preserve">  │            │             │                │</w:t>
        <w:br/>
        <w:t xml:space="preserve">  │ Deepfakes  │ IA agente   │ Q-Day horizon  │ PQC obligatorio</w:t>
        <w:br/>
        <w:t xml:space="preserve">  │ +880%      │ attacks ↑   │ posible en     │ en sectores</w:t>
        <w:br/>
        <w:t xml:space="preserve">  │            │             │ nichos         │ críticos UE</w:t>
        <w:br/>
        <w:t xml:space="preserve">  │ Fraude IA  │ MCP vuln.   │                │</w:t>
        <w:br/>
        <w:t xml:space="preserve">  │ +1.210%    │ +270% (Q3)  │                │</w:t>
        <w:br/>
        <w:t xml:space="preserve">  ↓            ↓             ↓                ↓</w:t>
        <w:br/>
        <w:t xml:space="preserve"> HOY        URGENTE      PLANIFICAR       CERTIFICAR</w:t>
        <w:br/>
      </w:r>
    </w:p>
    <w:p>
      <w:r>
        <w:rPr>
          <w:b/>
        </w:rPr>
        <w:t>Acciones propuestas:</w:t>
      </w:r>
      <w:r/>
      <w:r>
        <w:br/>
        <w:t>- Incorporar indicadores de detección de IA ofensiva al SIEM (urgente)</w:t>
      </w:r>
      <w:r/>
      <w:r>
        <w:br/>
        <w:t>- Iniciar inventario de activos criptográficos vulnerables a cuántica</w:t>
      </w:r>
      <w:r/>
      <w:r>
        <w:br/>
        <w:t>- Incluir Crypto-Agility Score en próxima negociación de SLA MSS</w:t>
      </w:r>
    </w:p>
    <w:p>
      <w:pPr>
        <w:pStyle w:val="Heading3"/>
        <w:keepNext/>
        <w:keepLines/>
      </w:pPr>
      <w:r>
        <w:t>DIAPOSITIVA 14 — PRÓXIMOS PASOS Y DECISIONES SOLICITADAS</w:t>
      </w:r>
    </w:p>
    <w:p>
      <w:r>
        <w:rPr>
          <w:b/>
        </w:rPr>
        <w:t>Título:</w:t>
      </w:r>
      <w:r>
        <w:t xml:space="preserve"> </w:t>
      </w:r>
      <w:r>
        <w:rPr>
          <w:rFonts w:ascii="Courier New" w:hAnsi="Courier New"/>
          <w:sz w:val="18"/>
        </w:rPr>
        <w:t>Lo que Necesitamos Decidir Hoy</w:t>
      </w:r>
    </w:p>
    <w:p>
      <w:r>
        <w:rPr>
          <w:b/>
        </w:rPr>
        <w:t>Contenido: 3 bloques de decisión</w:t>
      </w:r>
    </w:p>
    <w:p>
      <w:pPr>
        <w:pStyle w:val="NoSpacing"/>
        <w:keepLines/>
        <w:shd w:fill="F5F5F5"/>
      </w:pPr>
      <w:r>
        <w:rPr>
          <w:rFonts w:ascii="Courier New" w:hAnsi="Courier New"/>
          <w:sz w:val="18"/>
        </w:rPr>
        <w:t>DECISIÓN 1: APROBACIÓN DE PRESUPUESTO</w:t>
        <w:br/>
        <w:t xml:space="preserve">  Inversión solicitada: [XX€] para [período]</w:t>
        <w:br/>
        <w:t xml:space="preserve">  Acciones cubiertas: [lista de acciones prioritarias]</w:t>
        <w:br/>
        <w:t xml:space="preserve">  ROSI proyectado: [XX%] | Payback: [X meses]</w:t>
        <w:br/>
        <w:br/>
        <w:t>DECISIÓN 2: RENEGOCIACIÓN DE CONTRATOS MSS</w:t>
        <w:br/>
        <w:t xml:space="preserve">  Proveedores a renegociar: [lista]</w:t>
        <w:br/>
        <w:t xml:space="preserve">  Métricas a incluir: MTTD, MTTC, MTTR, ACR, FPR</w:t>
        <w:br/>
        <w:t xml:space="preserve">  Plazo propuesto: próxima renovación ([mes/año])</w:t>
        <w:br/>
        <w:br/>
        <w:t>DECISIÓN 3: RECURSOS HUMANOS Y FORMACIÓN</w:t>
        <w:br/>
        <w:t xml:space="preserve">  Formación Alta Dirección (NIS2 Art. 20.2): [fechas propuestas]</w:t>
        <w:br/>
        <w:t xml:space="preserve">  Plan de formación empleados: [presupuesto y proveedor]</w:t>
        <w:br/>
        <w:t xml:space="preserve">  Simulacro de crisis ciber anual: [fecha propuesta]</w:t>
        <w:br/>
      </w:r>
    </w:p>
    <w:p>
      <w:pPr>
        <w:pStyle w:val="Heading3"/>
        <w:keepNext/>
        <w:keepLines/>
      </w:pPr>
      <w:r>
        <w:t>DIAPOSITIVA 15 — PREGUNTAS FRECUENTES (FAQ ejecutivo)</w:t>
      </w:r>
    </w:p>
    <w:p>
      <w:r>
        <w:rPr>
          <w:b/>
        </w:rPr>
        <w:t>Título:</w:t>
      </w:r>
      <w:r>
        <w:t xml:space="preserve"> </w:t>
      </w:r>
      <w:r>
        <w:rPr>
          <w:rFonts w:ascii="Courier New" w:hAnsi="Courier New"/>
          <w:sz w:val="18"/>
        </w:rPr>
        <w:t>Las Preguntas que Suele Hacer el Consejo</w:t>
      </w:r>
    </w:p>
    <w:p>
      <w:r>
        <w:rPr>
          <w:b/>
        </w:rPr>
        <w:t>Formato: tarjetas de pregunta-respuesta</w:t>
      </w:r>
    </w:p>
    <w:p>
      <w:r>
        <w:rPr>
          <w:b/>
        </w:rPr>
        <w:t>P: "¿Estamos en peligro inmediato?"</w:t>
      </w:r>
      <w:r/>
      <w:r>
        <w:br/>
        <w:t>R: El IGM-MSS de [XX] indica [riesgo alto/medio/bajo]. Las tres brechas prioritarias merecen acción en los próximos [X] días.</w:t>
      </w:r>
    </w:p>
    <w:p>
      <w:r>
        <w:rPr>
          <w:b/>
        </w:rPr>
        <w:t>P: "¿Cumplimos con la ley?"</w:t>
      </w:r>
      <w:r/>
      <w:r>
        <w:br/>
        <w:t>R: Nuestro estado de conformidad regulatoria está en la diapositiva 8. Las brechas de NIS2 y [otro marco] requieren atención prioritaria.</w:t>
      </w:r>
    </w:p>
    <w:p>
      <w:r>
        <w:rPr>
          <w:b/>
        </w:rPr>
        <w:t>P: "¿Cuánto nos va a costar mejorar?"</w:t>
      </w:r>
      <w:r/>
      <w:r>
        <w:br/>
        <w:t>R: La inversión estimada de [XX€] genera un ROSI de [XX%]. Por comparación, el coste medio de un incidente grave en nuestro sector es [XX€].</w:t>
      </w:r>
    </w:p>
    <w:p>
      <w:r>
        <w:rPr>
          <w:b/>
        </w:rPr>
        <w:t>P: "¿Por qué no lo sabíamos antes?"</w:t>
      </w:r>
      <w:r/>
      <w:r>
        <w:br/>
        <w:t>R: Porque hasta ahora no teníamos un instrumento de diagnóstico sistemático. Este es el primero de una serie de evaluaciones anuales.</w:t>
      </w:r>
    </w:p>
    <w:p>
      <w:pPr>
        <w:pStyle w:val="Heading3"/>
        <w:keepNext/>
        <w:keepLines/>
      </w:pPr>
      <w:r>
        <w:t>DIAPOSITIVA 16 — CIERRE Y CONTACTO</w:t>
      </w:r>
    </w:p>
    <w:p>
      <w:r>
        <w:rPr>
          <w:b/>
        </w:rPr>
        <w:t>Título:</w:t>
      </w:r>
      <w:r>
        <w:t xml:space="preserve"> </w:t>
      </w:r>
      <w:r>
        <w:rPr>
          <w:rFonts w:ascii="Courier New" w:hAnsi="Courier New"/>
          <w:sz w:val="18"/>
        </w:rPr>
        <w:t>La Ciberseguridad No Es un Proyecto — Es un Estado Permanente</w:t>
      </w:r>
    </w:p>
    <w:p>
      <w:r>
        <w:rPr>
          <w:b/>
        </w:rPr>
        <w:t>Cita de cierre (opcional):</w:t>
      </w:r>
    </w:p>
    <w:p>
      <w:r>
        <w:rPr>
          <w:i/>
        </w:rPr>
        <w:t>"La pregunta no es si ocurrirá un incidente, sino cuándo — y si estaremos preparados para contenerlo antes de que se convierta en una catástrofe."</w:t>
      </w:r>
    </w:p>
    <w:p>
      <w:r>
        <w:rPr>
          <w:b/>
        </w:rPr>
        <w:t>Información de contacto del CISO / presentador/a:</w:t>
      </w:r>
      <w:r/>
      <w:r>
        <w:br/>
        <w:t>Nombre · Cargo · Email · Extensión directa</w:t>
      </w:r>
    </w:p>
    <w:p>
      <w:r>
        <w:rPr>
          <w:b/>
        </w:rPr>
        <w:t>Próxima revisión del IGM-MSS:</w:t>
      </w:r>
      <w:r>
        <w:t xml:space="preserve"> [Fecha propuesta — recomendado en 6 meses]</w:t>
      </w:r>
    </w:p>
    <w:p>
      <w:pPr>
        <w:pStyle w:val="Heading2"/>
        <w:keepNext/>
        <w:keepLines/>
      </w:pPr>
      <w:r>
        <w:rPr>
          <w:color w:val="0066CC"/>
        </w:rPr>
        <w:t>APÉNDICES TÉCNICOS (5 diapositivas adicionales para audiencias especializadas)</w:t>
      </w:r>
    </w:p>
    <w:p>
      <w:pPr>
        <w:pStyle w:val="Heading3"/>
        <w:keepNext/>
        <w:keepLines/>
      </w:pPr>
      <w:r>
        <w:t>APÉNDICE A — Detalle de puntuaciones por pregunta (tabla completa)</w:t>
      </w:r>
    </w:p>
    <w:p>
      <w:pPr>
        <w:pStyle w:val="Heading3"/>
        <w:keepNext/>
        <w:keepLines/>
      </w:pPr>
      <w:r>
        <w:t>APÉNDICE B — Análisis de sensibilidad ROSI completo (tabla de escenarios)</w:t>
      </w:r>
    </w:p>
    <w:p>
      <w:pPr>
        <w:pStyle w:val="Heading3"/>
        <w:keepNext/>
        <w:keepLines/>
      </w:pPr>
      <w:r>
        <w:t>APÉNDICE C — Mapeo normativo completo (resumen de tabla del documento d)</w:t>
      </w:r>
    </w:p>
    <w:p>
      <w:pPr>
        <w:pStyle w:val="Heading3"/>
        <w:keepNext/>
        <w:keepLines/>
      </w:pPr>
      <w:r>
        <w:t>APÉNDICE D — Perfil de proveedores MSS y evaluación de SLAs actuales</w:t>
      </w:r>
    </w:p>
    <w:p>
      <w:pPr>
        <w:pStyle w:val="Heading3"/>
        <w:keepNext/>
        <w:keepLines/>
      </w:pPr>
      <w:r>
        <w:t>APÉNDICE E — Glosario técnico de indicadores MSS</w:t>
      </w:r>
    </w:p>
    <w:p>
      <w:pPr>
        <w:pStyle w:val="Heading2"/>
        <w:keepNext/>
        <w:keepLines/>
      </w:pPr>
      <w:r>
        <w:rPr>
          <w:color w:val="0066CC"/>
        </w:rPr>
        <w:t>NOTAS DE DISEÑO Y PALETA GRÁFICA RECOMENDADA</w:t>
      </w:r>
    </w:p>
    <w:p>
      <w:r>
        <w:rPr>
          <w:b/>
        </w:rPr>
        <w:t>Paleta de colores:</w:t>
      </w:r>
      <w:r/>
      <w:r>
        <w:br/>
        <w:t xml:space="preserve">- Azul corporativo principal: </w:t>
      </w:r>
      <w:r>
        <w:rPr>
          <w:rFonts w:ascii="Courier New" w:hAnsi="Courier New"/>
          <w:sz w:val="18"/>
        </w:rPr>
        <w:t>#1B3A6E</w:t>
      </w:r>
      <w:r>
        <w:t xml:space="preserve"> (titulares, fondos de sección)</w:t>
      </w:r>
      <w:r/>
      <w:r>
        <w:br/>
        <w:t xml:space="preserve">- Azul claro de acento: </w:t>
      </w:r>
      <w:r>
        <w:rPr>
          <w:rFonts w:ascii="Courier New" w:hAnsi="Courier New"/>
          <w:sz w:val="18"/>
        </w:rPr>
        <w:t>#2E7CC2</w:t>
      </w:r>
      <w:r>
        <w:t xml:space="preserve"> (gráficos, destacados positivos)</w:t>
      </w:r>
      <w:r/>
      <w:r>
        <w:br/>
        <w:t xml:space="preserve">- Gris neutro: </w:t>
      </w:r>
      <w:r>
        <w:rPr>
          <w:rFonts w:ascii="Courier New" w:hAnsi="Courier New"/>
          <w:sz w:val="18"/>
        </w:rPr>
        <w:t>#6B7280</w:t>
      </w:r>
      <w:r>
        <w:t xml:space="preserve"> (texto secundario, benchmarks)</w:t>
      </w:r>
      <w:r/>
      <w:r>
        <w:br/>
        <w:t xml:space="preserve">- Rojo alerta: </w:t>
      </w:r>
      <w:r>
        <w:rPr>
          <w:rFonts w:ascii="Courier New" w:hAnsi="Courier New"/>
          <w:sz w:val="18"/>
        </w:rPr>
        <w:t>#DC2626</w:t>
      </w:r>
      <w:r>
        <w:t xml:space="preserve"> (brechas críticas, zonas de riesgo)</w:t>
      </w:r>
      <w:r/>
      <w:r>
        <w:br/>
        <w:t xml:space="preserve">- Naranja advertencia: </w:t>
      </w:r>
      <w:r>
        <w:rPr>
          <w:rFonts w:ascii="Courier New" w:hAnsi="Courier New"/>
          <w:sz w:val="18"/>
        </w:rPr>
        <w:t>#D97706</w:t>
      </w:r>
      <w:r>
        <w:t xml:space="preserve"> (riesgo moderado)</w:t>
      </w:r>
      <w:r/>
      <w:r>
        <w:br/>
        <w:t xml:space="preserve">- Verde seguro: </w:t>
      </w:r>
      <w:r>
        <w:rPr>
          <w:rFonts w:ascii="Courier New" w:hAnsi="Courier New"/>
          <w:sz w:val="18"/>
        </w:rPr>
        <w:t>#16A34A</w:t>
      </w:r>
      <w:r>
        <w:t xml:space="preserve"> (fortalezas, conformidad)</w:t>
      </w:r>
      <w:r/>
      <w:r>
        <w:br/>
        <w:t xml:space="preserve">- Amarillo caución: </w:t>
      </w:r>
      <w:r>
        <w:rPr>
          <w:rFonts w:ascii="Courier New" w:hAnsi="Courier New"/>
          <w:sz w:val="18"/>
        </w:rPr>
        <w:t>#CA8A04</w:t>
      </w:r>
      <w:r>
        <w:t xml:space="preserve"> (zonas de mejora)</w:t>
      </w:r>
      <w:r/>
      <w:r>
        <w:br/>
        <w:t xml:space="preserve">- Fondo claro: </w:t>
      </w:r>
      <w:r>
        <w:rPr>
          <w:rFonts w:ascii="Courier New" w:hAnsi="Courier New"/>
          <w:sz w:val="18"/>
        </w:rPr>
        <w:t>#F9FAFB</w:t>
      </w:r>
    </w:p>
    <w:p>
      <w:r>
        <w:rPr>
          <w:b/>
        </w:rPr>
        <w:t>Tipografía recomendada:</w:t>
      </w:r>
      <w:r/>
      <w:r>
        <w:br/>
        <w:t>- Titulares: Inter Bold 28-32px / Calibri Bold</w:t>
      </w:r>
      <w:r/>
      <w:r>
        <w:br/>
        <w:t>- Cuerpo: Inter Regular 14-16px / Calibri Regular</w:t>
      </w:r>
      <w:r/>
      <w:r>
        <w:br/>
        <w:t>- Datos destacados: Inter Black 40-56px (para KPIs grandes)</w:t>
      </w:r>
      <w:r/>
      <w:r>
        <w:br/>
        <w:t>- Notas al pie: Inter Light 10px</w:t>
      </w:r>
    </w:p>
    <w:p>
      <w:r>
        <w:rPr>
          <w:b/>
        </w:rPr>
        <w:t>Reglas de diseño:</w:t>
      </w:r>
      <w:r/>
      <w:r>
        <w:br/>
        <w:t>- Máximo 3 ideas por diapositiva</w:t>
      </w:r>
      <w:r/>
      <w:r>
        <w:br/>
        <w:t>- Siempre un dato cuantificado por diapositiva de riesgo</w:t>
      </w:r>
      <w:r/>
      <w:r>
        <w:br/>
        <w:t>- Sin texto en párrafos en diapositivas ejecutivas (solo bullets)</w:t>
      </w:r>
      <w:r/>
      <w:r>
        <w:br/>
        <w:t>- Fuente siempre citada en pie de diapositiva (máximo 8pt)</w:t>
      </w:r>
    </w:p>
    <w:p>
      <w:r>
        <w:rPr>
          <w:i/>
        </w:rPr>
        <w:t>Plantilla Reporte Ejecutivo MSS — Versión 1.0 · Abril 2026</w:t>
      </w:r>
      <w:r/>
      <w:r>
        <w:br/>
      </w:r>
      <w:r>
        <w:rPr>
          <w:i/>
        </w:rPr>
        <w:t>Diseñada para: CISO · Consejo de Administración · Comité de Riesgos · Alta Dirección</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