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Posible relación normativa (ejemplos)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 de cuantificación económica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 A.5, A.8; NIS2 art. 21; ENS principios de gestión del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Órganos de gobierno que revisan el 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art. 20 (responsabilidad de la dirección); Buenas prácticas de gobierno corporativo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Frecuencia de reporting al órgano de gobierno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art. 20; Recomendaciones de supervisores financieros sobre ciber‑riesgo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Uso general de FAIR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27005; EIOPA/ESMA guías sobre cuantificación de riesgos; marcos internos de gestión de riesgos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Finalidades del análisis FAIR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(medidas de gestión de riesgos); supervisión sectorial (finanzas, energía, etc.)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Dominios cubiertos (IT, OT, datos personales)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GDPR; NIS2; ENS; regulación de operadores de servicios esenciales e infraestructuras críticas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Registro de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GDPR art. 33–34; NIS2 requisitos de notificación; ENS requisitos de registro de eventos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Fuentes para TEF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(gestión de amenazas); Buenas prácticas de ciberinteligencia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Formas de pérdida cuantificadas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IFRS/NIIF (reconocimiento de pérdidas); guías de supervisores financieros sobre riesgo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Fuentes para valorar económicamente las pérdidas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Normativa contable nacional y europea; requisitos de auditoría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de ALE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Prácticas de gestión de riesgos basados en capital económico (finanzas, seguros)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Uso de percentiles de pérdida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Normativa de riesgos financieros (Basel, Solvencia II, etc. por analogía)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de eficacia de controles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 A.5–A.8; ENS niveles de madurez; NIS2 (medidas técnicas y organizativas proporcionadas)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Criterios de materialidad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Normas contables y de información financiera; obligaciones de información al mercado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Inclusión de obligaciones normativas en pérdidas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GDPR (multas administrativas); NIS2 (sanciones); regulación sectorial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Automatización del proceso de cuantificación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tiene referencia directa, pero se alinea con principios de mejora continua (ISO 27001, ENS)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10.1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con continuidad de negocio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22301; ENS (continuidade del servicio); NIS2 (gestión de incidentes y continuidad)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Participación en iniciativas sectoriales/nacionales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Políticas nacionales de ciberseguridad; estrategias de cooperación público‑privada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11.3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Contribución a indicadores de país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Estrategias nacionales de ciberseguridad; marcos de medición de riesgo país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