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FAIR (formato tipo presentación)</w:t>
      </w:r>
    </w:p>
    <w:p>
      <w:pPr>
        <w:pStyle w:val="Heading2"/>
        <w:keepNext/>
        <w:keepLines/>
      </w:pPr>
      <w:r>
        <w:rPr>
          <w:color w:val="0066CC"/>
        </w:rPr>
        <w:t>Portada</w:t>
      </w:r>
    </w:p>
    <w:p>
      <w:pPr>
        <w:pStyle w:val="ListBullet"/>
        <w:keepLines w:val="1"/>
        <w:keepNext w:val="1"/>
        <w:widowControl w:val="1"/>
      </w:pPr>
      <w:r>
        <w:t>Título sugerido: “Cuantificación del Ciber‑Riesgo según FAIR – Resultados y Decisiones”.</w:t>
      </w:r>
    </w:p>
    <w:p>
      <w:pPr>
        <w:pStyle w:val="ListBullet"/>
        <w:keepLines w:val="1"/>
        <w:widowControl w:val="1"/>
      </w:pPr>
      <w:r>
        <w:t>Subtítulo: Organización, fecha, responsable.</w:t>
      </w:r>
    </w:p>
    <w:p>
      <w:pPr>
        <w:pStyle w:val="Heading2"/>
        <w:keepNext/>
        <w:keepLines/>
      </w:pPr>
      <w:r>
        <w:rPr>
          <w:color w:val="0066CC"/>
        </w:rPr>
        <w:t>Diapositiva 1 – Resumen ejecutivo</w:t>
      </w:r>
    </w:p>
    <w:p>
      <w:pPr>
        <w:pStyle w:val="ListBullet"/>
        <w:keepLines w:val="1"/>
        <w:keepNext w:val="1"/>
        <w:widowControl w:val="1"/>
      </w:pPr>
      <w:r>
        <w:t>Tres mensajes clave:</w:t>
      </w:r>
    </w:p>
    <w:p>
      <w:pPr>
        <w:pStyle w:val="ListBullet"/>
        <w:keepLines w:val="1"/>
        <w:keepNext w:val="1"/>
        <w:widowControl w:val="1"/>
      </w:pPr>
      <w:r>
        <w:t>Nivel de exposición económica actual (pérdida anual esperada y escenarios extremos).</w:t>
      </w:r>
    </w:p>
    <w:p>
      <w:pPr>
        <w:pStyle w:val="ListBullet"/>
        <w:keepLines w:val="1"/>
        <w:keepNext w:val="1"/>
        <w:widowControl w:val="1"/>
      </w:pPr>
      <w:r>
        <w:t>Eficacia estimada de los controles y principales brechas.</w:t>
      </w:r>
    </w:p>
    <w:p>
      <w:pPr>
        <w:pStyle w:val="ListBullet"/>
        <w:keepLines w:val="1"/>
        <w:widowControl w:val="1"/>
      </w:pPr>
      <w:r>
        <w:t>Decisiones de inversión y priorización recomendadas.</w:t>
      </w:r>
    </w:p>
    <w:p>
      <w:pPr>
        <w:pStyle w:val="Heading2"/>
        <w:keepNext/>
        <w:keepLines/>
      </w:pPr>
      <w:r>
        <w:rPr>
          <w:color w:val="0066CC"/>
        </w:rPr>
        <w:t>Diapositiva 2 – Contexto y alcance</w:t>
      </w:r>
    </w:p>
    <w:p>
      <w:pPr>
        <w:pStyle w:val="ListBullet"/>
        <w:keepLines w:val="1"/>
        <w:keepNext w:val="1"/>
        <w:widowControl w:val="1"/>
      </w:pPr>
      <w:r>
        <w:t>Breve explicación del enfoque FAIR.</w:t>
      </w:r>
    </w:p>
    <w:p>
      <w:pPr>
        <w:pStyle w:val="ListBullet"/>
        <w:keepLines w:val="1"/>
        <w:widowControl w:val="1"/>
      </w:pPr>
      <w:r>
        <w:t>Alcance del análisis (dominios cubiertos, periodos, fuentes de datos).</w:t>
      </w:r>
    </w:p>
    <w:p>
      <w:pPr>
        <w:pStyle w:val="Heading2"/>
        <w:keepNext/>
        <w:keepLines/>
      </w:pPr>
      <w:r>
        <w:rPr>
          <w:color w:val="0066CC"/>
        </w:rPr>
        <w:t>Diapositiva 3 – Perfil de riesgo actual</w:t>
      </w:r>
    </w:p>
    <w:p>
      <w:pPr>
        <w:pStyle w:val="ListBullet"/>
        <w:keepLines w:val="1"/>
        <w:keepNext w:val="1"/>
        <w:widowControl w:val="1"/>
      </w:pPr>
      <w:r>
        <w:t>Gráfico de barras o tornado con los principales escenarios de pérdida (ALE por escenario).</w:t>
      </w:r>
    </w:p>
    <w:p>
      <w:pPr>
        <w:pStyle w:val="ListBullet"/>
        <w:keepLines w:val="1"/>
        <w:widowControl w:val="1"/>
      </w:pPr>
      <w:r>
        <w:t>Comentario sobre los tres escenarios más relevantes.</w:t>
      </w:r>
    </w:p>
    <w:p>
      <w:pPr>
        <w:pStyle w:val="Heading2"/>
        <w:keepNext/>
        <w:keepLines/>
      </w:pPr>
      <w:r>
        <w:rPr>
          <w:color w:val="0066CC"/>
        </w:rPr>
        <w:t>Diapositiva 4 – Distribución de pérdidas</w:t>
      </w:r>
    </w:p>
    <w:p>
      <w:pPr>
        <w:pStyle w:val="ListBullet"/>
        <w:keepLines w:val="1"/>
        <w:keepNext w:val="1"/>
        <w:widowControl w:val="1"/>
      </w:pPr>
      <w:r>
        <w:t>Gráfico de curva (similar a VaR) con percentiles de pérdida para el conjunto de escenarios.</w:t>
      </w:r>
    </w:p>
    <w:p>
      <w:pPr>
        <w:pStyle w:val="ListBullet"/>
        <w:keepLines w:val="1"/>
        <w:widowControl w:val="1"/>
      </w:pPr>
      <w:r>
        <w:t>Marcado de percentiles clave (por ejemplo, 50 %, 95 %, 99 %).</w:t>
      </w:r>
    </w:p>
    <w:p>
      <w:pPr>
        <w:pStyle w:val="Heading2"/>
        <w:keepNext/>
        <w:keepLines/>
      </w:pPr>
      <w:r>
        <w:rPr>
          <w:color w:val="0066CC"/>
        </w:rPr>
        <w:t>Diapositiva 5 – Controles y mitigación (IGM)</w:t>
      </w:r>
    </w:p>
    <w:p>
      <w:pPr>
        <w:pStyle w:val="ListBullet"/>
        <w:keepLines w:val="1"/>
        <w:keepNext w:val="1"/>
        <w:widowControl w:val="1"/>
      </w:pPr>
      <w:r>
        <w:t>Tabla o gráfico de los controles clave con su Delta_ALE y IGM.</w:t>
      </w:r>
    </w:p>
    <w:p>
      <w:pPr>
        <w:pStyle w:val="ListBullet"/>
        <w:keepLines w:val="1"/>
        <w:widowControl w:val="1"/>
      </w:pPr>
      <w:r>
        <w:t>Identificación de “controles estrella” (alto impacto, coste razonable).</w:t>
      </w:r>
    </w:p>
    <w:p>
      <w:pPr>
        <w:pStyle w:val="Heading2"/>
        <w:keepNext/>
        <w:keepLines/>
      </w:pPr>
      <w:r>
        <w:rPr>
          <w:color w:val="0066CC"/>
        </w:rPr>
        <w:t>Diapositiva 6 – ROI de iniciativas de seguridad</w:t>
      </w:r>
    </w:p>
    <w:p>
      <w:pPr>
        <w:pStyle w:val="ListBullet"/>
        <w:keepLines w:val="1"/>
        <w:keepNext w:val="1"/>
        <w:widowControl w:val="1"/>
      </w:pPr>
      <w:r>
        <w:t>Gráfico comparando costes de iniciativas vs reducción de pérdida esperada.</w:t>
      </w:r>
    </w:p>
    <w:p>
      <w:pPr>
        <w:pStyle w:val="ListBullet"/>
        <w:keepLines w:val="1"/>
        <w:widowControl w:val="1"/>
      </w:pPr>
      <w:r>
        <w:t>Señalización de proyectos con ROI positivo y negativo.</w:t>
      </w:r>
    </w:p>
    <w:p>
      <w:pPr>
        <w:pStyle w:val="Heading2"/>
        <w:keepNext/>
        <w:keepLines/>
      </w:pPr>
      <w:r>
        <w:rPr>
          <w:color w:val="0066CC"/>
        </w:rPr>
        <w:t>Diapositiva 7 – Comparativa sectorial (si disponible)</w:t>
      </w:r>
    </w:p>
    <w:p>
      <w:pPr>
        <w:pStyle w:val="ListBullet"/>
        <w:keepLines w:val="1"/>
        <w:widowControl w:val="1"/>
      </w:pPr>
      <w:r>
        <w:t>Posición de la organización frente a promedios sectoriales en términos de exposición y madurez.</w:t>
      </w:r>
    </w:p>
    <w:p>
      <w:pPr>
        <w:pStyle w:val="Heading2"/>
        <w:keepNext/>
        <w:keepLines/>
      </w:pPr>
      <w:r>
        <w:rPr>
          <w:color w:val="0066CC"/>
        </w:rPr>
        <w:t>Diapositiva 8 – Implicaciones regulatorias y de materialidad</w:t>
      </w:r>
    </w:p>
    <w:p>
      <w:pPr>
        <w:pStyle w:val="ListBullet"/>
        <w:keepLines w:val="1"/>
        <w:keepNext w:val="1"/>
        <w:widowControl w:val="1"/>
      </w:pPr>
      <w:r>
        <w:t>Resumen de escenarios con posible impacto material.</w:t>
      </w:r>
    </w:p>
    <w:p>
      <w:pPr>
        <w:pStyle w:val="ListBullet"/>
        <w:keepLines w:val="1"/>
        <w:widowControl w:val="1"/>
      </w:pPr>
      <w:r>
        <w:t>Referencia a obligaciones de reporte (GDPR, NIS2, reguladores sectoriales).</w:t>
      </w:r>
    </w:p>
    <w:p>
      <w:pPr>
        <w:pStyle w:val="Heading2"/>
        <w:keepNext/>
        <w:keepLines/>
      </w:pPr>
      <w:r>
        <w:rPr>
          <w:color w:val="0066CC"/>
        </w:rPr>
        <w:t>Diapositiva 9 – Plan de acción priorizado</w:t>
      </w:r>
    </w:p>
    <w:p>
      <w:pPr>
        <w:pStyle w:val="ListBullet"/>
        <w:keepLines w:val="1"/>
        <w:keepNext w:val="1"/>
        <w:widowControl w:val="1"/>
      </w:pPr>
      <w:r>
        <w:t>Lista breve de iniciativas ordenadas por impacto y urgencia.</w:t>
      </w:r>
    </w:p>
    <w:p>
      <w:pPr>
        <w:pStyle w:val="ListBullet"/>
        <w:keepLines w:val="1"/>
        <w:widowControl w:val="1"/>
      </w:pPr>
      <w:r>
        <w:t>Horizonte temporal (corto, medio, largo plazo).</w:t>
      </w:r>
    </w:p>
    <w:p>
      <w:pPr>
        <w:pStyle w:val="Heading2"/>
        <w:keepNext/>
        <w:keepLines/>
      </w:pPr>
      <w:r>
        <w:rPr>
          <w:color w:val="0066CC"/>
        </w:rPr>
        <w:t>Diapositiva 10 – Conclusiones y próximos pasos</w:t>
      </w:r>
    </w:p>
    <w:p>
      <w:pPr>
        <w:pStyle w:val="ListBullet"/>
        <w:keepLines w:val="1"/>
        <w:keepNext w:val="1"/>
        <w:widowControl w:val="1"/>
      </w:pPr>
      <w:r>
        <w:t>Mensaje sobre la necesidad de mantener el modelo FAIR vivo (actualizaciones, datos, ejercicios de crisis).</w:t>
      </w:r>
    </w:p>
    <w:p>
      <w:pPr>
        <w:pStyle w:val="ListBullet"/>
        <w:keepLines w:val="1"/>
        <w:widowControl w:val="1"/>
      </w:pPr>
      <w:r>
        <w:t>Próximos hitos: revisiones, nuevos dominios a cubrir, mejoras de automatización.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