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FAIR de Ciber‑Riesgo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 los siguientes componentes en formato Markdown:</w:t>
      </w:r>
    </w:p>
    <w:p>
      <w:pPr>
        <w:pStyle w:val="ListBullet"/>
        <w:keepLines w:val="1"/>
        <w:keepNext w:val="1"/>
        <w:widowControl w:val="1"/>
      </w:pPr>
      <w:r>
        <w:t>Modelo de encuesta integral.</w:t>
      </w:r>
    </w:p>
    <w:p>
      <w:pPr>
        <w:pStyle w:val="ListBullet"/>
        <w:keepLines w:val="1"/>
        <w:keepNext w:val="1"/>
        <w:widowControl w:val="1"/>
      </w:pPr>
      <w:r>
        <w:t>Guía metodológica detallada.</w:t>
      </w:r>
    </w:p>
    <w:p>
      <w:pPr>
        <w:pStyle w:val="ListBullet"/>
        <w:keepLines w:val="1"/>
        <w:keepNext w:val="1"/>
        <w:widowControl w:val="1"/>
      </w:pPr>
      <w:r>
        <w:t>Narrativa explicativa para acompañar resultados.</w:t>
      </w:r>
    </w:p>
    <w:p>
      <w:pPr>
        <w:pStyle w:val="ListBullet"/>
        <w:keepLines w:val="1"/>
        <w:keepNext w:val="1"/>
        <w:widowControl w:val="1"/>
      </w:pPr>
      <w:r>
        <w:t>Mapeo básico de preguntas a referencias normativas.</w:t>
      </w:r>
    </w:p>
    <w:p>
      <w:pPr>
        <w:pStyle w:val="ListBullet"/>
        <w:keepLines w:val="1"/>
        <w:keepNext w:val="1"/>
        <w:widowControl w:val="1"/>
      </w:pPr>
      <w:r>
        <w:t>Plantilla conceptual para cálculo de IGM y ROI en Excel.</w:t>
      </w:r>
    </w:p>
    <w:p>
      <w:pPr>
        <w:pStyle w:val="ListBullet"/>
        <w:keepLines w:val="1"/>
        <w:widowControl w:val="1"/>
      </w:pPr>
      <w:r>
        <w:t>Plantilla de reporte ejecutivo tipo presentación.</w:t>
      </w:r>
    </w:p>
    <w:p>
      <w:pPr>
        <w:pStyle w:val="Heading2"/>
        <w:keepNext/>
        <w:keepLines/>
      </w:pPr>
      <w:r>
        <w:rPr>
          <w:color w:val="0066CC"/>
        </w:rPr>
        <w:t>2. Uso recomendado</w:t>
      </w:r>
    </w:p>
    <w:p>
      <w:pPr>
        <w:pStyle w:val="ListNumber"/>
        <w:keepLines w:val="1"/>
        <w:keepNext w:val="1"/>
        <w:widowControl w:val="1"/>
      </w:pPr>
      <w:r>
        <w:t>Adaptar el modelo de encuesta a las particularidades del sector o país (sin traicionar el espíritu de FAIR).</w:t>
      </w:r>
    </w:p>
    <w:p>
      <w:pPr>
        <w:pStyle w:val="ListNumber"/>
        <w:keepLines w:val="1"/>
        <w:keepNext w:val="1"/>
        <w:widowControl w:val="1"/>
      </w:pPr>
      <w:r>
        <w:t>Implementar la encuesta en una herramienta online o integrarla en el sistema de gestión de riesgos existente.</w:t>
      </w:r>
    </w:p>
    <w:p>
      <w:pPr>
        <w:pStyle w:val="ListNumber"/>
        <w:keepLines w:val="1"/>
        <w:keepNext w:val="1"/>
        <w:widowControl w:val="1"/>
      </w:pPr>
      <w:r>
        <w:t>Utilizar la guía metodológica para formar a los responsables que responderán la encuesta.</w:t>
      </w:r>
    </w:p>
    <w:p>
      <w:pPr>
        <w:pStyle w:val="ListNumber"/>
        <w:keepLines w:val="1"/>
        <w:keepNext w:val="1"/>
        <w:widowControl w:val="1"/>
      </w:pPr>
      <w:r>
        <w:t>Recopilar y analizar resultados, construyendo indicadores de madurez y exposición.</w:t>
      </w:r>
    </w:p>
    <w:p>
      <w:pPr>
        <w:pStyle w:val="ListNumber"/>
        <w:keepLines w:val="1"/>
        <w:keepNext w:val="1"/>
        <w:widowControl w:val="1"/>
      </w:pPr>
      <w:r>
        <w:t>Emplear la plantilla de Excel para traducir algunos resultados en cálculos de IGM y ROI de controles.</w:t>
      </w:r>
    </w:p>
    <w:p>
      <w:pPr>
        <w:pStyle w:val="ListNumber"/>
        <w:keepLines w:val="1"/>
        <w:widowControl w:val="1"/>
      </w:pPr>
      <w:r>
        <w:t>Presentar hallazgos a la alta dirección con la plantilla de reporte ejecutivo.</w:t>
      </w:r>
    </w:p>
    <w:p>
      <w:pPr>
        <w:pStyle w:val="Heading2"/>
        <w:keepNext/>
        <w:keepLines/>
      </w:pPr>
      <w:r>
        <w:rPr>
          <w:color w:val="0066CC"/>
        </w:rPr>
        <w:t>3. Personalización y ampliación</w:t>
      </w:r>
    </w:p>
    <w:p>
      <w:r>
        <w:t>El kit está pensado como base común. Es esperable y saludable que cada organización o consorcio:</w:t>
      </w:r>
    </w:p>
    <w:p>
      <w:pPr>
        <w:pStyle w:val="ListBullet"/>
        <w:keepLines w:val="1"/>
        <w:keepNext w:val="1"/>
        <w:widowControl w:val="1"/>
      </w:pPr>
      <w:r>
        <w:t>Añada preguntas específicas de su sector (p. ej., energía, salud, finanzas).</w:t>
      </w:r>
    </w:p>
    <w:p>
      <w:pPr>
        <w:pStyle w:val="ListBullet"/>
        <w:keepLines w:val="1"/>
        <w:keepNext w:val="1"/>
        <w:widowControl w:val="1"/>
      </w:pPr>
      <w:r>
        <w:t>Profundice en el mapeo normativo para incluir referencias locales.</w:t>
      </w:r>
    </w:p>
    <w:p>
      <w:pPr>
        <w:pStyle w:val="ListBullet"/>
        <w:keepLines w:val="1"/>
        <w:widowControl w:val="1"/>
      </w:pPr>
      <w:r>
        <w:t>Enriquezca la plantilla de Excel con datos internos y modelos propios.</w:t>
      </w:r>
    </w:p>
    <w:p>
      <w:pPr>
        <w:pStyle w:val="Heading2"/>
        <w:keepNext/>
        <w:keepLines/>
      </w:pPr>
      <w:r>
        <w:rPr>
          <w:color w:val="0066CC"/>
        </w:rPr>
        <w:t>4. Licencia de uso y advertencia</w:t>
      </w:r>
    </w:p>
    <w:p>
      <w:r>
        <w:t>Puede utilizarse, adaptarse y traducirse libremente, con la única condición moral de no presentarlo como si hubiera surgido de la nada. El kit no sustituye asesoramiento profesional ni libera a nadie de sus obligaciones regulatorias.</w:t>
      </w:r>
    </w:p>
    <w:p>
      <w:r>
        <w:t>Si tras utilizarlo surge la tentación de hacer más análisis cuantitativos y menos presentaciones sin números, considérese una señal de que algo va por buen camino.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