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Marco integrativo GQM + PRAGMATIC para indicadores FAIR a nivel nacional</w:t>
      </w:r>
    </w:p>
    <w:p>
      <w:pPr>
        <w:pStyle w:val="Heading2"/>
        <w:keepNext/>
        <w:keepLines/>
      </w:pPr>
      <w:r>
        <w:rPr>
          <w:color w:val="0066CC"/>
        </w:rPr>
        <w:t>1. Propósito del marco</w:t>
      </w:r>
    </w:p>
    <w:p>
      <w:r>
        <w:t>Este marco integra la metodología GQM (Goal–Question–Metric) con los criterios PRAGMATIC para evaluar y gobernar un conjunto de indicadores FAIR aplicados al nivel nacional y sectorial. El objetivo es garantizar que cada métrica de ciber‑riesgo:</w:t>
      </w:r>
    </w:p>
    <w:p>
      <w:pPr>
        <w:pStyle w:val="ListBullet"/>
        <w:keepLines w:val="1"/>
        <w:keepNext w:val="1"/>
        <w:widowControl w:val="1"/>
      </w:pPr>
      <w:r>
        <w:t>Nace de un objetivo estratégico explícito (Goal).</w:t>
      </w:r>
    </w:p>
    <w:p>
      <w:pPr>
        <w:pStyle w:val="ListBullet"/>
        <w:keepLines w:val="1"/>
        <w:keepNext w:val="1"/>
        <w:widowControl w:val="1"/>
      </w:pPr>
      <w:r>
        <w:t>Se contextualiza mediante preguntas claras (Question).</w:t>
      </w:r>
    </w:p>
    <w:p>
      <w:pPr>
        <w:pStyle w:val="ListBullet"/>
        <w:keepLines w:val="1"/>
        <w:keepNext w:val="1"/>
        <w:widowControl w:val="1"/>
      </w:pPr>
      <w:r>
        <w:t>Se implementa como métrica concreta, trazable y evaluada (Metric).</w:t>
      </w:r>
    </w:p>
    <w:p>
      <w:pPr>
        <w:pStyle w:val="ListBullet"/>
        <w:keepLines w:val="1"/>
        <w:widowControl w:val="1"/>
      </w:pPr>
      <w:r>
        <w:t>Se revisa sistemáticamente frente a los nueve criterios PRAGMATIC: Predictivo, Relevante, Accionable, Genuino, Significativo, Preciso, Oportuno, Independiente y Rentable.</w:t>
      </w:r>
    </w:p>
    <w:p>
      <w:pPr>
        <w:pStyle w:val="Heading2"/>
        <w:keepNext/>
        <w:keepLines/>
      </w:pPr>
      <w:r>
        <w:rPr>
          <w:color w:val="0066CC"/>
        </w:rPr>
        <w:t>2. Resumen de indicadores FAIR de referencia</w:t>
      </w:r>
    </w:p>
    <w:p>
      <w:r>
        <w:t>Trabajaremos con un conjunto base de indicadores derivados del marco FAIR aplicado a un país como España:</w:t>
      </w:r>
    </w:p>
    <w:p>
      <w:pPr>
        <w:pStyle w:val="ListNumber"/>
        <w:keepLines w:val="1"/>
        <w:keepNext w:val="1"/>
        <w:widowControl w:val="1"/>
      </w:pPr>
      <w:r>
        <w:t>IFEP‑S: Índice de Frecuencia de Eventos de Pérdida Cibernética por Sector.</w:t>
      </w:r>
    </w:p>
    <w:p>
      <w:pPr>
        <w:pStyle w:val="ListNumber"/>
        <w:keepLines w:val="1"/>
        <w:keepNext w:val="1"/>
        <w:widowControl w:val="1"/>
      </w:pPr>
      <w:r>
        <w:t>INAT: Índice Nacional de Actividad de Amenazas.</w:t>
      </w:r>
    </w:p>
    <w:p>
      <w:pPr>
        <w:pStyle w:val="ListNumber"/>
        <w:keepLines w:val="1"/>
        <w:keepNext w:val="1"/>
        <w:widowControl w:val="1"/>
      </w:pPr>
      <w:r>
        <w:t>ISUS‑C: Índice de Susceptibilidad de Controles (madurez de controles por sector).</w:t>
      </w:r>
    </w:p>
    <w:p>
      <w:pPr>
        <w:pStyle w:val="ListNumber"/>
        <w:keepLines w:val="1"/>
        <w:keepNext w:val="1"/>
        <w:widowControl w:val="1"/>
      </w:pPr>
      <w:r>
        <w:t>PAE‑S: Pérdida Anual Esperada por Sector (en euros y en % del PIB sectorial).</w:t>
      </w:r>
    </w:p>
    <w:p>
      <w:pPr>
        <w:pStyle w:val="ListNumber"/>
        <w:keepLines w:val="1"/>
        <w:keepNext w:val="1"/>
        <w:widowControl w:val="1"/>
      </w:pPr>
      <w:r>
        <w:t>PaExt‑S: Percentiles de Pérdida Extrema (por ejemplo, 95 % y 99 % por sector crítico).</w:t>
      </w:r>
    </w:p>
    <w:p>
      <w:pPr>
        <w:pStyle w:val="ListNumber"/>
        <w:keepLines w:val="1"/>
        <w:keepNext w:val="1"/>
        <w:widowControl w:val="1"/>
      </w:pPr>
      <w:r>
        <w:t>IMat‑N: Indicador de Materialidad Nacional (proporción de escenarios con impacto financiero “material”).</w:t>
      </w:r>
    </w:p>
    <w:p>
      <w:pPr>
        <w:pStyle w:val="ListNumber"/>
        <w:keepLines w:val="1"/>
        <w:keepNext w:val="1"/>
        <w:widowControl w:val="1"/>
      </w:pPr>
      <w:r>
        <w:t>IEReg‑N: Índice de Exposición Regulatoria Nacional (pérdida esperada por sanciones y obligaciones regulatorias).</w:t>
      </w:r>
    </w:p>
    <w:p>
      <w:pPr>
        <w:pStyle w:val="ListNumber"/>
        <w:keepLines w:val="1"/>
        <w:keepNext w:val="1"/>
        <w:widowControl w:val="1"/>
      </w:pPr>
      <w:r>
        <w:t>IECtrl‑S: Índice de Eficacia de Controles (derivado de FAIR‑CAM) por sector.</w:t>
      </w:r>
    </w:p>
    <w:p>
      <w:pPr>
        <w:pStyle w:val="ListNumber"/>
        <w:keepLines w:val="1"/>
        <w:keepNext w:val="1"/>
        <w:widowControl w:val="1"/>
      </w:pPr>
      <w:r>
        <w:t>IAut‑N: Índice de Automatización e IA en la cuantificación FAIR a nivel nacional/sectorial.</w:t>
      </w:r>
    </w:p>
    <w:p>
      <w:pPr>
        <w:pStyle w:val="ListNumber"/>
        <w:keepLines w:val="1"/>
        <w:widowControl w:val="1"/>
      </w:pPr>
      <w:r>
        <w:t>IPart‑N: Índice de Participación Sectorial/Nacional en esquemas de datos FAIR de riesgo.</w:t>
      </w:r>
    </w:p>
    <w:p>
      <w:r>
        <w:t>Cada uno de estos indicadores se despliega en estructuras GQM y se evalúa con PRAGMATIC.</w:t>
      </w:r>
    </w:p>
    <w:p>
      <w:pPr>
        <w:pStyle w:val="Heading2"/>
        <w:keepNext/>
        <w:keepLines/>
      </w:pPr>
      <w:r>
        <w:rPr>
          <w:color w:val="0066CC"/>
        </w:rPr>
        <w:t>3. Plantilla GQM genérica</w:t>
      </w:r>
    </w:p>
    <w:p>
      <w:r>
        <w:t>A efectos de consistencia, usaremos la siguiente plantilla para cada indicador:</w:t>
      </w:r>
    </w:p>
    <w:p>
      <w:pPr>
        <w:pStyle w:val="ListBullet"/>
        <w:keepLines w:val="1"/>
        <w:keepNext w:val="1"/>
        <w:widowControl w:val="1"/>
      </w:pPr>
      <w:r>
        <w:t>Goal (G): objetivo nacional o sectorial al que contribuye el indicador.</w:t>
      </w:r>
    </w:p>
    <w:p>
      <w:pPr>
        <w:pStyle w:val="ListBullet"/>
        <w:keepLines w:val="1"/>
        <w:keepNext w:val="1"/>
        <w:widowControl w:val="1"/>
      </w:pPr>
      <w:r>
        <w:t>Question (Q): una o varias preguntas que, al responderse, permiten evaluar el grado de avance hacia el objetivo.</w:t>
      </w:r>
    </w:p>
    <w:p>
      <w:pPr>
        <w:pStyle w:val="ListBullet"/>
        <w:keepLines w:val="1"/>
        <w:widowControl w:val="1"/>
      </w:pPr>
      <w:r>
        <w:t>Metric (M): definición operativa de la métrica, con unidad, fuentes de datos y periodicidad.</w:t>
      </w:r>
    </w:p>
    <w:p>
      <w:pPr>
        <w:pStyle w:val="Heading2"/>
        <w:keepNext/>
        <w:keepLines/>
      </w:pPr>
      <w:r>
        <w:rPr>
          <w:color w:val="0066CC"/>
        </w:rPr>
        <w:t>4. Ejemplo 1 – IFEP‑S (Índice de Frecuencia de Eventos de Pérdida por Sector)</w:t>
      </w:r>
    </w:p>
    <w:p>
      <w:pPr>
        <w:pStyle w:val="Heading3"/>
        <w:keepNext/>
        <w:keepLines/>
      </w:pPr>
      <w:r>
        <w:t>G – Objetivo</w:t>
      </w:r>
    </w:p>
    <w:p>
      <w:r>
        <w:t>Reducir de forma sostenible la frecuencia de eventos de pérdida cibernética significativos en los sectores críticos del país, alineando inversiones y políticas públicas con los patrones reales de ocurrencia.</w:t>
      </w:r>
    </w:p>
    <w:p>
      <w:pPr>
        <w:pStyle w:val="Heading3"/>
        <w:keepNext/>
        <w:keepLines/>
      </w:pPr>
      <w:r>
        <w:t>Q – Preguntas</w:t>
      </w:r>
    </w:p>
    <w:p>
      <w:pPr>
        <w:pStyle w:val="ListBullet"/>
        <w:keepLines w:val="1"/>
        <w:keepNext w:val="1"/>
        <w:widowControl w:val="1"/>
      </w:pPr>
      <w:r>
        <w:t>Q1: ¿Con qué frecuencia se producen, por sector, incidentes de seguridad que generan pérdida económica significativa?</w:t>
      </w:r>
    </w:p>
    <w:p>
      <w:pPr>
        <w:pStyle w:val="ListBullet"/>
        <w:keepLines w:val="1"/>
        <w:widowControl w:val="1"/>
      </w:pPr>
      <w:r>
        <w:t>Q2: ¿Cómo evoluciona esa frecuencia en el tiempo y frente a objetivos nacionales de reducción del riesgo?</w:t>
      </w:r>
    </w:p>
    <w:p>
      <w:pPr>
        <w:pStyle w:val="Heading3"/>
        <w:keepNext/>
        <w:keepLines/>
      </w:pPr>
      <w:r>
        <w:t>M – Métrica</w:t>
      </w:r>
    </w:p>
    <w:p>
      <w:pPr>
        <w:pStyle w:val="ListBullet"/>
        <w:keepLines w:val="1"/>
        <w:keepNext w:val="1"/>
        <w:widowControl w:val="1"/>
      </w:pPr>
      <w:r>
        <w:t>M1: IFEP‑S = número anual de eventos de pérdida cibernética significativos por sector, normalizado por 100 organizaciones o por volumen de actividad (por ejemplo, ingresos agregados del sector).</w:t>
      </w:r>
    </w:p>
    <w:p>
      <w:pPr>
        <w:pStyle w:val="ListBullet"/>
        <w:keepLines w:val="1"/>
        <w:keepNext w:val="1"/>
        <w:widowControl w:val="1"/>
      </w:pPr>
      <w:r>
        <w:t>Unidad: eventos/año/(100 organizaciones) o eventos/año/1000 M€ de ingresos sectoriales.</w:t>
      </w:r>
    </w:p>
    <w:p>
      <w:pPr>
        <w:pStyle w:val="ListBullet"/>
        <w:keepLines w:val="1"/>
        <w:keepNext w:val="1"/>
        <w:widowControl w:val="1"/>
      </w:pPr>
      <w:r>
        <w:t>Fuente: notificaciones de CSIRTs sectoriales, reguladores, aseguradoras y encuestas FAIR armonizadas.</w:t>
      </w:r>
    </w:p>
    <w:p>
      <w:pPr>
        <w:pStyle w:val="ListBullet"/>
        <w:keepLines w:val="1"/>
        <w:widowControl w:val="1"/>
      </w:pPr>
      <w:r>
        <w:t>Periodicidad: anual, con actualización parcial trimestral cuando existan datos.</w:t>
      </w:r>
    </w:p>
    <w:p>
      <w:pPr>
        <w:pStyle w:val="Heading2"/>
        <w:keepNext/>
        <w:keepLines/>
      </w:pPr>
      <w:r>
        <w:rPr>
          <w:color w:val="0066CC"/>
        </w:rPr>
        <w:t>5. Ejemplo 2 – PAE‑S (Pérdida Anual Esperada por Sector)</w:t>
      </w:r>
    </w:p>
    <w:p>
      <w:pPr>
        <w:pStyle w:val="Heading3"/>
        <w:keepNext/>
        <w:keepLines/>
      </w:pPr>
      <w:r>
        <w:t>G – Objetivo</w:t>
      </w:r>
    </w:p>
    <w:p>
      <w:r>
        <w:t>Cuantificar la exposición económica agregada por ciber‑riesgo de cada sector crítico, para orientar prioridades de inversión pública y privada, así como políticas de aseguramiento y resiliencia.</w:t>
      </w:r>
    </w:p>
    <w:p>
      <w:pPr>
        <w:pStyle w:val="Heading3"/>
        <w:keepNext/>
        <w:keepLines/>
      </w:pPr>
      <w:r>
        <w:t>Q – Preguntas</w:t>
      </w:r>
    </w:p>
    <w:p>
      <w:pPr>
        <w:pStyle w:val="ListBullet"/>
        <w:keepLines w:val="1"/>
        <w:keepNext w:val="1"/>
        <w:widowControl w:val="1"/>
      </w:pPr>
      <w:r>
        <w:t>Q1: ¿Cuál es la pérdida económica anual esperada por ciber‑riesgo en cada sector crítico?</w:t>
      </w:r>
    </w:p>
    <w:p>
      <w:pPr>
        <w:pStyle w:val="ListBullet"/>
        <w:keepLines w:val="1"/>
        <w:keepNext w:val="1"/>
        <w:widowControl w:val="1"/>
      </w:pPr>
      <w:r>
        <w:t>Q2: ¿Qué proporción representa sobre el PIB sectorial y sobre el PIB nacional?</w:t>
      </w:r>
    </w:p>
    <w:p>
      <w:pPr>
        <w:pStyle w:val="ListBullet"/>
        <w:keepLines w:val="1"/>
        <w:widowControl w:val="1"/>
      </w:pPr>
      <w:r>
        <w:t>Q3: ¿Cómo varía la pérdida esperada en los distintos escenarios de inversión en controles?</w:t>
      </w:r>
    </w:p>
    <w:p>
      <w:pPr>
        <w:pStyle w:val="Heading3"/>
        <w:keepNext/>
        <w:keepLines/>
      </w:pPr>
      <w:r>
        <w:t>M – Métrica</w:t>
      </w:r>
    </w:p>
    <w:p>
      <w:pPr>
        <w:pStyle w:val="ListBullet"/>
        <w:keepLines w:val="1"/>
        <w:keepNext w:val="1"/>
        <w:widowControl w:val="1"/>
      </w:pPr>
      <w:r>
        <w:t>M1: PAE‑S = valor medio de la distribución de pérdida anual agregada por sector (suma de ALE de las organizaciones, ajustada por tamaño y cobertura).</w:t>
      </w:r>
    </w:p>
    <w:p>
      <w:pPr>
        <w:pStyle w:val="ListBullet"/>
        <w:keepLines w:val="1"/>
        <w:keepNext w:val="1"/>
        <w:widowControl w:val="1"/>
      </w:pPr>
      <w:r>
        <w:t>M2: PAE‑S_%PIB = PAE‑S / PIB sectorial.</w:t>
      </w:r>
    </w:p>
    <w:p>
      <w:pPr>
        <w:pStyle w:val="ListBullet"/>
        <w:keepLines w:val="1"/>
        <w:keepNext w:val="1"/>
        <w:widowControl w:val="1"/>
      </w:pPr>
      <w:r>
        <w:t>Unidad: euros/año; porcentaje sobre PIB sectorial.</w:t>
      </w:r>
    </w:p>
    <w:p>
      <w:pPr>
        <w:pStyle w:val="ListBullet"/>
        <w:keepLines w:val="1"/>
        <w:keepNext w:val="1"/>
        <w:widowControl w:val="1"/>
      </w:pPr>
      <w:r>
        <w:t>Fuente: modelos FAIR organizativos, agregados mediante encuestas y datos de mercado; cuentas nacionales.</w:t>
      </w:r>
    </w:p>
    <w:p>
      <w:pPr>
        <w:pStyle w:val="ListBullet"/>
        <w:keepLines w:val="1"/>
        <w:widowControl w:val="1"/>
      </w:pPr>
      <w:r>
        <w:t>Periodicidad: anual.</w:t>
      </w:r>
    </w:p>
    <w:p>
      <w:pPr>
        <w:pStyle w:val="Heading2"/>
        <w:keepNext/>
        <w:keepLines/>
      </w:pPr>
      <w:r>
        <w:rPr>
          <w:color w:val="0066CC"/>
        </w:rPr>
        <w:t>6. Ejemplo 3 – IEReg‑N (Índice de Exposición Regulatoria Nacional)</w:t>
      </w:r>
    </w:p>
    <w:p>
      <w:pPr>
        <w:pStyle w:val="Heading3"/>
        <w:keepNext/>
        <w:keepLines/>
      </w:pPr>
      <w:r>
        <w:t>G – Objetivo</w:t>
      </w:r>
    </w:p>
    <w:p>
      <w:r>
        <w:t>Evaluar el impacto potencial de obligaciones regulatorias (GDPR, NIS2, ENS, sectoriales) sobre la pérdida económica nacional por ciber‑riesgo, para mejorar la coherencia entre regulación, capacidad de cumplimiento y resiliencia.</w:t>
      </w:r>
    </w:p>
    <w:p>
      <w:pPr>
        <w:pStyle w:val="Heading3"/>
        <w:keepNext/>
        <w:keepLines/>
      </w:pPr>
      <w:r>
        <w:t>Q – Preguntas</w:t>
      </w:r>
    </w:p>
    <w:p>
      <w:pPr>
        <w:pStyle w:val="ListBullet"/>
        <w:keepLines w:val="1"/>
        <w:keepNext w:val="1"/>
        <w:widowControl w:val="1"/>
      </w:pPr>
      <w:r>
        <w:t>Q1: ¿Qué parte de la pérdida económica esperada se debe a sanciones, litigios y costes de cumplimiento regulatorio derivados de incidentes?</w:t>
      </w:r>
    </w:p>
    <w:p>
      <w:pPr>
        <w:pStyle w:val="ListBullet"/>
        <w:keepLines w:val="1"/>
        <w:widowControl w:val="1"/>
      </w:pPr>
      <w:r>
        <w:t>Q2: ¿Cómo varía ese porcentaje entre sectores y en el tiempo?</w:t>
      </w:r>
    </w:p>
    <w:p>
      <w:pPr>
        <w:pStyle w:val="Heading3"/>
        <w:keepNext/>
        <w:keepLines/>
      </w:pPr>
      <w:r>
        <w:t>M – Métrica</w:t>
      </w:r>
    </w:p>
    <w:p>
      <w:pPr>
        <w:pStyle w:val="ListBullet"/>
        <w:keepLines w:val="1"/>
        <w:keepNext w:val="1"/>
        <w:widowControl w:val="1"/>
      </w:pPr>
      <w:r>
        <w:t>M1: IEReg‑N = (pérdida anual esperada por sanciones, litigios y costes regulatorios) / (pérdida anual esperada total por ciber‑riesgo), a nivel país.</w:t>
      </w:r>
    </w:p>
    <w:p>
      <w:pPr>
        <w:pStyle w:val="ListBullet"/>
        <w:keepLines w:val="1"/>
        <w:keepNext w:val="1"/>
        <w:widowControl w:val="1"/>
      </w:pPr>
      <w:r>
        <w:t>Unidad: proporción (0–1) o porcentaje (%).</w:t>
      </w:r>
    </w:p>
    <w:p>
      <w:pPr>
        <w:pStyle w:val="ListBullet"/>
        <w:keepLines w:val="1"/>
        <w:keepNext w:val="1"/>
        <w:widowControl w:val="1"/>
      </w:pPr>
      <w:r>
        <w:t>Fuente: descomposición FAIR de pérdidas secundarias en organizaciones; datos de reguladores y tribunales.</w:t>
      </w:r>
    </w:p>
    <w:p>
      <w:pPr>
        <w:pStyle w:val="ListBullet"/>
        <w:keepLines w:val="1"/>
        <w:widowControl w:val="1"/>
      </w:pPr>
      <w:r>
        <w:t>Periodicidad: anual.</w:t>
      </w:r>
    </w:p>
    <w:p>
      <w:pPr>
        <w:pStyle w:val="Heading2"/>
        <w:keepNext/>
        <w:keepLines/>
      </w:pPr>
      <w:r>
        <w:rPr>
          <w:color w:val="0066CC"/>
        </w:rPr>
        <w:t>7. Esquema GQM resumido para el resto de indicadores</w:t>
      </w:r>
    </w:p>
    <w:p>
      <w:pPr>
        <w:pStyle w:val="Heading3"/>
        <w:keepNext/>
        <w:keepLines/>
      </w:pPr>
      <w:r>
        <w:t>INAT (Índice Nacional de Actividad de Amenazas)</w:t>
      </w:r>
    </w:p>
    <w:p>
      <w:pPr>
        <w:pStyle w:val="ListBullet"/>
        <w:keepLines w:val="1"/>
        <w:keepNext w:val="1"/>
        <w:widowControl w:val="1"/>
      </w:pPr>
      <w:r>
        <w:t>G: Monitorizar y anticipar tendencias de actividad de actores de amenaza relevantes para el país, para ajustar posturas defensivas y niveles de alerta.</w:t>
      </w:r>
    </w:p>
    <w:p>
      <w:pPr>
        <w:pStyle w:val="ListBullet"/>
        <w:keepLines w:val="1"/>
        <w:keepNext w:val="1"/>
        <w:widowControl w:val="1"/>
      </w:pPr>
      <w:r>
        <w:t>Q: ¿Cómo evoluciona el volumen y la sofisticación de intentos de ataque dirigidos contra sectores nacionales clave?</w:t>
      </w:r>
    </w:p>
    <w:p>
      <w:pPr>
        <w:pStyle w:val="ListBullet"/>
        <w:keepLines w:val="1"/>
        <w:widowControl w:val="1"/>
      </w:pPr>
      <w:r>
        <w:t>M: Índice compuesto que incluye número de campañas relevantes, nuevas técnicas observadas (mapeadas a ATT&amp;CK) y volumen de eventos de amenaza, normalizados por superficie de ataque.</w:t>
      </w:r>
    </w:p>
    <w:p>
      <w:pPr>
        <w:pStyle w:val="Heading3"/>
        <w:keepNext/>
        <w:keepLines/>
      </w:pPr>
      <w:r>
        <w:t>ISUS‑C (Índice de Susceptibilidad de Controles)</w:t>
      </w:r>
    </w:p>
    <w:p>
      <w:pPr>
        <w:pStyle w:val="ListBullet"/>
        <w:keepLines w:val="1"/>
        <w:keepNext w:val="1"/>
        <w:widowControl w:val="1"/>
      </w:pPr>
      <w:r>
        <w:t>G: Reducir la probabilidad de compromiso exitoso mejorando la fuerza de control relativa a la capacidad de los atacantes.</w:t>
      </w:r>
    </w:p>
    <w:p>
      <w:pPr>
        <w:pStyle w:val="ListBullet"/>
        <w:keepLines w:val="1"/>
        <w:keepNext w:val="1"/>
        <w:widowControl w:val="1"/>
      </w:pPr>
      <w:r>
        <w:t>Q: ¿Cuál es la brecha entre la capacidad esperada del atacante y la fuerza real de nuestros controles por sector?</w:t>
      </w:r>
    </w:p>
    <w:p>
      <w:pPr>
        <w:pStyle w:val="ListBullet"/>
        <w:keepLines w:val="1"/>
        <w:widowControl w:val="1"/>
      </w:pPr>
      <w:r>
        <w:t>M: Puntuación normalizada (0–1) derivada de la estimación FAIR de vulnerabilidad (probabilidad de que un evento de amenaza se convierta en pérdida).</w:t>
      </w:r>
    </w:p>
    <w:p>
      <w:pPr>
        <w:pStyle w:val="Heading3"/>
        <w:keepNext/>
        <w:keepLines/>
      </w:pPr>
      <w:r>
        <w:t>PaExt‑S (Percentiles de Pérdida Extrema)</w:t>
      </w:r>
    </w:p>
    <w:p>
      <w:pPr>
        <w:pStyle w:val="ListBullet"/>
        <w:keepLines w:val="1"/>
        <w:keepNext w:val="1"/>
        <w:widowControl w:val="1"/>
      </w:pPr>
      <w:r>
        <w:t>G: Conocer el impacto potencial de escenarios catastróficos de ciber‑riesgo por sector, para alimentar pruebas de estrés y planificación de contingencias.</w:t>
      </w:r>
    </w:p>
    <w:p>
      <w:pPr>
        <w:pStyle w:val="ListBullet"/>
        <w:keepLines w:val="1"/>
        <w:keepNext w:val="1"/>
        <w:widowControl w:val="1"/>
      </w:pPr>
      <w:r>
        <w:t>Q: ¿Cuál sería la pérdida en escenarios de cola (95 %, 99 %) y cómo se compara con la capacidad de absorción del sector?</w:t>
      </w:r>
    </w:p>
    <w:p>
      <w:pPr>
        <w:pStyle w:val="ListBullet"/>
        <w:keepLines w:val="1"/>
        <w:widowControl w:val="1"/>
      </w:pPr>
      <w:r>
        <w:t>M: Pérdida agregada a percentiles altos de la distribución de pérdidas anuales (o por incidente) por sector.</w:t>
      </w:r>
    </w:p>
    <w:p>
      <w:pPr>
        <w:pStyle w:val="Heading3"/>
        <w:keepNext/>
        <w:keepLines/>
      </w:pPr>
      <w:r>
        <w:t>IMat‑N (Indicador de Materialidad Nacional)</w:t>
      </w:r>
    </w:p>
    <w:p>
      <w:pPr>
        <w:pStyle w:val="ListBullet"/>
        <w:keepLines w:val="1"/>
        <w:keepNext w:val="1"/>
        <w:widowControl w:val="1"/>
      </w:pPr>
      <w:r>
        <w:t>G: Identificar la proporción de escenarios de ciber‑riesgo que alcanzan umbrales de materialidad financiera relevante para supervisores y mercados.</w:t>
      </w:r>
    </w:p>
    <w:p>
      <w:pPr>
        <w:pStyle w:val="ListBullet"/>
        <w:keepLines w:val="1"/>
        <w:keepNext w:val="1"/>
        <w:widowControl w:val="1"/>
      </w:pPr>
      <w:r>
        <w:t>Q: ¿Qué porcentaje de los escenarios FAIR modelados en el país se consideran “materiales” según criterios financieros acordados?</w:t>
      </w:r>
    </w:p>
    <w:p>
      <w:pPr>
        <w:pStyle w:val="ListBullet"/>
        <w:keepLines w:val="1"/>
        <w:widowControl w:val="1"/>
      </w:pPr>
      <w:r>
        <w:t>M: Número de escenarios materiales / número total de escenarios evaluados a nivel nacional.</w:t>
      </w:r>
    </w:p>
    <w:p>
      <w:pPr>
        <w:pStyle w:val="Heading3"/>
        <w:keepNext/>
        <w:keepLines/>
      </w:pPr>
      <w:r>
        <w:t>IECtrl‑S (Índice de Eficacia de Controles)</w:t>
      </w:r>
    </w:p>
    <w:p>
      <w:pPr>
        <w:pStyle w:val="ListBullet"/>
        <w:keepLines w:val="1"/>
        <w:keepNext w:val="1"/>
        <w:widowControl w:val="1"/>
      </w:pPr>
      <w:r>
        <w:t>G: Maximizar el impacto de las inversiones en controles de seguridad en la reducción de pérdida esperada.</w:t>
      </w:r>
    </w:p>
    <w:p>
      <w:pPr>
        <w:pStyle w:val="ListBullet"/>
        <w:keepLines w:val="1"/>
        <w:keepNext w:val="1"/>
        <w:widowControl w:val="1"/>
      </w:pPr>
      <w:r>
        <w:t>Q: ¿Qué reducción de ALE se atribuye a los controles existentes y planeados por sector?</w:t>
      </w:r>
    </w:p>
    <w:p>
      <w:pPr>
        <w:pStyle w:val="ListBullet"/>
        <w:keepLines w:val="1"/>
        <w:widowControl w:val="1"/>
      </w:pPr>
      <w:r>
        <w:t>M: Proporción de reducción de ALE derivada de la implementación de controles, según modelos FAIR‑CAM u otros equivalentes.</w:t>
      </w:r>
    </w:p>
    <w:p>
      <w:pPr>
        <w:pStyle w:val="Heading3"/>
        <w:keepNext/>
        <w:keepLines/>
      </w:pPr>
      <w:r>
        <w:t>IAut‑N (Índice de Automatización e IA en cuantificación FAIR)</w:t>
      </w:r>
    </w:p>
    <w:p>
      <w:pPr>
        <w:pStyle w:val="ListBullet"/>
        <w:keepLines w:val="1"/>
        <w:keepNext w:val="1"/>
        <w:widowControl w:val="1"/>
      </w:pPr>
      <w:r>
        <w:t>G: Aumentar la eficiencia, consistencia y capacidad de actualización de la cuantificación de riesgo a nivel nacional.</w:t>
      </w:r>
    </w:p>
    <w:p>
      <w:pPr>
        <w:pStyle w:val="ListBullet"/>
        <w:keepLines w:val="1"/>
        <w:keepNext w:val="1"/>
        <w:widowControl w:val="1"/>
      </w:pPr>
      <w:r>
        <w:t>Q: ¿Hasta qué punto los procesos FAIR se apoyan en automatización, simulaciones y modelos de IA?</w:t>
      </w:r>
    </w:p>
    <w:p>
      <w:pPr>
        <w:pStyle w:val="ListBullet"/>
        <w:keepLines w:val="1"/>
        <w:widowControl w:val="1"/>
      </w:pPr>
      <w:r>
        <w:t>M: Escala de madurez (por ejemplo, 0–5) basada en criterios de automatización de datos, uso de Monte Carlo y uso de IA en parámetros FAIR.</w:t>
      </w:r>
    </w:p>
    <w:p>
      <w:pPr>
        <w:pStyle w:val="Heading3"/>
        <w:keepNext/>
        <w:keepLines/>
      </w:pPr>
      <w:r>
        <w:t>IPart‑N (Índice de Participación Sectorial/Nacional)</w:t>
      </w:r>
    </w:p>
    <w:p>
      <w:pPr>
        <w:pStyle w:val="ListBullet"/>
        <w:keepLines w:val="1"/>
        <w:keepNext w:val="1"/>
        <w:widowControl w:val="1"/>
      </w:pPr>
      <w:r>
        <w:t>G: Fomentar un ecosistema colaborativo de datos de ciber‑riesgo, que permita indicadores agregados y aprendizaje colectivo.</w:t>
      </w:r>
    </w:p>
    <w:p>
      <w:pPr>
        <w:pStyle w:val="ListBullet"/>
        <w:keepLines w:val="1"/>
        <w:keepNext w:val="1"/>
        <w:widowControl w:val="1"/>
      </w:pPr>
      <w:r>
        <w:t>Q: ¿Qué proporción de organizaciones relevantes contribuye activamente con datos a iniciativas FAIR nacionales o sectoriales?</w:t>
      </w:r>
    </w:p>
    <w:p>
      <w:pPr>
        <w:pStyle w:val="ListBullet"/>
        <w:keepLines w:val="1"/>
        <w:widowControl w:val="1"/>
      </w:pPr>
      <w:r>
        <w:t>M: Número de organizaciones participantes / número total de organizaciones objetivo, por sector y a nivel país.</w:t>
      </w:r>
    </w:p>
    <w:p>
      <w:pPr>
        <w:pStyle w:val="Heading2"/>
        <w:keepNext/>
        <w:keepLines/>
      </w:pPr>
      <w:r>
        <w:rPr>
          <w:color w:val="0066CC"/>
        </w:rPr>
        <w:t>8. Integración GQM a nivel de sistema nacional</w:t>
      </w:r>
    </w:p>
    <w:p>
      <w:r>
        <w:t>Para lograr trazabilidad de arriba abajo, se recomienda documentar explícitamente:</w:t>
      </w:r>
    </w:p>
    <w:p>
      <w:pPr>
        <w:pStyle w:val="ListBullet"/>
        <w:keepLines w:val="1"/>
        <w:keepNext w:val="1"/>
        <w:widowControl w:val="1"/>
      </w:pPr>
      <w:r>
        <w:t>Los objetivos nacionales de resiliencia digital (por ejemplo, reducción de PAE‑N en un X % en cinco años).</w:t>
      </w:r>
    </w:p>
    <w:p>
      <w:pPr>
        <w:pStyle w:val="ListBullet"/>
        <w:keepLines w:val="1"/>
        <w:keepNext w:val="1"/>
        <w:widowControl w:val="1"/>
      </w:pPr>
      <w:r>
        <w:t>Las preguntas de política pública a las que se quiere responder (por ejemplo, “¿qué sectores necesitan más apoyo regulatorio o financiero?”).</w:t>
      </w:r>
    </w:p>
    <w:p>
      <w:pPr>
        <w:pStyle w:val="ListBullet"/>
        <w:keepLines w:val="1"/>
        <w:widowControl w:val="1"/>
      </w:pPr>
      <w:r>
        <w:t>El conjunto de métricas FAIR seleccionadas, su definición técnica y sus evaluaciones PRAGMATIC asociadas.</w:t>
      </w:r>
    </w:p>
    <w:p>
      <w:r>
        <w:t>De este modo, el ciclo GQM actúa como columna vertebral: los objetivos fijan el rumbo, las preguntas orientan la interpretación, y las métricas FAIR —evaluadas con PRAGMATIC— aseguran que los datos técnicos no se convierten en un fin en sí mismos, sino en instrumentos de decisión.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