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Matriz de Evaluación PRAGMATIC para indicadores FAIR nacionales</w:t>
      </w:r>
    </w:p>
    <w:p>
      <w:pPr>
        <w:pStyle w:val="Heading2"/>
        <w:keepNext/>
        <w:keepLines/>
      </w:pPr>
      <w:r>
        <w:rPr>
          <w:color w:val="0066CC"/>
        </w:rPr>
        <w:t>1. Criterios PRAGMATIC</w:t>
      </w:r>
    </w:p>
    <w:p>
      <w:r>
        <w:t>Cada métrica se evalúa según nueve criterios, puntuados típicamente en una escala de 0 a 3:</w:t>
      </w:r>
    </w:p>
    <w:p>
      <w:pPr>
        <w:pStyle w:val="ListBullet"/>
        <w:keepLines w:val="1"/>
        <w:keepNext w:val="1"/>
        <w:widowControl w:val="1"/>
      </w:pPr>
      <w:r>
        <w:t>P – Predictivo: ¿Ayuda a anticipar resultados futuros?</w:t>
      </w:r>
    </w:p>
    <w:p>
      <w:pPr>
        <w:pStyle w:val="ListBullet"/>
        <w:keepLines w:val="1"/>
        <w:keepNext w:val="1"/>
        <w:widowControl w:val="1"/>
      </w:pPr>
      <w:r>
        <w:t>R – Relevante: ¿Se relaciona directamente con objetivos nacionales/sectoriales?</w:t>
      </w:r>
    </w:p>
    <w:p>
      <w:pPr>
        <w:pStyle w:val="ListBullet"/>
        <w:keepLines w:val="1"/>
        <w:keepNext w:val="1"/>
        <w:widowControl w:val="1"/>
      </w:pPr>
      <w:r>
        <w:t>A – Accionable: ¿Puede impulsar decisiones o cambios concretos?</w:t>
      </w:r>
    </w:p>
    <w:p>
      <w:pPr>
        <w:pStyle w:val="ListBullet"/>
        <w:keepLines w:val="1"/>
        <w:keepNext w:val="1"/>
        <w:widowControl w:val="1"/>
      </w:pPr>
      <w:r>
        <w:t>G – Genuino: ¿Refleja la realidad sin manipulaciones fáciles ni incentivos perversos?</w:t>
      </w:r>
    </w:p>
    <w:p>
      <w:pPr>
        <w:pStyle w:val="ListBullet"/>
        <w:keepLines w:val="1"/>
        <w:keepNext w:val="1"/>
        <w:widowControl w:val="1"/>
      </w:pPr>
      <w:r>
        <w:t>M – Significativo (Meaningful): ¿Tiene un significado claro para las partes interesadas clave?</w:t>
      </w:r>
    </w:p>
    <w:p>
      <w:pPr>
        <w:pStyle w:val="ListBullet"/>
        <w:keepLines w:val="1"/>
        <w:keepNext w:val="1"/>
        <w:widowControl w:val="1"/>
      </w:pPr>
      <w:r>
        <w:t>P2 – Preciso (Precise): ¿Es medible con exactitud razonable y baja ambigüedad?</w:t>
      </w:r>
    </w:p>
    <w:p>
      <w:pPr>
        <w:pStyle w:val="ListBullet"/>
        <w:keepLines w:val="1"/>
        <w:keepNext w:val="1"/>
        <w:widowControl w:val="1"/>
      </w:pPr>
      <w:r>
        <w:t>T – Oportuno (Timely): ¿Está disponible con la frecuencia y latencia adecuadas?</w:t>
      </w:r>
    </w:p>
    <w:p>
      <w:pPr>
        <w:pStyle w:val="ListBullet"/>
        <w:keepLines w:val="1"/>
        <w:keepNext w:val="1"/>
        <w:widowControl w:val="1"/>
      </w:pPr>
      <w:r>
        <w:t>I – Independiente: ¿Está libre de sesgos directos de quienes son evaluados con ella?</w:t>
      </w:r>
    </w:p>
    <w:p>
      <w:pPr>
        <w:pStyle w:val="ListBullet"/>
        <w:keepLines w:val="1"/>
        <w:widowControl w:val="1"/>
      </w:pPr>
      <w:r>
        <w:t>C – Rentable (Cost‑effective): ¿Aporta valor superior al coste de producirla y mantenerla?</w:t>
      </w:r>
    </w:p>
    <w:p>
      <w:pPr>
        <w:pStyle w:val="Heading2"/>
        <w:keepNext/>
        <w:keepLines/>
      </w:pPr>
      <w:r>
        <w:rPr>
          <w:color w:val="0066CC"/>
        </w:rPr>
        <w:t>2. Tabla de evaluación resumida</w:t>
      </w:r>
    </w:p>
    <w:p>
      <w:r>
        <w:t>Se propone la siguiente matriz (valores ejemplo, ajustables en implementación real):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</w:tblGrid>
      <w:tr>
        <w:trPr>
          <w:cantSplit w:val="1"/>
        </w:trPr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Indicador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Descripción breve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G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P2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  <w:keepNext w:val="1"/>
            </w:pPr>
            <w:r>
              <w:t>IFEP‑S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Frecuencia de eventos de pérdida por sector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  <w:keepNext w:val="1"/>
            </w:pPr>
            <w:r>
              <w:t>INAT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Índice nacional de actividad de amenazas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  <w:keepNext w:val="1"/>
            </w:pPr>
            <w:r>
              <w:t>ISUS‑C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Susceptibilidad de controles (vulnerabilidad FAIR)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  <w:keepNext w:val="1"/>
            </w:pPr>
            <w:r>
              <w:t>PAE‑S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Pérdida anual esperada por sector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  <w:keepNext w:val="1"/>
            </w:pPr>
            <w:r>
              <w:t>PaExt‑S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Percentiles de pérdida extrema por sector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  <w:keepNext w:val="1"/>
            </w:pPr>
            <w:r>
              <w:t>IMat‑N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Proporción de escenarios con impacto material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  <w:keepNext w:val="1"/>
            </w:pPr>
            <w:r>
              <w:t>IEReg‑N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Parte de la pérdida debida a sanciones/regulación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  <w:keepNext w:val="1"/>
            </w:pPr>
            <w:r>
              <w:t>IECtrl‑S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Eficacia de controles en reducción de ALE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  <w:keepNext w:val="1"/>
            </w:pPr>
            <w:r>
              <w:t>IAut‑N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Grado de automatización e IA en cuantificación FAIR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</w:pPr>
            <w:r>
              <w:t>IPart‑N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Participación en esquemas de datos FAIR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1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1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3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3. Comentarios cualitativos por indicador</w:t>
      </w:r>
    </w:p>
    <w:p>
      <w:pPr>
        <w:pStyle w:val="Heading3"/>
        <w:keepNext/>
        <w:keepLines/>
      </w:pPr>
      <w:r>
        <w:t>IFEP‑S – Índice de Frecuencia de Eventos de Pérdida por Sector</w:t>
      </w:r>
    </w:p>
    <w:p>
      <w:pPr>
        <w:pStyle w:val="ListBullet"/>
        <w:keepLines w:val="1"/>
        <w:keepNext w:val="1"/>
        <w:widowControl w:val="1"/>
      </w:pPr>
      <w:r>
        <w:t>Predictivo (3): alta capacidad para anticipar tendencias de riesgo en función de patrones históricos.</w:t>
      </w:r>
    </w:p>
    <w:p>
      <w:pPr>
        <w:pStyle w:val="ListBullet"/>
        <w:keepLines w:val="1"/>
        <w:keepNext w:val="1"/>
        <w:widowControl w:val="1"/>
      </w:pPr>
      <w:r>
        <w:t>Relevante (3): directamente vinculado a objetivos de reducción de incidentes significativos.</w:t>
      </w:r>
    </w:p>
    <w:p>
      <w:pPr>
        <w:pStyle w:val="ListBullet"/>
        <w:keepLines w:val="1"/>
        <w:keepNext w:val="1"/>
        <w:widowControl w:val="1"/>
      </w:pPr>
      <w:r>
        <w:t>Accionable (3): orienta campañas sectoriales, priorización de controles y recursos de respuesta.</w:t>
      </w:r>
    </w:p>
    <w:p>
      <w:pPr>
        <w:pStyle w:val="ListBullet"/>
        <w:keepLines w:val="1"/>
        <w:keepNext w:val="1"/>
        <w:widowControl w:val="1"/>
      </w:pPr>
      <w:r>
        <w:t>Genuino (2): depende de la transparencia en la notificación; puede infraestimar en entornos poco maduros.</w:t>
      </w:r>
    </w:p>
    <w:p>
      <w:pPr>
        <w:pStyle w:val="ListBullet"/>
        <w:keepLines w:val="1"/>
        <w:keepNext w:val="1"/>
        <w:widowControl w:val="1"/>
      </w:pPr>
      <w:r>
        <w:t>Significativo (3): comprensible por decisores técnicos y no técnicos.</w:t>
      </w:r>
    </w:p>
    <w:p>
      <w:pPr>
        <w:pStyle w:val="ListBullet"/>
        <w:keepLines w:val="1"/>
        <w:keepNext w:val="1"/>
        <w:widowControl w:val="1"/>
      </w:pPr>
      <w:r>
        <w:t>Preciso (2): buena precisión relativa, aunque sujeta a definiciones de “evento significativo”.</w:t>
      </w:r>
    </w:p>
    <w:p>
      <w:pPr>
        <w:pStyle w:val="ListBullet"/>
        <w:keepLines w:val="1"/>
        <w:keepNext w:val="1"/>
        <w:widowControl w:val="1"/>
      </w:pPr>
      <w:r>
        <w:t>Oportuno (2): datos anuales/trimestrales; no apto para micro‑gestión diaria.</w:t>
      </w:r>
    </w:p>
    <w:p>
      <w:pPr>
        <w:pStyle w:val="ListBullet"/>
        <w:keepLines w:val="1"/>
        <w:keepNext w:val="1"/>
        <w:widowControl w:val="1"/>
      </w:pPr>
      <w:r>
        <w:t>Independiente (2): cierta dependencia de la voluntad de reporte de los sujetos evaluados.</w:t>
      </w:r>
    </w:p>
    <w:p>
      <w:pPr>
        <w:pStyle w:val="ListBullet"/>
        <w:keepLines w:val="1"/>
        <w:widowControl w:val="1"/>
      </w:pPr>
      <w:r>
        <w:t>Rentable (2): requiere infraestructura de notificación, pero su valor agregado es elevado.</w:t>
      </w:r>
    </w:p>
    <w:p>
      <w:pPr>
        <w:pStyle w:val="Heading3"/>
        <w:keepNext/>
        <w:keepLines/>
      </w:pPr>
      <w:r>
        <w:t>PAE‑S – Pérdida Anual Esperada por Sector</w:t>
      </w:r>
    </w:p>
    <w:p>
      <w:pPr>
        <w:pStyle w:val="ListBullet"/>
        <w:keepLines w:val="1"/>
        <w:keepNext w:val="1"/>
        <w:widowControl w:val="1"/>
      </w:pPr>
      <w:r>
        <w:t>Predictivo (3): central para proyecciones económicas de impacto de ciber‑riesgo.</w:t>
      </w:r>
    </w:p>
    <w:p>
      <w:pPr>
        <w:pStyle w:val="ListBullet"/>
        <w:keepLines w:val="1"/>
        <w:keepNext w:val="1"/>
        <w:widowControl w:val="1"/>
      </w:pPr>
      <w:r>
        <w:t>Relevante (3): se alinea con objetivos macroeconómicos y de resiliencia nacional.</w:t>
      </w:r>
    </w:p>
    <w:p>
      <w:pPr>
        <w:pStyle w:val="ListBullet"/>
        <w:keepLines w:val="1"/>
        <w:keepNext w:val="1"/>
        <w:widowControl w:val="1"/>
      </w:pPr>
      <w:r>
        <w:t>Accionable (3): informativo para regulación, incentivos fiscales, programas de apoyo y seguros.</w:t>
      </w:r>
    </w:p>
    <w:p>
      <w:pPr>
        <w:pStyle w:val="ListBullet"/>
        <w:keepLines w:val="1"/>
        <w:keepNext w:val="1"/>
        <w:widowControl w:val="1"/>
      </w:pPr>
      <w:r>
        <w:t>Genuino (2): depende de la calidad de modelos FAIR y supuestos; riesgo de sobre‑optimismo.</w:t>
      </w:r>
    </w:p>
    <w:p>
      <w:pPr>
        <w:pStyle w:val="ListBullet"/>
        <w:keepLines w:val="1"/>
        <w:keepNext w:val="1"/>
        <w:widowControl w:val="1"/>
      </w:pPr>
      <w:r>
        <w:t>Significativo (3): habla el lenguaje de los ministerios de economía y supervisores.</w:t>
      </w:r>
    </w:p>
    <w:p>
      <w:pPr>
        <w:pStyle w:val="ListBullet"/>
        <w:keepLines w:val="1"/>
        <w:keepNext w:val="1"/>
        <w:widowControl w:val="1"/>
      </w:pPr>
      <w:r>
        <w:t>Preciso (2): precisión suficiente para decisiones macro, pero no “contable”.</w:t>
      </w:r>
    </w:p>
    <w:p>
      <w:pPr>
        <w:pStyle w:val="ListBullet"/>
        <w:keepLines w:val="1"/>
        <w:keepNext w:val="1"/>
        <w:widowControl w:val="1"/>
      </w:pPr>
      <w:r>
        <w:t>Oportuno (1): típicamente anual, con alta latencia.</w:t>
      </w:r>
    </w:p>
    <w:p>
      <w:pPr>
        <w:pStyle w:val="ListBullet"/>
        <w:keepLines w:val="1"/>
        <w:keepNext w:val="1"/>
        <w:widowControl w:val="1"/>
      </w:pPr>
      <w:r>
        <w:t>Independiente (2): mitigable vía validaciones externas y datos de mercado.</w:t>
      </w:r>
    </w:p>
    <w:p>
      <w:pPr>
        <w:pStyle w:val="ListBullet"/>
        <w:keepLines w:val="1"/>
        <w:widowControl w:val="1"/>
      </w:pPr>
      <w:r>
        <w:t>Rentable (2): costoso de construir, pero crítico para la política pública.</w:t>
      </w:r>
    </w:p>
    <w:p>
      <w:r>
        <w:rPr>
          <w:i/>
        </w:rPr>
        <w:t>(Pueden añadirse comentarios análogos para cada indicador en función del detalle requerido.)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