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 indicadores/preguntas a requisitos normativos (visión nacional)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 / Pregunta GQM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 principal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Posible relación normativa (ejemplos)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IFEP‑S – Q1/Q2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Frecuencia de incidentes significativos por sector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NIS2 (notificación de incidentes); ENS; regulaciones sectoriales de operadores de servicios esenciales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INAT – Q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Actividad de amenazas e inteligencia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NIS2 (gestión de riesgos y amenazas); estrategias nacionales de ciberseguridad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ISUS‑C – Q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Susceptibilidad / vulnerabilidad de controles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NIS2 (medidas técnicas y organizativas); ISO 27001/27002; ENS niveles de seguridad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PAE‑S – Q1/Q2/Q3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Pérdida anual esperada y % sobre PIB sectorial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Marcos de gestión de riesgo macroprudencial; políticas nacionales de resiliencia; normativa financiera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PaExt‑S – Q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Escenarios de pérdida extrema y pruebas de estrés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Supervisión financiera (pruebas de estrés); pautas de gestión de riesgos operacionales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IMat‑N – Q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Proporción de escenarios con impacto material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Normas de información financiera; obligaciones de reporte al mercado y supervisores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IEReg‑N – Q1/Q2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Impacto de sanciones, litigios y costes regulatorios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GDPR (multas); NIS2 (sanciones); regulaciones sectoriales (energía, finanzas, telecomunicaciones)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IECtrl‑S – Q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Eficacia de controles en reducción de ALE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ISO 27001/27005; ENS; NIS2 (eficacia de medidas de gestión de riesgos)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IAut‑N – Q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Automatización e IA en procesos de gestión de riesgos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 hay obligación directa; se alinea con principios de mejora continua (ISO 27001, ENS)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IPart‑N – Q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Participación en esquemas nacionales de datos de ciber‑riesgo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Estrategias nacionales de ciberseguridad; políticas de cooperación público‑privada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