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IGM y ROI alineada con GQM + FAIR</w:t>
      </w:r>
    </w:p>
    <w:p>
      <w:pPr>
        <w:pStyle w:val="Heading2"/>
        <w:keepNext/>
        <w:keepLines/>
      </w:pPr>
      <w:r>
        <w:rPr>
          <w:color w:val="0066CC"/>
        </w:rPr>
        <w:t>1. Objetivo</w:t>
      </w:r>
    </w:p>
    <w:p>
      <w:r>
        <w:t>Esta plantilla extiende la anterior hoja de cálculo de IGM/ROI, incorporando referencias GQM y facilitando la conexión con indicadores nacionales (PAE‑S, IECtrl‑S).</w:t>
      </w:r>
    </w:p>
    <w:p>
      <w:pPr>
        <w:pStyle w:val="Heading2"/>
        <w:keepNext/>
        <w:keepLines/>
      </w:pPr>
      <w:r>
        <w:rPr>
          <w:color w:val="0066CC"/>
        </w:rPr>
        <w:t>2. Hojas propuestas</w:t>
      </w:r>
    </w:p>
    <w:p>
      <w:pPr>
        <w:pStyle w:val="ListNumber"/>
        <w:keepLines w:val="1"/>
        <w:keepNext w:val="1"/>
        <w:widowControl w:val="1"/>
      </w:pPr>
      <w:r>
        <w:t>Objetivos_GQM: recoge las metas (Goals) y preguntas (Questions) a las que responden los escenarios y controles.</w:t>
      </w:r>
    </w:p>
    <w:p>
      <w:pPr>
        <w:pStyle w:val="ListNumber"/>
        <w:keepLines w:val="1"/>
        <w:keepNext w:val="1"/>
        <w:widowControl w:val="1"/>
      </w:pPr>
      <w:r>
        <w:t>Escenarios_FAIR: contiene parámetros FAIR por escenario (LEF, LM, ALE, percentiles).</w:t>
      </w:r>
    </w:p>
    <w:p>
      <w:pPr>
        <w:pStyle w:val="ListNumber"/>
        <w:keepLines w:val="1"/>
        <w:keepNext w:val="1"/>
        <w:widowControl w:val="1"/>
      </w:pPr>
      <w:r>
        <w:t>Controles_FAIRCAM: detalla controles, costes y efecto esperado sobre LEF y LM.</w:t>
      </w:r>
    </w:p>
    <w:p>
      <w:pPr>
        <w:pStyle w:val="ListNumber"/>
        <w:keepLines w:val="1"/>
        <w:keepNext w:val="1"/>
        <w:widowControl w:val="1"/>
      </w:pPr>
      <w:r>
        <w:t>Calculos_IGM_ROI: calcula Delta_ALE, IGM y ROI.</w:t>
      </w:r>
    </w:p>
    <w:p>
      <w:pPr>
        <w:pStyle w:val="ListNumber"/>
        <w:keepLines w:val="1"/>
        <w:widowControl w:val="1"/>
      </w:pPr>
      <w:r>
        <w:t>Vinculo_Indicadores_Nacionales: agrega resultados para alimentar PAE‑S, IECtrl‑S, etc.</w:t>
      </w:r>
    </w:p>
    <w:p>
      <w:pPr>
        <w:pStyle w:val="Heading2"/>
        <w:keepNext/>
        <w:keepLines/>
      </w:pPr>
      <w:r>
        <w:rPr>
          <w:color w:val="0066CC"/>
        </w:rPr>
        <w:t>3. Hoja “Objetivos_GQM”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A: ID_Goal</w:t>
      </w:r>
    </w:p>
    <w:p>
      <w:pPr>
        <w:pStyle w:val="ListBullet"/>
        <w:keepLines w:val="1"/>
        <w:keepNext w:val="1"/>
        <w:widowControl w:val="1"/>
      </w:pPr>
      <w:r>
        <w:t>B: Descripcion_Goal</w:t>
      </w:r>
    </w:p>
    <w:p>
      <w:pPr>
        <w:pStyle w:val="ListBullet"/>
        <w:keepLines w:val="1"/>
        <w:keepNext w:val="1"/>
        <w:widowControl w:val="1"/>
      </w:pPr>
      <w:r>
        <w:t>C: Horizonte_Temporal</w:t>
      </w:r>
    </w:p>
    <w:p>
      <w:pPr>
        <w:pStyle w:val="ListBullet"/>
        <w:keepLines w:val="1"/>
        <w:keepNext w:val="1"/>
        <w:widowControl w:val="1"/>
      </w:pPr>
      <w:r>
        <w:t>D: Indicadores_Asociados (PAE‑S, IFEP‑S, etc.)</w:t>
      </w:r>
    </w:p>
    <w:p>
      <w:pPr>
        <w:pStyle w:val="ListBullet"/>
        <w:keepLines w:val="1"/>
        <w:keepNext w:val="1"/>
        <w:widowControl w:val="1"/>
      </w:pPr>
      <w:r>
        <w:t>E: ID_Question</w:t>
      </w:r>
    </w:p>
    <w:p>
      <w:pPr>
        <w:pStyle w:val="ListBullet"/>
        <w:keepLines w:val="1"/>
        <w:keepNext w:val="1"/>
        <w:widowControl w:val="1"/>
      </w:pPr>
      <w:r>
        <w:t>F: Descripcion_Question</w:t>
      </w:r>
    </w:p>
    <w:p>
      <w:pPr>
        <w:pStyle w:val="ListBullet"/>
        <w:keepLines w:val="1"/>
        <w:widowControl w:val="1"/>
      </w:pPr>
      <w:r>
        <w:t>G: Escenarios_Asociados (IDs de escenarios en Escenarios_FAIR)</w:t>
      </w:r>
    </w:p>
    <w:p>
      <w:pPr>
        <w:pStyle w:val="Heading2"/>
        <w:keepNext/>
        <w:keepLines/>
      </w:pPr>
      <w:r>
        <w:rPr>
          <w:color w:val="0066CC"/>
        </w:rPr>
        <w:t>4. Hoja “Escenarios_FAIR”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A: ID_Escenario</w:t>
      </w:r>
    </w:p>
    <w:p>
      <w:pPr>
        <w:pStyle w:val="ListBullet"/>
        <w:keepLines w:val="1"/>
        <w:keepNext w:val="1"/>
        <w:widowControl w:val="1"/>
      </w:pPr>
      <w:r>
        <w:t>B: Sector</w:t>
      </w:r>
    </w:p>
    <w:p>
      <w:pPr>
        <w:pStyle w:val="ListBullet"/>
        <w:keepLines w:val="1"/>
        <w:keepNext w:val="1"/>
        <w:widowControl w:val="1"/>
      </w:pPr>
      <w:r>
        <w:t>C: Activo_Clave</w:t>
      </w:r>
    </w:p>
    <w:p>
      <w:pPr>
        <w:pStyle w:val="ListBullet"/>
        <w:keepLines w:val="1"/>
        <w:keepNext w:val="1"/>
        <w:widowControl w:val="1"/>
      </w:pPr>
      <w:r>
        <w:t xml:space="preserve">D: Tipo_Escenario (IT/OT/Datos personales/…) </w:t>
      </w:r>
    </w:p>
    <w:p>
      <w:pPr>
        <w:pStyle w:val="ListBullet"/>
        <w:keepLines w:val="1"/>
        <w:keepNext w:val="1"/>
        <w:widowControl w:val="1"/>
      </w:pPr>
      <w:r>
        <w:t>E: LEF_Base</w:t>
      </w:r>
    </w:p>
    <w:p>
      <w:pPr>
        <w:pStyle w:val="ListBullet"/>
        <w:keepLines w:val="1"/>
        <w:keepNext w:val="1"/>
        <w:widowControl w:val="1"/>
      </w:pPr>
      <w:r>
        <w:t>F: LEF_Post</w:t>
      </w:r>
    </w:p>
    <w:p>
      <w:pPr>
        <w:pStyle w:val="ListBullet"/>
        <w:keepLines w:val="1"/>
        <w:keepNext w:val="1"/>
        <w:widowControl w:val="1"/>
      </w:pPr>
      <w:r>
        <w:t>G: LM_Base</w:t>
      </w:r>
    </w:p>
    <w:p>
      <w:pPr>
        <w:pStyle w:val="ListBullet"/>
        <w:keepLines w:val="1"/>
        <w:keepNext w:val="1"/>
        <w:widowControl w:val="1"/>
      </w:pPr>
      <w:r>
        <w:t>H: LM_Post</w:t>
      </w:r>
    </w:p>
    <w:p>
      <w:pPr>
        <w:pStyle w:val="ListBullet"/>
        <w:keepLines w:val="1"/>
        <w:keepNext w:val="1"/>
        <w:widowControl w:val="1"/>
      </w:pPr>
      <w:r>
        <w:t>I: ALE_Base</w:t>
      </w:r>
    </w:p>
    <w:p>
      <w:pPr>
        <w:pStyle w:val="ListBullet"/>
        <w:keepLines w:val="1"/>
        <w:keepNext w:val="1"/>
        <w:widowControl w:val="1"/>
      </w:pPr>
      <w:r>
        <w:t>J: ALE_Post</w:t>
      </w:r>
    </w:p>
    <w:p>
      <w:pPr>
        <w:pStyle w:val="ListBullet"/>
        <w:keepLines w:val="1"/>
        <w:keepNext w:val="1"/>
        <w:widowControl w:val="1"/>
      </w:pPr>
      <w:r>
        <w:t>K: P95_Base</w:t>
      </w:r>
    </w:p>
    <w:p>
      <w:pPr>
        <w:pStyle w:val="ListBullet"/>
        <w:keepLines w:val="1"/>
        <w:keepNext w:val="1"/>
        <w:widowControl w:val="1"/>
      </w:pPr>
      <w:r>
        <w:t>L: P95_Post</w:t>
      </w:r>
    </w:p>
    <w:p>
      <w:pPr>
        <w:pStyle w:val="ListBullet"/>
        <w:keepLines w:val="1"/>
        <w:keepNext w:val="1"/>
        <w:widowControl w:val="1"/>
      </w:pPr>
      <w:r>
        <w:t>M: ID_Goal</w:t>
      </w:r>
    </w:p>
    <w:p>
      <w:pPr>
        <w:pStyle w:val="ListBullet"/>
        <w:keepLines w:val="1"/>
        <w:widowControl w:val="1"/>
      </w:pPr>
      <w:r>
        <w:t>N: ID_Question</w:t>
      </w:r>
    </w:p>
    <w:p>
      <w:pPr>
        <w:pStyle w:val="Heading2"/>
        <w:keepNext/>
        <w:keepLines/>
      </w:pPr>
      <w:r>
        <w:rPr>
          <w:color w:val="0066CC"/>
        </w:rPr>
        <w:t>5. Hoja “Controles_FAIRCAM”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A: ID_Control</w:t>
      </w:r>
    </w:p>
    <w:p>
      <w:pPr>
        <w:pStyle w:val="ListBullet"/>
        <w:keepLines w:val="1"/>
        <w:keepNext w:val="1"/>
        <w:widowControl w:val="1"/>
      </w:pPr>
      <w:r>
        <w:t>B: Nombre_Control</w:t>
      </w:r>
    </w:p>
    <w:p>
      <w:pPr>
        <w:pStyle w:val="ListBullet"/>
        <w:keepLines w:val="1"/>
        <w:keepNext w:val="1"/>
        <w:widowControl w:val="1"/>
      </w:pPr>
      <w:r>
        <w:t>C: Tipo_Control</w:t>
      </w:r>
    </w:p>
    <w:p>
      <w:pPr>
        <w:pStyle w:val="ListBullet"/>
        <w:keepLines w:val="1"/>
        <w:keepNext w:val="1"/>
        <w:widowControl w:val="1"/>
      </w:pPr>
      <w:r>
        <w:t>D: Sector</w:t>
      </w:r>
    </w:p>
    <w:p>
      <w:pPr>
        <w:pStyle w:val="ListBullet"/>
        <w:keepLines w:val="1"/>
        <w:keepNext w:val="1"/>
        <w:widowControl w:val="1"/>
      </w:pPr>
      <w:r>
        <w:t>E: Coste_CAPEX_Anualizado</w:t>
      </w:r>
    </w:p>
    <w:p>
      <w:pPr>
        <w:pStyle w:val="ListBullet"/>
        <w:keepLines w:val="1"/>
        <w:keepNext w:val="1"/>
        <w:widowControl w:val="1"/>
      </w:pPr>
      <w:r>
        <w:t>F: Coste_OPEX_Anual</w:t>
      </w:r>
    </w:p>
    <w:p>
      <w:pPr>
        <w:pStyle w:val="ListBullet"/>
        <w:keepLines w:val="1"/>
        <w:keepNext w:val="1"/>
        <w:widowControl w:val="1"/>
      </w:pPr>
      <w:r>
        <w:t>G: Reduccion_LEF_Estimada (%)</w:t>
      </w:r>
    </w:p>
    <w:p>
      <w:pPr>
        <w:pStyle w:val="ListBullet"/>
        <w:keepLines w:val="1"/>
        <w:keepNext w:val="1"/>
        <w:widowControl w:val="1"/>
      </w:pPr>
      <w:r>
        <w:t>H: Reduccion_LM_Estimada (%)</w:t>
      </w:r>
    </w:p>
    <w:p>
      <w:pPr>
        <w:pStyle w:val="ListBullet"/>
        <w:keepLines w:val="1"/>
        <w:keepNext w:val="1"/>
        <w:widowControl w:val="1"/>
      </w:pPr>
      <w:r>
        <w:t>I: Escenarios_Afectados (lista ID_Escenario)</w:t>
      </w:r>
    </w:p>
    <w:p>
      <w:pPr>
        <w:pStyle w:val="ListBullet"/>
        <w:keepLines w:val="1"/>
        <w:widowControl w:val="1"/>
      </w:pPr>
      <w:r>
        <w:t>J: Fuente_Estimacion</w:t>
      </w:r>
    </w:p>
    <w:p>
      <w:pPr>
        <w:pStyle w:val="Heading2"/>
        <w:keepNext/>
        <w:keepLines/>
      </w:pPr>
      <w:r>
        <w:rPr>
          <w:color w:val="0066CC"/>
        </w:rPr>
        <w:t>6. Hoja “Calculos_IGM_ROI”</w:t>
      </w:r>
    </w:p>
    <w:p>
      <w:r>
        <w:t>Para cada combinación Escenario–Control:</w:t>
      </w:r>
    </w:p>
    <w:p>
      <w:pPr>
        <w:pStyle w:val="ListBullet"/>
        <w:keepLines w:val="1"/>
        <w:keepNext w:val="1"/>
        <w:widowControl w:val="1"/>
      </w:pPr>
      <w:r>
        <w:t>A: ID_Escenario</w:t>
      </w:r>
    </w:p>
    <w:p>
      <w:pPr>
        <w:pStyle w:val="ListBullet"/>
        <w:keepLines w:val="1"/>
        <w:keepNext w:val="1"/>
        <w:widowControl w:val="1"/>
      </w:pPr>
      <w:r>
        <w:t>B: ID_Control</w:t>
      </w:r>
    </w:p>
    <w:p>
      <w:pPr>
        <w:pStyle w:val="ListBullet"/>
        <w:keepLines w:val="1"/>
        <w:keepNext w:val="1"/>
        <w:widowControl w:val="1"/>
      </w:pPr>
      <w:r>
        <w:t>C: ALE_Base</w:t>
      </w:r>
    </w:p>
    <w:p>
      <w:pPr>
        <w:pStyle w:val="ListBullet"/>
        <w:keepLines w:val="1"/>
        <w:keepNext w:val="1"/>
        <w:widowControl w:val="1"/>
      </w:pPr>
      <w:r>
        <w:t>D: ALE_Post</w:t>
      </w:r>
    </w:p>
    <w:p>
      <w:pPr>
        <w:pStyle w:val="ListBullet"/>
        <w:keepLines w:val="1"/>
        <w:keepNext w:val="1"/>
        <w:widowControl w:val="1"/>
      </w:pPr>
      <w:r>
        <w:t>E: Delta_ALE = C – D</w:t>
      </w:r>
    </w:p>
    <w:p>
      <w:pPr>
        <w:pStyle w:val="ListBullet"/>
        <w:keepLines w:val="1"/>
        <w:keepNext w:val="1"/>
        <w:widowControl w:val="1"/>
      </w:pPr>
      <w:r>
        <w:t>F: Coste_Total_Control = CAPEX_Anualizado + OPEX_Anual</w:t>
      </w:r>
    </w:p>
    <w:p>
      <w:pPr>
        <w:pStyle w:val="ListBullet"/>
        <w:keepLines w:val="1"/>
        <w:keepNext w:val="1"/>
        <w:widowControl w:val="1"/>
      </w:pPr>
      <w:r>
        <w:t>G: IGM = Delta_ALE / ALE_Base</w:t>
      </w:r>
    </w:p>
    <w:p>
      <w:pPr>
        <w:pStyle w:val="ListBullet"/>
        <w:keepLines w:val="1"/>
        <w:widowControl w:val="1"/>
      </w:pPr>
      <w:r>
        <w:t>H: ROI_Anual = (Delta_ALE – Coste_Total_Control) / Coste_Total_Control</w:t>
      </w:r>
    </w:p>
    <w:p>
      <w:pPr>
        <w:pStyle w:val="Heading2"/>
        <w:keepNext/>
        <w:keepLines/>
      </w:pPr>
      <w:r>
        <w:rPr>
          <w:color w:val="0066CC"/>
        </w:rPr>
        <w:t>7. Hoja “Vinculo_Indicadores_Nacionales”</w:t>
      </w:r>
    </w:p>
    <w:p>
      <w:r>
        <w:t>Agregaciones por sector y país:</w:t>
      </w:r>
    </w:p>
    <w:p>
      <w:pPr>
        <w:pStyle w:val="ListBullet"/>
        <w:keepLines w:val="1"/>
        <w:keepNext w:val="1"/>
        <w:widowControl w:val="1"/>
      </w:pPr>
      <w:r>
        <w:t>A: Sector</w:t>
      </w:r>
    </w:p>
    <w:p>
      <w:pPr>
        <w:pStyle w:val="ListBullet"/>
        <w:keepLines w:val="1"/>
        <w:keepNext w:val="1"/>
        <w:widowControl w:val="1"/>
      </w:pPr>
      <w:r>
        <w:t>B: ALE_Total_Base = suma ALE_Base</w:t>
      </w:r>
    </w:p>
    <w:p>
      <w:pPr>
        <w:pStyle w:val="ListBullet"/>
        <w:keepLines w:val="1"/>
        <w:keepNext w:val="1"/>
        <w:widowControl w:val="1"/>
      </w:pPr>
      <w:r>
        <w:t>C: ALE_Total_Post = suma ALE_Post</w:t>
      </w:r>
    </w:p>
    <w:p>
      <w:pPr>
        <w:pStyle w:val="ListBullet"/>
        <w:keepLines w:val="1"/>
        <w:keepNext w:val="1"/>
        <w:widowControl w:val="1"/>
      </w:pPr>
      <w:r>
        <w:t>D: PAE_Sector = ALE_Total_Base (o Post, según escenario)</w:t>
      </w:r>
    </w:p>
    <w:p>
      <w:pPr>
        <w:pStyle w:val="ListBullet"/>
        <w:keepLines w:val="1"/>
        <w:keepNext w:val="1"/>
        <w:widowControl w:val="1"/>
      </w:pPr>
      <w:r>
        <w:t>E: IECtrl_S = (ALE_Total_Base – ALE_Total_Post) / ALE_Total_Base</w:t>
      </w:r>
    </w:p>
    <w:p>
      <w:pPr>
        <w:pStyle w:val="ListBullet"/>
        <w:keepLines w:val="1"/>
        <w:widowControl w:val="1"/>
      </w:pPr>
      <w:r>
        <w:t>F: Contribucion_a_PAE_Nacional (como % del total)</w:t>
      </w:r>
    </w:p>
    <w:p>
      <w:r>
        <w:t>Esta estructura permite que, a partir de datos organizativos, se alimenten directamente indicadores FAIR nacionales.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