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FAIR + GQM + PRAGMATIC</w:t>
      </w:r>
    </w:p>
    <w:p>
      <w:pPr>
        <w:pStyle w:val="Heading2"/>
        <w:keepNext/>
        <w:keepLines/>
      </w:pPr>
      <w:r>
        <w:rPr>
          <w:color w:val="0066CC"/>
        </w:rPr>
        <w:t>Diapositiva 1 – Título y contexto</w:t>
      </w:r>
    </w:p>
    <w:p>
      <w:pPr>
        <w:pStyle w:val="ListBullet"/>
        <w:keepLines w:val="1"/>
        <w:keepNext w:val="1"/>
        <w:widowControl w:val="1"/>
      </w:pPr>
      <w:r>
        <w:t>Título: “Indicadores FAIR nacionales: de los objetivos a las métricas”.</w:t>
      </w:r>
    </w:p>
    <w:p>
      <w:pPr>
        <w:pStyle w:val="ListBullet"/>
        <w:keepLines w:val="1"/>
        <w:widowControl w:val="1"/>
      </w:pPr>
      <w:r>
        <w:t>Subtítulo: Aplicación de GQM y evaluación PRAGMATIC.</w:t>
      </w:r>
    </w:p>
    <w:p>
      <w:pPr>
        <w:pStyle w:val="Heading2"/>
        <w:keepNext/>
        <w:keepLines/>
      </w:pPr>
      <w:r>
        <w:rPr>
          <w:color w:val="0066CC"/>
        </w:rPr>
        <w:t>Diapositiva 2 – Objetivos nacionales de resiliencia digital</w:t>
      </w:r>
    </w:p>
    <w:p>
      <w:pPr>
        <w:pStyle w:val="ListBullet"/>
        <w:keepLines w:val="1"/>
        <w:keepNext w:val="1"/>
        <w:widowControl w:val="1"/>
      </w:pPr>
      <w:r>
        <w:t>Lista breve de objetivos cuantitativos (por ejemplo, reducción de PAE‑N, mejora de IECtrl‑S).</w:t>
      </w:r>
    </w:p>
    <w:p>
      <w:pPr>
        <w:pStyle w:val="ListBullet"/>
        <w:keepLines w:val="1"/>
        <w:widowControl w:val="1"/>
      </w:pPr>
      <w:r>
        <w:t>Mapa visual de cómo se vinculan con sectores críticos.</w:t>
      </w:r>
    </w:p>
    <w:p>
      <w:pPr>
        <w:pStyle w:val="Heading2"/>
        <w:keepNext/>
        <w:keepLines/>
      </w:pPr>
      <w:r>
        <w:rPr>
          <w:color w:val="0066CC"/>
        </w:rPr>
        <w:t>Diapositiva 3 – Cadena GQM</w:t>
      </w:r>
    </w:p>
    <w:p>
      <w:pPr>
        <w:pStyle w:val="ListBullet"/>
        <w:keepLines w:val="1"/>
        <w:keepNext w:val="1"/>
        <w:widowControl w:val="1"/>
      </w:pPr>
      <w:r>
        <w:t>Esquema que muestre la relación Goal → Question → Metric.</w:t>
      </w:r>
    </w:p>
    <w:p>
      <w:pPr>
        <w:pStyle w:val="ListBullet"/>
        <w:keepLines w:val="1"/>
        <w:widowControl w:val="1"/>
      </w:pPr>
      <w:r>
        <w:t>Ejemplo ilustrativo: PAE‑S como respuesta a una pregunta concreta.</w:t>
      </w:r>
    </w:p>
    <w:p>
      <w:pPr>
        <w:pStyle w:val="Heading2"/>
        <w:keepNext/>
        <w:keepLines/>
      </w:pPr>
      <w:r>
        <w:rPr>
          <w:color w:val="0066CC"/>
        </w:rPr>
        <w:t>Diapositiva 4 – Conjunto de indicadores FAIR</w:t>
      </w:r>
    </w:p>
    <w:p>
      <w:pPr>
        <w:pStyle w:val="ListBullet"/>
        <w:keepLines w:val="1"/>
        <w:keepNext w:val="1"/>
        <w:widowControl w:val="1"/>
      </w:pPr>
      <w:r>
        <w:t>Tabla resumida con los indicadores clave (IFEP‑S, PAE‑S, etc.).</w:t>
      </w:r>
    </w:p>
    <w:p>
      <w:pPr>
        <w:pStyle w:val="ListBullet"/>
        <w:keepLines w:val="1"/>
        <w:widowControl w:val="1"/>
      </w:pPr>
      <w:r>
        <w:t>Breve definición de cada uno.</w:t>
      </w:r>
    </w:p>
    <w:p>
      <w:pPr>
        <w:pStyle w:val="Heading2"/>
        <w:keepNext/>
        <w:keepLines/>
      </w:pPr>
      <w:r>
        <w:rPr>
          <w:color w:val="0066CC"/>
        </w:rPr>
        <w:t>Diapositiva 5 – Evaluación PRAGMATIC (visión global)</w:t>
      </w:r>
    </w:p>
    <w:p>
      <w:pPr>
        <w:pStyle w:val="ListBullet"/>
        <w:keepLines w:val="1"/>
        <w:keepNext w:val="1"/>
        <w:widowControl w:val="1"/>
      </w:pPr>
      <w:r>
        <w:t>Gráfico radar o de barras mostrando puntuaciones PRAGMATIC promedio.</w:t>
      </w:r>
    </w:p>
    <w:p>
      <w:pPr>
        <w:pStyle w:val="ListBullet"/>
        <w:keepLines w:val="1"/>
        <w:widowControl w:val="1"/>
      </w:pPr>
      <w:r>
        <w:t>Comentario sobre puntos fuertes y débiles del set de métricas.</w:t>
      </w:r>
    </w:p>
    <w:p>
      <w:pPr>
        <w:pStyle w:val="Heading2"/>
        <w:keepNext/>
        <w:keepLines/>
      </w:pPr>
      <w:r>
        <w:rPr>
          <w:color w:val="0066CC"/>
        </w:rPr>
        <w:t>Diapositiva 6 – Casos destacados</w:t>
      </w:r>
    </w:p>
    <w:p>
      <w:pPr>
        <w:pStyle w:val="ListBullet"/>
        <w:keepLines w:val="1"/>
        <w:keepNext w:val="1"/>
        <w:widowControl w:val="1"/>
      </w:pPr>
      <w:r>
        <w:t>Zoom en 2–3 indicadores estrella (por ejemplo, PAE‑S, IFEP‑S, IECtrl‑S).</w:t>
      </w:r>
    </w:p>
    <w:p>
      <w:pPr>
        <w:pStyle w:val="ListBullet"/>
        <w:keepLines w:val="1"/>
        <w:widowControl w:val="1"/>
      </w:pPr>
      <w:r>
        <w:t>Razones por las que resultan especialmente útiles para política pública.</w:t>
      </w:r>
    </w:p>
    <w:p>
      <w:pPr>
        <w:pStyle w:val="Heading2"/>
        <w:keepNext/>
        <w:keepLines/>
      </w:pPr>
      <w:r>
        <w:rPr>
          <w:color w:val="0066CC"/>
        </w:rPr>
        <w:t>Diapositiva 7 – Implicaciones para sectores críticos</w:t>
      </w:r>
    </w:p>
    <w:p>
      <w:pPr>
        <w:pStyle w:val="ListBullet"/>
        <w:keepLines w:val="1"/>
        <w:keepNext w:val="1"/>
        <w:widowControl w:val="1"/>
      </w:pPr>
      <w:r>
        <w:t>Gráfico por sectores mostrando PAE‑S, IFEP‑S e IECtrl‑S.</w:t>
      </w:r>
    </w:p>
    <w:p>
      <w:pPr>
        <w:pStyle w:val="ListBullet"/>
        <w:keepLines w:val="1"/>
        <w:widowControl w:val="1"/>
      </w:pPr>
      <w:r>
        <w:t>Identificación de sectores sobrerrepresentados en la pérdida esperada.</w:t>
      </w:r>
    </w:p>
    <w:p>
      <w:pPr>
        <w:pStyle w:val="Heading2"/>
        <w:keepNext/>
        <w:keepLines/>
      </w:pPr>
      <w:r>
        <w:rPr>
          <w:color w:val="0066CC"/>
        </w:rPr>
        <w:t>Diapositiva 8 – De la métrica a la decisión</w:t>
      </w:r>
    </w:p>
    <w:p>
      <w:pPr>
        <w:pStyle w:val="ListBullet"/>
        <w:keepLines w:val="1"/>
        <w:keepNext w:val="1"/>
        <w:widowControl w:val="1"/>
      </w:pPr>
      <w:r>
        <w:t>Ejemplos de decisiones: reasignación de recursos, incentivos regulatorios, programas de apoyo.</w:t>
      </w:r>
    </w:p>
    <w:p>
      <w:pPr>
        <w:pStyle w:val="ListBullet"/>
        <w:keepLines w:val="1"/>
        <w:widowControl w:val="1"/>
      </w:pPr>
      <w:r>
        <w:t>Cómo GQM asegura trazabilidad de la decisión hacia los objetivos.</w:t>
      </w:r>
    </w:p>
    <w:p>
      <w:pPr>
        <w:pStyle w:val="Heading2"/>
        <w:keepNext/>
        <w:keepLines/>
      </w:pPr>
      <w:r>
        <w:rPr>
          <w:color w:val="0066CC"/>
        </w:rPr>
        <w:t>Diapositiva 9 – Agenda de mejora del sistema de indicadores</w:t>
      </w:r>
    </w:p>
    <w:p>
      <w:pPr>
        <w:pStyle w:val="ListBullet"/>
        <w:keepLines w:val="1"/>
        <w:keepNext w:val="1"/>
        <w:widowControl w:val="1"/>
      </w:pPr>
      <w:r>
        <w:t>Acciones para mejorar precisión, oportunidad y cobertura de métricas.</w:t>
      </w:r>
    </w:p>
    <w:p>
      <w:pPr>
        <w:pStyle w:val="ListBullet"/>
        <w:keepLines w:val="1"/>
        <w:widowControl w:val="1"/>
      </w:pPr>
      <w:r>
        <w:t>Plan para ampliar automatización e IA (IAut‑N) y participación (IPart‑N).</w:t>
      </w:r>
    </w:p>
    <w:p>
      <w:pPr>
        <w:pStyle w:val="Heading2"/>
        <w:keepNext/>
        <w:keepLines/>
      </w:pPr>
      <w:r>
        <w:rPr>
          <w:color w:val="0066CC"/>
        </w:rPr>
        <w:t>Diapositiva 10 – Conclusión</w:t>
      </w:r>
    </w:p>
    <w:p>
      <w:pPr>
        <w:pStyle w:val="ListBullet"/>
        <w:keepLines w:val="1"/>
        <w:keepNext w:val="1"/>
        <w:widowControl w:val="1"/>
      </w:pPr>
      <w:r>
        <w:t>Mensaje sobre la necesidad de mantener un ciclo iterativo: revisar objetivos, preguntas, métricas y su evaluación PRAGMATIC.</w:t>
      </w:r>
    </w:p>
    <w:p>
      <w:pPr>
        <w:pStyle w:val="ListBullet"/>
        <w:keepLines w:val="1"/>
        <w:widowControl w:val="1"/>
      </w:pPr>
      <w:r>
        <w:t>Próximos hitos de revisión nacional.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