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FAIR nacionales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incluye varios componentes en formato Markdown diseñados para construir y gobernar un sistema de indicadores FAIR a nivel nacional o sectorial:</w:t>
      </w:r>
    </w:p>
    <w:p>
      <w:pPr>
        <w:pStyle w:val="ListBullet"/>
        <w:keepLines w:val="1"/>
        <w:keepNext w:val="1"/>
        <w:widowControl w:val="1"/>
      </w:pPr>
      <w:r>
        <w:t>Marco integrativo GQM + PRAGMATIC.</w:t>
      </w:r>
    </w:p>
    <w:p>
      <w:pPr>
        <w:pStyle w:val="ListBullet"/>
        <w:keepLines w:val="1"/>
        <w:keepNext w:val="1"/>
        <w:widowControl w:val="1"/>
      </w:pPr>
      <w:r>
        <w:t>Matriz de Evaluación PRAGMATIC de los indicadores.</w:t>
      </w:r>
    </w:p>
    <w:p>
      <w:pPr>
        <w:pStyle w:val="ListBullet"/>
        <w:keepLines w:val="1"/>
        <w:keepNext w:val="1"/>
        <w:widowControl w:val="1"/>
      </w:pPr>
      <w:r>
        <w:t>Narrativa explicativa para decisores.</w:t>
      </w:r>
    </w:p>
    <w:p>
      <w:pPr>
        <w:pStyle w:val="ListBullet"/>
        <w:keepLines w:val="1"/>
        <w:keepNext w:val="1"/>
        <w:widowControl w:val="1"/>
      </w:pPr>
      <w:r>
        <w:t>Mapeo de indicadores/preguntas a requisitos normativos.</w:t>
      </w:r>
    </w:p>
    <w:p>
      <w:pPr>
        <w:pStyle w:val="ListBullet"/>
        <w:keepLines w:val="1"/>
        <w:keepNext w:val="1"/>
        <w:widowControl w:val="1"/>
      </w:pPr>
      <w:r>
        <w:t>Plantilla de Excel para cálculo de IGM/ROI alineada con GQM.</w:t>
      </w:r>
    </w:p>
    <w:p>
      <w:pPr>
        <w:pStyle w:val="ListBullet"/>
        <w:keepLines w:val="1"/>
        <w:widowControl w:val="1"/>
      </w:pPr>
      <w:r>
        <w:t>Plantilla de reporte ejecutivo para foros de alto nivel.</w:t>
      </w:r>
    </w:p>
    <w:p>
      <w:pPr>
        <w:pStyle w:val="Heading2"/>
        <w:keepNext/>
        <w:keepLines/>
      </w:pPr>
      <w:r>
        <w:rPr>
          <w:color w:val="0066CC"/>
        </w:rPr>
        <w:t>2. Público objetivo</w:t>
      </w:r>
    </w:p>
    <w:p>
      <w:pPr>
        <w:pStyle w:val="ListBullet"/>
        <w:keepLines w:val="1"/>
        <w:keepNext w:val="1"/>
        <w:widowControl w:val="1"/>
      </w:pPr>
      <w:r>
        <w:t>Responsables de estrategias nacionales de ciberseguridad.</w:t>
      </w:r>
    </w:p>
    <w:p>
      <w:pPr>
        <w:pStyle w:val="ListBullet"/>
        <w:keepLines w:val="1"/>
        <w:keepNext w:val="1"/>
        <w:widowControl w:val="1"/>
      </w:pPr>
      <w:r>
        <w:t>Reguladores y supervisores sectoriales.</w:t>
      </w:r>
    </w:p>
    <w:p>
      <w:pPr>
        <w:pStyle w:val="ListBullet"/>
        <w:keepLines w:val="1"/>
        <w:keepNext w:val="1"/>
        <w:widowControl w:val="1"/>
      </w:pPr>
      <w:r>
        <w:t>Equipos de inteligencia de ciber‑riesgo y analistas macroprudenciales.</w:t>
      </w:r>
    </w:p>
    <w:p>
      <w:pPr>
        <w:pStyle w:val="ListBullet"/>
        <w:keepLines w:val="1"/>
        <w:widowControl w:val="1"/>
      </w:pPr>
      <w:r>
        <w:t>Consorcios sectoriales y asociaciones empresariales.</w:t>
      </w:r>
    </w:p>
    <w:p>
      <w:pPr>
        <w:pStyle w:val="Heading2"/>
        <w:keepNext/>
        <w:keepLines/>
      </w:pPr>
      <w:r>
        <w:rPr>
          <w:color w:val="0066CC"/>
        </w:rPr>
        <w:t>3. Uso recomendado</w:t>
      </w:r>
    </w:p>
    <w:p>
      <w:pPr>
        <w:pStyle w:val="ListNumber"/>
        <w:keepLines w:val="1"/>
        <w:keepNext w:val="1"/>
        <w:widowControl w:val="1"/>
      </w:pPr>
      <w:r>
        <w:t>Ajustar el marco GQM a los objetivos concretos del país o sector.</w:t>
      </w:r>
    </w:p>
    <w:p>
      <w:pPr>
        <w:pStyle w:val="ListNumber"/>
        <w:keepLines w:val="1"/>
        <w:keepNext w:val="1"/>
        <w:widowControl w:val="1"/>
      </w:pPr>
      <w:r>
        <w:t>Seleccionar el subconjunto de indicadores FAIR que se considere viable construir en una primera fase.</w:t>
      </w:r>
    </w:p>
    <w:p>
      <w:pPr>
        <w:pStyle w:val="ListNumber"/>
        <w:keepLines w:val="1"/>
        <w:keepNext w:val="1"/>
        <w:widowControl w:val="1"/>
      </w:pPr>
      <w:r>
        <w:t>Completar la matriz PRAGMATIC con puntuaciones acordadas por un grupo multidisciplinar.</w:t>
      </w:r>
    </w:p>
    <w:p>
      <w:pPr>
        <w:pStyle w:val="ListNumber"/>
        <w:keepLines w:val="1"/>
        <w:keepNext w:val="1"/>
        <w:widowControl w:val="1"/>
      </w:pPr>
      <w:r>
        <w:t>Diseñar la recogida de datos (encuestas, CSIRTs, aseguradoras, etc.) alineada con las definiciones de métricas.</w:t>
      </w:r>
    </w:p>
    <w:p>
      <w:pPr>
        <w:pStyle w:val="ListNumber"/>
        <w:keepLines w:val="1"/>
        <w:keepNext w:val="1"/>
        <w:widowControl w:val="1"/>
      </w:pPr>
      <w:r>
        <w:t>Implementar la plantilla de Excel, adaptada a los datos disponibles.</w:t>
      </w:r>
    </w:p>
    <w:p>
      <w:pPr>
        <w:pStyle w:val="ListNumber"/>
        <w:keepLines w:val="1"/>
        <w:widowControl w:val="1"/>
      </w:pPr>
      <w:r>
        <w:t>Usar la plantilla de reporte ejecutivo para presentar resultados y decisiones.</w:t>
      </w:r>
    </w:p>
    <w:p>
      <w:pPr>
        <w:pStyle w:val="Heading2"/>
        <w:keepNext/>
        <w:keepLines/>
      </w:pPr>
      <w:r>
        <w:rPr>
          <w:color w:val="0066CC"/>
        </w:rPr>
        <w:t>4. Extensiones posibles</w:t>
      </w:r>
    </w:p>
    <w:p>
      <w:pPr>
        <w:pStyle w:val="ListBullet"/>
        <w:keepLines w:val="1"/>
        <w:keepNext w:val="1"/>
        <w:widowControl w:val="1"/>
      </w:pPr>
      <w:r>
        <w:t>Incorporar métricas adicionales específicas de OT, IA o desinformación.</w:t>
      </w:r>
    </w:p>
    <w:p>
      <w:pPr>
        <w:pStyle w:val="ListBullet"/>
        <w:keepLines w:val="1"/>
        <w:keepNext w:val="1"/>
        <w:widowControl w:val="1"/>
      </w:pPr>
      <w:r>
        <w:t>Ampliar el mapeo normativo con referencias legales nacionales detalladas.</w:t>
      </w:r>
    </w:p>
    <w:p>
      <w:pPr>
        <w:pStyle w:val="ListBullet"/>
        <w:keepLines w:val="1"/>
        <w:widowControl w:val="1"/>
      </w:pPr>
      <w:r>
        <w:t>Integrar el kit en una plataforma de datos oficial o en un observatorio nacional.</w:t>
      </w:r>
    </w:p>
    <w:p>
      <w:pPr>
        <w:pStyle w:val="Heading2"/>
        <w:keepNext/>
        <w:keepLines/>
      </w:pPr>
      <w:r>
        <w:rPr>
          <w:color w:val="0066CC"/>
        </w:rPr>
        <w:t>5. Advertencia conceptual</w:t>
      </w:r>
    </w:p>
    <w:p>
      <w:r>
        <w:t>Este kit no pretende resolver todos los debates metodológicos sobre cuantificación de ciber‑riesgo, pero sí ofrece una forma estructurada de evitar dos extremos igualmente peligrosos: la parálisis por análisis y el entusiasmo por métricas poco útiles. El uso disciplinado de GQM y PRAGMATIC es la mejor defensa contra ambos.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