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EN POWERPOINT</w:t>
      </w:r>
    </w:p>
    <w:p>
      <w:pPr>
        <w:pStyle w:val="Heading2"/>
        <w:keepNext/>
        <w:keepLines/>
      </w:pPr>
      <w:r>
        <w:rPr>
          <w:color w:val="0066CC"/>
        </w:rPr>
        <w:t>Estructura de Presentación para Stakeholders</w:t>
      </w:r>
    </w:p>
    <w:p>
      <w:r>
        <w:rPr>
          <w:b/>
        </w:rPr>
        <w:t>Versión:</w:t>
      </w:r>
      <w:r>
        <w:t xml:space="preserve"> 2.1</w:t>
      </w:r>
      <w:r/>
      <w:r>
        <w:br/>
      </w:r>
      <w:r>
        <w:rPr>
          <w:b/>
        </w:rPr>
        <w:t>Duración presentación:</w:t>
      </w:r>
      <w:r>
        <w:t xml:space="preserve"> 15-20 minutos</w:t>
      </w:r>
      <w:r/>
      <w:r>
        <w:br/>
      </w:r>
      <w:r>
        <w:rPr>
          <w:b/>
        </w:rPr>
        <w:t>Público:</w:t>
      </w:r>
      <w:r>
        <w:t xml:space="preserve"> C-Suite, Consejo Directivo, Auditores, Reguladores  </w:t>
      </w:r>
    </w:p>
    <w:p>
      <w:pPr>
        <w:pStyle w:val="Heading2"/>
        <w:keepNext/>
        <w:keepLines/>
      </w:pPr>
      <w:r>
        <w:rPr>
          <w:color w:val="0066CC"/>
        </w:rPr>
        <w:t>ESTRUCTURA RECOMENDADA (10-12 slides)</w:t>
      </w:r>
    </w:p>
    <w:p>
      <w:pPr>
        <w:pStyle w:val="Heading3"/>
        <w:keepNext/>
        <w:keepLines/>
      </w:pPr>
      <w:r>
        <w:t>SLIDE 1: PORTADA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"EVALUACIÓN DE MADUREZ CIBERSEGURIDAD 2025"</w:t>
        <w:br/>
        <w:t>Subtítulo: "[Nombre Organización]"</w:t>
        <w:br/>
        <w:t>Logos: [Entidad + Partners]</w:t>
        <w:br/>
        <w:t>Fecha: [Enero 2026]</w:t>
        <w:br/>
        <w:t>Confidencial: [Restringido a stakeholders aprobados]</w:t>
        <w:br/>
      </w:r>
    </w:p>
    <w:p>
      <w:pPr>
        <w:pStyle w:val="Heading3"/>
        <w:keepNext/>
        <w:keepLines/>
      </w:pPr>
      <w:r>
        <w:t>SLIDE 2: AGENDA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Contexto y Objetivos (1 min)</w:t>
        <w:br/>
        <w:t>2. Hallazgos Principales (3 min)</w:t>
        <w:br/>
        <w:t>3. Madurez General (IMG) (2 min)</w:t>
        <w:br/>
        <w:t>4. Análisis ROI (2 min)</w:t>
        <w:br/>
        <w:t>5. Brechas Críticas (2 min)</w:t>
        <w:br/>
        <w:t>6. Recomendaciones Prioritarias (3 min)</w:t>
        <w:br/>
        <w:t>7. Hoja de Ruta (2 min)</w:t>
        <w:br/>
      </w:r>
    </w:p>
    <w:p>
      <w:pPr>
        <w:pStyle w:val="Heading3"/>
        <w:keepNext/>
        <w:keepLines/>
      </w:pPr>
      <w:r>
        <w:t>SLIDE 3: CONTEXTO Y OBJETIVOS</w:t>
      </w:r>
    </w:p>
    <w:p>
      <w:r>
        <w:rPr>
          <w:b/>
        </w:rPr>
        <w:t>Titular:</w:t>
      </w:r>
      <w:r>
        <w:t xml:space="preserve"> "¿Por Qué Evaluamos Madurez de Ciberseguridad?"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✓ Cumplimiento normativo creciente</w:t>
        <w:br/>
        <w:t xml:space="preserve">  - NIS2 obligatorio Q1 2026 (operadores esenciales)</w:t>
        <w:br/>
        <w:t xml:space="preserve">  - DORA (sector financiero) enero 2025</w:t>
        <w:br/>
        <w:t xml:space="preserve">  - ENS (AAPP) nivel [Básico/Medio/Alto]</w:t>
        <w:br/>
        <w:br/>
        <w:t>✓ Cuantificación de riesgos operacionales</w:t>
        <w:br/>
        <w:t xml:space="preserve">  - Incidentes espera: [X] / año sin controles</w:t>
        <w:br/>
        <w:t xml:space="preserve">  - Coste promedio incidente: €[Y]K</w:t>
        <w:br/>
        <w:br/>
        <w:t>✓ Justificación de inversiones</w:t>
        <w:br/>
        <w:t xml:space="preserve">  - Presupuesto anual: €[Z]K</w:t>
        <w:br/>
        <w:t xml:space="preserve">  - ¿Alineado con sector? (Benchmarking)</w:t>
        <w:br/>
        <w:t xml:space="preserve">  - ¿ROI defensible? (Cuantificado)</w:t>
        <w:br/>
      </w:r>
    </w:p>
    <w:p>
      <w:pPr>
        <w:pStyle w:val="Heading3"/>
        <w:keepNext/>
        <w:keepLines/>
      </w:pPr>
      <w:r>
        <w:t>SLIDE 4: ÍNDICE DE MADUREZ GENERAL (IMG)</w:t>
      </w:r>
    </w:p>
    <w:p>
      <w:r>
        <w:rPr>
          <w:b/>
        </w:rPr>
        <w:t>Gráfico principal: MEDIDOR de 0-100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IMG Actual: [XX]/100 (Tier [2]/5)</w:t>
        <w:br/>
        <w:br/>
        <w:t>Escala:</w:t>
        <w:br/>
        <w:t>0-20    | 21-40   | 41-60     | 61-80         | 81-100</w:t>
        <w:br/>
        <w:t>Initial | Managed | Defined   | Quantitative  | Optimizing</w:t>
        <w:br/>
        <w:t>RED     | ORANGE  | YELLOW    | LIGHT GREEN   | GREEN</w:t>
        <w:br/>
      </w:r>
    </w:p>
    <w:p>
      <w:r>
        <w:rPr>
          <w:b/>
        </w:rPr>
        <w:t>Debajo del medidor: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Interpretación: "[Organización está en fase de consolidación de procesos. </w:t>
        <w:br/>
        <w:t>Necesita institucionalización de controles antes de optimización.]"</w:t>
        <w:br/>
        <w:br/>
        <w:t>Comparativa sector: Nuestra IMG [XX] vs mediana sector [YY]</w:t>
        <w:br/>
        <w:t xml:space="preserve">  → Si XX &lt; YY-10: "Significativamente por debajo"</w:t>
        <w:br/>
        <w:t xml:space="preserve">  → Si XX ≈ YY±10: "Alineado con sector"</w:t>
        <w:br/>
        <w:t xml:space="preserve">  → Si XX &gt; YY+10: "Adelante vs peers"</w:t>
        <w:br/>
      </w:r>
    </w:p>
    <w:p>
      <w:pPr>
        <w:pStyle w:val="Heading3"/>
        <w:keepNext/>
        <w:keepLines/>
      </w:pPr>
      <w:r>
        <w:t>SLIDE 5: MADUREZ POR FUNCIÓN NIST CSF 2.0</w:t>
      </w:r>
    </w:p>
    <w:p>
      <w:r>
        <w:rPr>
          <w:b/>
        </w:rPr>
        <w:t>Gráfico: RADAR de 6 ejes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Visualizar fortalezas/debilidades:</w:t>
        <w:br/>
        <w:br/>
        <w:t xml:space="preserve">        Govern</w:t>
        <w:br/>
        <w:t xml:space="preserve">          /\</w:t>
        <w:br/>
        <w:t xml:space="preserve">    Identify  Recover</w:t>
        <w:br/>
        <w:t xml:space="preserve">       /        \</w:t>
        <w:br/>
        <w:t xml:space="preserve">  Protect      Respond</w:t>
        <w:br/>
        <w:t xml:space="preserve">       \         /</w:t>
        <w:br/>
        <w:t xml:space="preserve">       Detect──</w:t>
        <w:br/>
        <w:br/>
        <w:t>Escala cada eje: Tier 1-4 (o % cobertura)</w:t>
        <w:br/>
        <w:br/>
        <w:t>Patrón esperado: Hexágono más grande = mejor.</w:t>
        <w:br/>
        <w:t>Si hay puntas desequilibradas = áreas críticas de mejora.</w:t>
        <w:br/>
      </w:r>
    </w:p>
    <w:p>
      <w:r>
        <w:rPr>
          <w:b/>
        </w:rPr>
        <w:t>Debajo: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Función    | Tier | Cobertura | Brecha vs Tier 3</w:t>
        <w:br/>
        <w:t>-----------|------|-----------|------------------</w:t>
        <w:br/>
        <w:t>Govern     | 2.5  | 62%       | -18 pp</w:t>
        <w:br/>
        <w:t>Identify   | 2.3  | 58%       | -22 pp</w:t>
        <w:br/>
        <w:t>Protect    | 2.8  | 65%       | -15 pp</w:t>
        <w:br/>
        <w:t>Detect     | 1.9  | 48%       | -32 pp ⚠️</w:t>
        <w:br/>
        <w:t>Respond    | 1.7  | 42%       | -38 pp ⚠️⚠️</w:t>
        <w:br/>
        <w:t>Recover    | 1.5  | 35%       | -45 pp ⚠️⚠️⚠️</w:t>
        <w:br/>
        <w:br/>
        <w:t>Recomendación: Priorizar RESPOND y RECOVER (mayores brechas)</w:t>
        <w:br/>
      </w:r>
    </w:p>
    <w:p>
      <w:pPr>
        <w:pStyle w:val="Heading3"/>
        <w:keepNext/>
        <w:keepLines/>
      </w:pPr>
      <w:r>
        <w:t>SLIDE 6: ANÁLISIS FINANCIERO - COSTES (CAsPeA)</w:t>
      </w:r>
    </w:p>
    <w:p>
      <w:r>
        <w:rPr>
          <w:b/>
        </w:rPr>
        <w:t>Gráfico 1: Distribución de costes por componente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Gráfico de DONA o BARRAS APILADAS:</w:t>
        <w:br/>
        <w:br/>
        <w:t>Presupuesto Total Anual: €[TOTAL]K</w:t>
        <w:br/>
        <w:br/>
        <w:t>├─ Personal Dedicado: [%] = €[X]K</w:t>
        <w:br/>
        <w:t>│  ├─ CISO/Director: €[a]K</w:t>
        <w:br/>
        <w:t>│  ├─ Especialistas SIEM: €[b]K</w:t>
        <w:br/>
        <w:t>│  ├─ Arquitectos: €[c]K</w:t>
        <w:br/>
        <w:t>│  └─ Otros roles: €[d]K</w:t>
        <w:br/>
        <w:t>│</w:t>
        <w:br/>
        <w:t>├─ Servicios Externalizados (MSS/SOC): [%] = €[Y]K</w:t>
        <w:br/>
        <w:t>├─ Herramientas/Licencias: [%] = €[Z]K</w:t>
        <w:br/>
        <w:t>├─ Consultoría: [%] = €[W]K</w:t>
        <w:br/>
        <w:t>└─ Otros: [%] = €[V]K</w:t>
        <w:br/>
      </w:r>
    </w:p>
    <w:p>
      <w:r>
        <w:rPr>
          <w:b/>
        </w:rPr>
        <w:t>Debajo: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Coste por Empleado Protegido: €[COSTE/EMP] / año</w:t>
        <w:br/>
        <w:t>Comparativa Sector: Mediana €[MED/EMP]</w:t>
        <w:br/>
        <w:t xml:space="preserve">  → Posición: Percentil [P] del sector</w:t>
        <w:br/>
      </w:r>
    </w:p>
    <w:p>
      <w:pPr>
        <w:pStyle w:val="Heading3"/>
        <w:keepNext/>
        <w:keepLines/>
      </w:pPr>
      <w:r>
        <w:t>SLIDE 7: ANÁLISIS FINANCIERO - ROI</w:t>
      </w:r>
    </w:p>
    <w:p>
      <w:r>
        <w:rPr>
          <w:b/>
        </w:rPr>
        <w:t>Gráfico: Comparativa Escenarios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               SIN CONTROLES    CON CONTROLES    BENEFICIO</w:t>
        <w:br/>
        <w:t>Incidentes/año:            [A]              [B]            Evitados</w:t>
        <w:br/>
        <w:t>Coste promedio:            €[C]K            €[C]K          (no cambia)</w:t>
        <w:br/>
        <w:t>Pérdida anual:            €[A×C]K          €[B×C]K        €[(A-B)×C]K</w:t>
        <w:br/>
        <w:br/>
        <w:t xml:space="preserve">Inversión seguridad:        €0              €[INV]K        </w:t>
        <w:br/>
        <w:t xml:space="preserve">Coste neto:               €[A×C]K        €[(B×C)+INV]K    </w:t>
        <w:br/>
        <w:br/>
        <w:t>ROI = [(A-B)×C - INV] / INV × 100% = [ROI]%</w:t>
        <w:br/>
        <w:t>Payback Period = INV / [(A-B)×C] = [MESES] meses</w:t>
        <w:br/>
      </w:r>
    </w:p>
    <w:p>
      <w:r>
        <w:rPr>
          <w:b/>
        </w:rPr>
        <w:t>Colores: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ROI &lt; 0%    → ROJO (inversión no justificada)</w:t>
        <w:br/>
        <w:t>ROI 0-30%   → NARANJA (positivo pero bajo)</w:t>
        <w:br/>
        <w:t>ROI 30-100% → AMARILLO (saludable)</w:t>
        <w:br/>
        <w:t>ROI &gt; 100%  → VERDE (excelente)</w:t>
        <w:br/>
      </w:r>
    </w:p>
    <w:p>
      <w:pPr>
        <w:pStyle w:val="Heading3"/>
        <w:keepNext/>
        <w:keepLines/>
      </w:pPr>
      <w:r>
        <w:t>SLIDE 8: INCIDENTES Y TENDENCIAS</w:t>
      </w:r>
    </w:p>
    <w:p>
      <w:r>
        <w:rPr>
          <w:b/>
        </w:rPr>
        <w:t>Gráfico 1: Historial Incidentes (últimos 3-5 años, si datos)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Gráfico de LÍNEA: Cantidad incidentes/año</w:t>
        <w:br/>
        <w:t>Y: Número incidentes</w:t>
        <w:br/>
        <w:t>X: Años (2021, 2022, 2023, 2024, 2025-Proyección)</w:t>
        <w:br/>
        <w:br/>
        <w:t>Mostrar:</w:t>
        <w:br/>
        <w:t>- Línea histórica</w:t>
        <w:br/>
        <w:t>- Tendencia (si ↑ o ↓)</w:t>
        <w:br/>
        <w:t>- Proyección 2025 (si se mantiene tendencia o mejora con controles)</w:t>
        <w:br/>
      </w:r>
    </w:p>
    <w:p>
      <w:r>
        <w:rPr>
          <w:b/>
        </w:rPr>
        <w:t>Gráfico 2: Costes de Incidentes (distribución por tipo)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Gráfico de BARRAS APILADAS:</w:t>
        <w:br/>
        <w:t>Malware: €[a]K</w:t>
        <w:br/>
        <w:t>Phishing: €[b]K</w:t>
        <w:br/>
        <w:t>Ransomware: €[c]K</w:t>
        <w:br/>
        <w:t>Breach: €[d]K</w:t>
        <w:br/>
        <w:t>Otros: €[e]K</w:t>
        <w:br/>
        <w:t>TOTAL: €[a+b+c+d+e]K</w:t>
        <w:br/>
      </w:r>
    </w:p>
    <w:p>
      <w:pPr>
        <w:pStyle w:val="Heading3"/>
        <w:keepNext/>
        <w:keepLines/>
      </w:pPr>
      <w:r>
        <w:t>SLIDE 9: BRECHAS CRÍTICAS Y ÁREAS DE RIESGO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FUNCIÓN CRÍTICA #1: DETECT (MTTD = Mean Time To Detect)</w:t>
        <w:br/>
        <w:t>━━━━━━━━━━━━━━━━━━━━━━━━━━━━━━━━━━━━━━━━━━━━━━━━━━</w:t>
        <w:br/>
        <w:t>Estado actual:  MTTD = 120 minutos</w:t>
        <w:br/>
        <w:t>Benchmark sector: MTTD = 87 minutos (Mediana)</w:t>
        <w:br/>
        <w:t>Brecha: +33 minutos (+38%)</w:t>
        <w:br/>
        <w:t>Riesgo: Tiempo comprometido para contención</w:t>
        <w:br/>
        <w:t>Recomendación: Automatización SIEM, alerting inteligente</w:t>
        <w:br/>
        <w:br/>
        <w:t>FUNCIÓN CRÍTICA #2: RESPOND (MTTR = Mean Time To Respond)</w:t>
        <w:br/>
        <w:t>━━━━━━━━━━━━━━━━━━━━━━━━━━━━━━━━━━━━━━━━━━━━━━━━━━</w:t>
        <w:br/>
        <w:t>Estado actual:  MTTR = 360 minutos (6 horas)</w:t>
        <w:br/>
        <w:t>Objetivo: &lt;240 minutos (4 horas) para críticos</w:t>
        <w:br/>
        <w:t>Brecha: +120 minutos</w:t>
        <w:br/>
        <w:t>Riesgo: Extensión de dwell time (tiempo del atacante en red)</w:t>
        <w:br/>
        <w:t>Recomendación: Playbooks automatizados, SOAR, escalación ágil</w:t>
        <w:br/>
        <w:br/>
        <w:t>VULNERABILIDAD OPERACIONAL: Tasa Remediación</w:t>
        <w:br/>
        <w:t>━━━━━━━━━━━━━━━━━━━━━━━━━━━━━━━━━━━━━━━━━━━━━━━</w:t>
        <w:br/>
        <w:t>Estado: Críticas remediadas en 60 días (SLA: 30 días)</w:t>
        <w:br/>
        <w:t>Riesgo: Exposición prolongada a exploits conocidos</w:t>
        <w:br/>
        <w:t>Recomendación: Procesos de cambio ágiles, patch automation</w:t>
        <w:br/>
      </w:r>
    </w:p>
    <w:p>
      <w:pPr>
        <w:pStyle w:val="Heading3"/>
        <w:keepNext/>
        <w:keepLines/>
      </w:pPr>
      <w:r>
        <w:t>SLIDE 10: ROADMAP Y RECOMENDACIONES PRIORITARIAS</w:t>
      </w:r>
    </w:p>
    <w:p>
      <w:r>
        <w:rPr>
          <w:b/>
        </w:rPr>
        <w:t>Gráfico: Gantt simplificado (horizontal)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TRIMESTRE 1 (Q1 2026 - NIS2 obligatorio)</w:t>
        <w:br/>
        <w:t>├─ ✓ CUMPLIMIENTO REGULATORIO</w:t>
        <w:br/>
        <w:t>│  └─ Evaluación gaps NIS2 vs estado actual</w:t>
        <w:br/>
        <w:t>│  └─ Remediación crítica: €[X]K</w:t>
        <w:br/>
        <w:t>│</w:t>
        <w:br/>
        <w:t>TRIMESTRE 2 (Q2 2026)</w:t>
        <w:br/>
        <w:t>├─ AUTOMATIZACIÓN SIEM</w:t>
        <w:br/>
        <w:t>│  └─ Upgrade herramientas: €[Y]K</w:t>
        <w:br/>
        <w:t>│  └─ Hiring analista extra: €[Z]K</w:t>
        <w:br/>
        <w:t>│  └─ Meta MTTD: 87 min (vs 120 actual)</w:t>
        <w:br/>
        <w:t>│</w:t>
        <w:br/>
        <w:t>TRIMESTRE 3-4 (Q3-Q4 2026)</w:t>
        <w:br/>
        <w:t>├─ RESPUESTA A INCIDENTES</w:t>
        <w:br/>
        <w:t>│  └─ Implementación SOAR: €[W]K</w:t>
        <w:br/>
        <w:t>│  └─ Playbooks documentadas y testadas</w:t>
        <w:br/>
        <w:t>│  └─ Meta MTTR: &lt;240 min</w:t>
        <w:br/>
        <w:t>│</w:t>
        <w:br/>
        <w:t>2027 (VISIÓN MEDIA PLAZO)</w:t>
        <w:br/>
        <w:t>├─ MADUREZ TIER 3 ALCANZADA</w:t>
        <w:br/>
        <w:t>│  └─ IMG proyectado: 65+ (vs 47 actual)</w:t>
        <w:br/>
        <w:t>│  └─ Beneficio acumulativo ROI: ~180%</w:t>
        <w:br/>
      </w:r>
    </w:p>
    <w:p>
      <w:pPr>
        <w:pStyle w:val="Heading3"/>
        <w:keepNext/>
        <w:keepLines/>
      </w:pPr>
      <w:r>
        <w:t>SLIDE 11: PRESUPUESTO Y PLAN DE ACCIÓN</w:t>
      </w:r>
    </w:p>
    <w:p>
      <w:r>
        <w:rPr>
          <w:b/>
        </w:rPr>
        <w:t>Tabla: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INICIATIVA              | INVERSIÓN | PLAZO    | BENEFICIO ESPERADO</w:t>
        <w:br/>
        <w:t>════════════════════════╪═══════════╪══════════╪═════════════════════════════════</w:t>
        <w:br/>
        <w:t>Mejora SIEM/Automatización │ €150K  | Q2-Q3 26 | MTTD: 120→70 min (42% mejora)</w:t>
        <w:br/>
        <w:t>Respuesta Incidentes (SOAR)│ €120K  | Q3-Q4 26 | MTTR: 360→200 min (44% mejora)</w:t>
        <w:br/>
        <w:t>Capacitación seg. especializada│ €45K│ Continuo | Reducción error humano 30%</w:t>
        <w:br/>
        <w:t>Cumplimiento NIS2          │ €80K    | Q1 26    | Auditoría externa pasada</w:t>
        <w:br/>
        <w:t>Consultoría externa        │ €55K    | Trimestral│ Validación independiente</w:t>
        <w:br/>
        <w:t>────────────────────────┼─────────┼──────────┼─────────────────────────────────</w:t>
        <w:br/>
        <w:t>TOTAL AÑO 2026         | €450K    |          | ROI Estimado: 120-150%</w:t>
        <w:br/>
      </w:r>
    </w:p>
    <w:p>
      <w:pPr>
        <w:pStyle w:val="Heading3"/>
        <w:keepNext/>
        <w:keepLines/>
      </w:pPr>
      <w:r>
        <w:t>SLIDE 12: SIGUIENTE PASOS Y PREGUNTAS</w:t>
      </w:r>
    </w:p>
    <w:p>
      <w:r>
        <w:rPr>
          <w:b/>
        </w:rPr>
        <w:t>Estructura: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PRÓXIMAS ACCIONES (ESTE MES):</w:t>
        <w:br/>
        <w:br/>
        <w:t>1. Aprobación presupuesto €450K (Junta Directiva)</w:t>
        <w:br/>
        <w:t xml:space="preserve">   → Fecha decisión: [DATE]</w:t>
        <w:br/>
        <w:br/>
        <w:t>2. Asignación de propietario (Executive Sponsor)</w:t>
        <w:br/>
        <w:t xml:space="preserve">   → Responsable: [NAME]</w:t>
        <w:br/>
        <w:br/>
        <w:t>3. Contratación de especialistas + herramientas</w:t>
        <w:br/>
        <w:t xml:space="preserve">   → Timeline: Enero-Febrero 2026</w:t>
        <w:br/>
        <w:br/>
        <w:t>4. Revisión trimestral de progreso</w:t>
        <w:br/>
        <w:t xml:space="preserve">   → Métricas clave: IMG, MTTD, MTTR, ROI real vs proyectado</w:t>
        <w:br/>
        <w:t xml:space="preserve">   → Reportes a: [STAKEHOLDER LIST]</w:t>
        <w:br/>
        <w:br/>
        <w:t>PREGUNTAS / DISCUSIÓN</w:t>
        <w:br/>
        <w:t>════════════════════</w:t>
        <w:br/>
        <w:t>[Espacio para Q&amp;A en vivo]</w:t>
        <w:br/>
      </w:r>
    </w:p>
    <w:p>
      <w:pPr>
        <w:pStyle w:val="Heading2"/>
        <w:keepNext/>
        <w:keepLines/>
      </w:pPr>
      <w:r>
        <w:rPr>
          <w:color w:val="0066CC"/>
        </w:rPr>
        <w:t>NOTAS PARA EL PRESENTADOR</w:t>
      </w:r>
    </w:p>
    <w:p>
      <w:pPr>
        <w:pStyle w:val="Heading3"/>
        <w:keepNext/>
        <w:keepLines/>
      </w:pPr>
      <w:r>
        <w:t>Timing</w:t>
      </w:r>
    </w:p>
    <w:p>
      <w:pPr>
        <w:pStyle w:val="ListBullet"/>
        <w:keepLines w:val="1"/>
        <w:keepNext w:val="1"/>
        <w:widowControl w:val="1"/>
      </w:pPr>
      <w:r>
        <w:t>Slide 1-2: 1 min (intro + agenda)</w:t>
      </w:r>
    </w:p>
    <w:p>
      <w:pPr>
        <w:pStyle w:val="ListBullet"/>
        <w:keepLines w:val="1"/>
        <w:keepNext w:val="1"/>
        <w:widowControl w:val="1"/>
      </w:pPr>
      <w:r>
        <w:t>Slide 3-4: 3 min (contexto + IMG)</w:t>
      </w:r>
    </w:p>
    <w:p>
      <w:pPr>
        <w:pStyle w:val="ListBullet"/>
        <w:keepLines w:val="1"/>
        <w:keepNext w:val="1"/>
        <w:widowControl w:val="1"/>
      </w:pPr>
      <w:r>
        <w:t>Slide 5-7: 4 min (madurez + financiero)</w:t>
      </w:r>
    </w:p>
    <w:p>
      <w:pPr>
        <w:pStyle w:val="ListBullet"/>
        <w:keepLines w:val="1"/>
        <w:keepNext w:val="1"/>
        <w:widowControl w:val="1"/>
      </w:pPr>
      <w:r>
        <w:t>Slide 8-9: 3 min (incidentes + brechas)</w:t>
      </w:r>
    </w:p>
    <w:p>
      <w:pPr>
        <w:pStyle w:val="ListBullet"/>
        <w:keepLines w:val="1"/>
        <w:keepNext w:val="1"/>
        <w:widowControl w:val="1"/>
      </w:pPr>
      <w:r>
        <w:t>Slide 10-11: 4 min (roadmap)</w:t>
      </w:r>
    </w:p>
    <w:p>
      <w:pPr>
        <w:pStyle w:val="ListBullet"/>
        <w:keepLines w:val="1"/>
        <w:keepNext w:val="1"/>
        <w:widowControl w:val="1"/>
      </w:pPr>
      <w:r>
        <w:t>Slide 12: 2 min (Q&amp;A)</w:t>
      </w:r>
    </w:p>
    <w:p>
      <w:pPr>
        <w:pStyle w:val="ListBullet"/>
        <w:keepLines w:val="1"/>
        <w:widowControl w:val="1"/>
      </w:pPr>
      <w:r>
        <w:t>TOTAL: ~17 minutos</w:t>
      </w:r>
    </w:p>
    <w:p>
      <w:pPr>
        <w:pStyle w:val="Heading3"/>
        <w:keepNext/>
        <w:keepLines/>
      </w:pPr>
      <w:r>
        <w:t>Tono Recomendado</w:t>
      </w:r>
    </w:p>
    <w:p>
      <w:pPr>
        <w:pStyle w:val="ListBullet"/>
        <w:keepLines w:val="1"/>
        <w:keepNext w:val="1"/>
        <w:widowControl w:val="1"/>
      </w:pPr>
      <w:r>
        <w:t>Profesional, no catastrófico (evitar FUD)</w:t>
      </w:r>
    </w:p>
    <w:p>
      <w:pPr>
        <w:pStyle w:val="ListBullet"/>
        <w:keepLines w:val="1"/>
        <w:keepNext w:val="1"/>
        <w:widowControl w:val="1"/>
      </w:pPr>
      <w:r>
        <w:t>Orientado a soluciones (no solo problemas)</w:t>
      </w:r>
    </w:p>
    <w:p>
      <w:pPr>
        <w:pStyle w:val="ListBullet"/>
        <w:keepLines w:val="1"/>
        <w:keepNext w:val="1"/>
        <w:widowControl w:val="1"/>
      </w:pPr>
      <w:r>
        <w:t>Data-driven (números respaldan argumentos)</w:t>
      </w:r>
    </w:p>
    <w:p>
      <w:pPr>
        <w:pStyle w:val="ListBullet"/>
        <w:keepLines w:val="1"/>
        <w:widowControl w:val="1"/>
      </w:pPr>
      <w:r>
        <w:t>Realista (no promesas imposibles)</w:t>
      </w:r>
    </w:p>
    <w:p>
      <w:pPr>
        <w:pStyle w:val="Heading3"/>
        <w:keepNext/>
        <w:keepLines/>
      </w:pPr>
      <w:r>
        <w:t>Antídotos para Objeciones Comunes</w:t>
      </w:r>
    </w:p>
    <w:p>
      <w:r>
        <w:rPr>
          <w:b/>
        </w:rPr>
        <w:t>Objeción 1:</w:t>
      </w:r>
      <w:r>
        <w:t xml:space="preserve"> "¿Por qué gastamos €450K en seguridad?"</w:t>
      </w:r>
      <w:r/>
      <w:r>
        <w:br/>
      </w:r>
      <w:r>
        <w:rPr>
          <w:b/>
        </w:rPr>
        <w:t>Respuesta:</w:t>
      </w:r>
      <w:r>
        <w:t xml:space="preserve"> "ROI de 120-150% anual. Evitamos breaches que nos costarían €612K+ anuales."</w:t>
      </w:r>
    </w:p>
    <w:p>
      <w:r>
        <w:rPr>
          <w:b/>
        </w:rPr>
        <w:t>Objeción 2:</w:t>
      </w:r>
      <w:r>
        <w:t xml:space="preserve"> "Nuestro competidor no hace esto."</w:t>
      </w:r>
      <w:r/>
      <w:r>
        <w:br/>
      </w:r>
      <w:r>
        <w:rPr>
          <w:b/>
        </w:rPr>
        <w:t>Respuesta:</w:t>
      </w:r>
      <w:r>
        <w:t xml:space="preserve"> "Probablemente ya sufrió un incidente. Benchmark muestra que pares nuestros gastan €X, nosotros [X/2]. Estamos asumiendo riesgo regulatorio."</w:t>
      </w:r>
    </w:p>
    <w:p>
      <w:r>
        <w:rPr>
          <w:b/>
        </w:rPr>
        <w:t>Objeción 3:</w:t>
      </w:r>
      <w:r>
        <w:t xml:space="preserve"> "¿No podemos hacerlo internamente?"</w:t>
      </w:r>
      <w:r/>
      <w:r>
        <w:br/>
      </w:r>
      <w:r>
        <w:rPr>
          <w:b/>
        </w:rPr>
        <w:t>Respuesta:</w:t>
      </w:r>
      <w:r>
        <w:t xml:space="preserve"> "Brecha de talento: 30.000 posiciones vacantes España. Outsourcing MSS + especialistas internos es modelo híbrido óptimo."</w:t>
      </w:r>
    </w:p>
    <w:p>
      <w:r>
        <w:rPr>
          <w:i/>
        </w:rPr>
        <w:t>Plantilla PowerPoint CRA-Cyber v2.1 — Guía Presentación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