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324F"/>
          <w:sz w:val="32"/>
          <w:szCs w:val="32"/>
        </w:rPr>
        <w:t xml:space="preserve">ENQUEST PETROSOLUTIONS</w:t>
      </w:r>
    </w:p>
    <w:p>
      <w:pPr>
        <w:spacing w:before="200"/>
        <w:jc w:val="center"/>
      </w:pPr>
      <w:r>
        <w:rPr>
          <w:b/>
          <w:bCs/>
          <w:color w:val="12324F"/>
          <w:sz w:val="44"/>
          <w:szCs w:val="44"/>
        </w:rPr>
        <w:t xml:space="preserve">Operational &amp; Project Management System</w:t>
      </w:r>
    </w:p>
    <w:p>
      <w:pPr>
        <w:spacing w:after="600" w:before="150"/>
        <w:jc w:val="center"/>
      </w:pPr>
      <w:r>
        <w:rPr>
          <w:i/>
          <w:iCs/>
          <w:color w:val="1C6E7A"/>
          <w:sz w:val="28"/>
          <w:szCs w:val="28"/>
        </w:rPr>
        <w:t xml:space="preserve">Functional &amp; Technical Requirements Document</w:t>
      </w:r>
    </w:p>
    <w:p>
      <w:pPr>
        <w:spacing w:before="1200"/>
        <w:jc w:val="center"/>
      </w:pPr>
      <w:r>
        <w:rPr>
          <w:sz w:val="22"/>
          <w:szCs w:val="22"/>
        </w:rPr>
        <w:t xml:space="preserve">Prepared for: Application Development Team</w:t>
      </w:r>
    </w:p>
    <w:p>
      <w:pPr>
        <w:spacing w:before="100"/>
        <w:jc w:val="center"/>
      </w:pPr>
      <w:r>
        <w:rPr>
          <w:sz w:val="22"/>
          <w:szCs w:val="22"/>
        </w:rPr>
        <w:t xml:space="preserve">Document Version: 1.0</w:t>
      </w:r>
    </w:p>
    <w:p>
      <w:pPr>
        <w:spacing w:before="100"/>
        <w:jc w:val="center"/>
      </w:pPr>
      <w:r>
        <w:rPr>
          <w:sz w:val="22"/>
          <w:szCs w:val="22"/>
        </w:rPr>
        <w:t xml:space="preserve">Date: July 2026</w:t>
      </w:r>
    </w:p>
    <w:p>
      <w:r>
        <w:br w:type="page"/>
      </w:r>
    </w:p>
    <w:p>
      <w:pPr>
        <w:pStyle w:val="Heading1"/>
        <w:pBdr>
          <w:bottom w:val="single" w:color="12324F" w:sz="6" w:space="4"/>
        </w:pBdr>
        <w:spacing w:after="200" w:before="400"/>
      </w:pPr>
      <w:r>
        <w:rPr>
          <w:b/>
          <w:bCs/>
          <w:color w:val="12324F"/>
          <w:sz w:val="30"/>
          <w:szCs w:val="30"/>
        </w:rPr>
        <w:t xml:space="preserve">1. Document Control</w:t>
      </w:r>
    </w:p>
    <w:p>
      <w:pPr>
        <w:spacing w:after="150" w:line="300"/>
      </w:pPr>
      <w:r>
        <w:rPr>
          <w:b/>
          <w:bCs/>
          <w:sz w:val="21"/>
          <w:szCs w:val="21"/>
        </w:rPr>
        <w:t xml:space="preserve">1.1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226"/>
      </w:tblGrid>
      <w:tr>
        <w:trPr>
          <w:tblHeader/>
        </w:trPr>
        <w:tc>
          <w:tcPr>
            <w:tcW w:type="dxa" w:w="1000"/>
            <w:shd w:fill="12324F" w:color="auto"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1400"/>
            <w:shd w:fill="12324F" w:color="auto" w:val="clear"/>
            <w:tcMar>
              <w:top w:type="dxa" w:w="80"/>
              <w:left w:type="dxa" w:w="100"/>
              <w:bottom w:type="dxa" w:w="80"/>
              <w:right w:type="dxa" w:w="100"/>
            </w:tcMar>
            <w:vAlign w:val="center"/>
          </w:tcPr>
          <w:p>
            <w:pPr>
              <w:jc w:val="left"/>
            </w:pPr>
            <w:r>
              <w:rPr>
                <w:b/>
                <w:bCs/>
                <w:color w:val="FFFFFF"/>
                <w:sz w:val="19"/>
                <w:szCs w:val="19"/>
              </w:rPr>
              <w:t xml:space="preserve">Date</w:t>
            </w:r>
          </w:p>
        </w:tc>
        <w:tc>
          <w:tcPr>
            <w:tcW w:type="dxa" w:w="2400"/>
            <w:shd w:fill="12324F" w:color="auto" w:val="clear"/>
            <w:tcMar>
              <w:top w:type="dxa" w:w="80"/>
              <w:left w:type="dxa" w:w="100"/>
              <w:bottom w:type="dxa" w:w="80"/>
              <w:right w:type="dxa" w:w="100"/>
            </w:tcMar>
            <w:vAlign w:val="center"/>
          </w:tcPr>
          <w:p>
            <w:pPr>
              <w:jc w:val="left"/>
            </w:pPr>
            <w:r>
              <w:rPr>
                <w:b/>
                <w:bCs/>
                <w:color w:val="FFFFFF"/>
                <w:sz w:val="19"/>
                <w:szCs w:val="19"/>
              </w:rPr>
              <w:t xml:space="preserve">Author</w:t>
            </w:r>
          </w:p>
        </w:tc>
        <w:tc>
          <w:tcPr>
            <w:tcW w:type="dxa" w:w="4226"/>
            <w:shd w:fill="12324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1000"/>
            <w:tcMar>
              <w:top w:type="dxa" w:w="80"/>
              <w:left w:type="dxa" w:w="100"/>
              <w:bottom w:type="dxa" w:w="80"/>
              <w:right w:type="dxa" w:w="100"/>
            </w:tcMar>
            <w:vAlign w:val="center"/>
          </w:tcPr>
          <w:p>
            <w:pPr>
              <w:jc w:val="left"/>
            </w:pPr>
            <w:r>
              <w:rPr>
                <w:b w:val="false"/>
                <w:bCs w:val="false"/>
                <w:color w:val="000000"/>
                <w:sz w:val="19"/>
                <w:szCs w:val="19"/>
              </w:rPr>
              <w:t xml:space="preserve">1.0</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July 2026</w:t>
            </w:r>
          </w:p>
        </w:tc>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EnQuest PetroSolutions</w:t>
            </w:r>
          </w:p>
        </w:tc>
        <w:tc>
          <w:tcPr>
            <w:tcW w:type="dxa" w:w="4226"/>
            <w:tcMar>
              <w:top w:type="dxa" w:w="80"/>
              <w:left w:type="dxa" w:w="100"/>
              <w:bottom w:type="dxa" w:w="80"/>
              <w:right w:type="dxa" w:w="100"/>
            </w:tcMar>
            <w:vAlign w:val="center"/>
          </w:tcPr>
          <w:p>
            <w:pPr>
              <w:jc w:val="left"/>
            </w:pPr>
            <w:r>
              <w:rPr>
                <w:b w:val="false"/>
                <w:bCs w:val="false"/>
                <w:color w:val="000000"/>
                <w:sz w:val="19"/>
                <w:szCs w:val="19"/>
              </w:rPr>
              <w:t xml:space="preserve">Initial issue for development team scoping and estimation</w:t>
            </w:r>
          </w:p>
        </w:tc>
      </w:tr>
    </w:tbl>
    <w:p>
      <w:pPr>
        <w:spacing w:after="150" w:before="200"/>
      </w:pPr>
    </w:p>
    <w:p>
      <w:pPr>
        <w:spacing w:after="150" w:line="300"/>
      </w:pPr>
      <w:r>
        <w:rPr>
          <w:b/>
          <w:bCs/>
          <w:sz w:val="21"/>
          <w:szCs w:val="21"/>
        </w:rPr>
        <w:t xml:space="preserve">1.2 Distribution</w:t>
      </w:r>
    </w:p>
    <w:p>
      <w:pPr>
        <w:pStyle w:val="ListParagraph"/>
        <w:numPr>
          <w:ilvl w:val="0"/>
          <w:numId w:val="2"/>
        </w:numPr>
        <w:spacing w:after="60" w:line="280"/>
      </w:pPr>
      <w:r>
        <w:rPr>
          <w:sz w:val="21"/>
          <w:szCs w:val="21"/>
        </w:rPr>
        <w:t xml:space="preserve">Application Development Team (Frontend, Backend, QA, DevOps)</w:t>
      </w:r>
    </w:p>
    <w:p>
      <w:pPr>
        <w:pStyle w:val="ListParagraph"/>
        <w:numPr>
          <w:ilvl w:val="0"/>
          <w:numId w:val="2"/>
        </w:numPr>
        <w:spacing w:after="60" w:line="280"/>
      </w:pPr>
      <w:r>
        <w:rPr>
          <w:sz w:val="21"/>
          <w:szCs w:val="21"/>
        </w:rPr>
        <w:t xml:space="preserve">Project Sponsor / Product Owner — EnQuest PetroSolutions</w:t>
      </w:r>
    </w:p>
    <w:p>
      <w:pPr>
        <w:pStyle w:val="ListParagraph"/>
        <w:numPr>
          <w:ilvl w:val="0"/>
          <w:numId w:val="2"/>
        </w:numPr>
        <w:spacing w:after="60" w:line="280"/>
      </w:pPr>
      <w:r>
        <w:rPr>
          <w:sz w:val="21"/>
          <w:szCs w:val="21"/>
        </w:rPr>
        <w:t xml:space="preserve">Chairman / Executive Sponsor (for sign-off on Chairman View requirements)</w:t>
      </w:r>
    </w:p>
    <w:p>
      <w:r>
        <w:br w:type="page"/>
      </w:r>
    </w:p>
    <w:p>
      <w:pPr>
        <w:pStyle w:val="Heading1"/>
        <w:pBdr>
          <w:bottom w:val="single" w:color="12324F" w:sz="6" w:space="4"/>
        </w:pBdr>
        <w:spacing w:after="200" w:before="400"/>
      </w:pPr>
      <w:r>
        <w:rPr>
          <w:b/>
          <w:bCs/>
          <w:color w:val="12324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2324F" w:sz="6" w:space="4"/>
        </w:pBdr>
        <w:spacing w:after="200" w:before="400"/>
      </w:pPr>
      <w:r>
        <w:rPr>
          <w:b/>
          <w:bCs/>
          <w:color w:val="12324F"/>
          <w:sz w:val="30"/>
          <w:szCs w:val="30"/>
        </w:rPr>
        <w:t xml:space="preserve">2. Purpose &amp; Scope</w:t>
      </w:r>
    </w:p>
    <w:p>
      <w:pPr>
        <w:spacing w:after="150" w:line="300"/>
      </w:pPr>
      <w:r>
        <w:rPr>
          <w:sz w:val="21"/>
          <w:szCs w:val="21"/>
        </w:rPr>
        <w:t xml:space="preserve">This document translates the business requirements for the EnQuest PetroSolutions Operational &amp; Project Management System into a detailed functional and technical specification that the application development team can use to design, build, test and estimate the platform. It supersedes the executive summary and requirement grouping previously shared, and expands each item into features, data fields, business rules, alerts and acceptance criteria.</w:t>
      </w:r>
    </w:p>
    <w:p>
      <w:pPr>
        <w:spacing w:after="150" w:line="300"/>
      </w:pPr>
      <w:r>
        <w:rPr>
          <w:b/>
          <w:bCs/>
          <w:sz w:val="21"/>
          <w:szCs w:val="21"/>
        </w:rPr>
        <w:t xml:space="preserve">2.1 In Scope</w:t>
      </w:r>
    </w:p>
    <w:p>
      <w:pPr>
        <w:pStyle w:val="ListParagraph"/>
        <w:numPr>
          <w:ilvl w:val="0"/>
          <w:numId w:val="2"/>
        </w:numPr>
        <w:spacing w:after="60" w:line="280"/>
      </w:pPr>
      <w:r>
        <w:rPr>
          <w:sz w:val="21"/>
          <w:szCs w:val="21"/>
        </w:rPr>
        <w:t xml:space="preserve">All "Innate" (Phase 1 / MVP) modules listed in Section 5</w:t>
      </w:r>
    </w:p>
    <w:p>
      <w:pPr>
        <w:pStyle w:val="ListParagraph"/>
        <w:numPr>
          <w:ilvl w:val="0"/>
          <w:numId w:val="2"/>
        </w:numPr>
        <w:spacing w:after="60" w:line="280"/>
      </w:pPr>
      <w:r>
        <w:rPr>
          <w:sz w:val="21"/>
          <w:szCs w:val="21"/>
        </w:rPr>
        <w:t xml:space="preserve">All "Add-on" (Phase 2) modules listed in Section 7</w:t>
      </w:r>
    </w:p>
    <w:p>
      <w:pPr>
        <w:pStyle w:val="ListParagraph"/>
        <w:numPr>
          <w:ilvl w:val="0"/>
          <w:numId w:val="2"/>
        </w:numPr>
        <w:spacing w:after="60" w:line="280"/>
      </w:pPr>
      <w:r>
        <w:rPr>
          <w:sz w:val="21"/>
          <w:szCs w:val="21"/>
        </w:rPr>
        <w:t xml:space="preserve">Web application (desktop/tablet responsive) and companion mobile experience for pop-up alerts</w:t>
      </w:r>
    </w:p>
    <w:p>
      <w:pPr>
        <w:pStyle w:val="ListParagraph"/>
        <w:numPr>
          <w:ilvl w:val="0"/>
          <w:numId w:val="2"/>
        </w:numPr>
        <w:spacing w:after="60" w:line="280"/>
      </w:pPr>
      <w:r>
        <w:rPr>
          <w:sz w:val="21"/>
          <w:szCs w:val="21"/>
        </w:rPr>
        <w:t xml:space="preserve">Role-based dashboards culminating in the Chairman View executive summary</w:t>
      </w:r>
    </w:p>
    <w:p>
      <w:pPr>
        <w:spacing w:after="150" w:line="300"/>
      </w:pPr>
      <w:r>
        <w:rPr>
          <w:b/>
          <w:bCs/>
          <w:sz w:val="21"/>
          <w:szCs w:val="21"/>
        </w:rPr>
        <w:t xml:space="preserve">2.2 Out of Scope (unless separately agreed)</w:t>
      </w:r>
    </w:p>
    <w:p>
      <w:pPr>
        <w:pStyle w:val="ListParagraph"/>
        <w:numPr>
          <w:ilvl w:val="0"/>
          <w:numId w:val="2"/>
        </w:numPr>
        <w:spacing w:after="60" w:line="280"/>
      </w:pPr>
      <w:r>
        <w:rPr>
          <w:sz w:val="21"/>
          <w:szCs w:val="21"/>
        </w:rPr>
        <w:t xml:space="preserve">Full general-ledger accounting / payroll processing — the system tracks and reports financial obligations but is not a replacement accounting system</w:t>
      </w:r>
    </w:p>
    <w:p>
      <w:pPr>
        <w:pStyle w:val="ListParagraph"/>
        <w:numPr>
          <w:ilvl w:val="0"/>
          <w:numId w:val="2"/>
        </w:numPr>
        <w:spacing w:after="60" w:line="280"/>
      </w:pPr>
      <w:r>
        <w:rPr>
          <w:sz w:val="21"/>
          <w:szCs w:val="21"/>
        </w:rPr>
        <w:t xml:space="preserve">Reservoir simulation or geoscience modelling software — the system stores and reports on results, not raw seismic/log interpretation</w:t>
      </w:r>
    </w:p>
    <w:p>
      <w:pPr>
        <w:pStyle w:val="ListParagraph"/>
        <w:numPr>
          <w:ilvl w:val="0"/>
          <w:numId w:val="2"/>
        </w:numPr>
        <w:spacing w:after="60" w:line="280"/>
      </w:pPr>
      <w:r>
        <w:rPr>
          <w:sz w:val="21"/>
          <w:szCs w:val="21"/>
        </w:rPr>
        <w:t xml:space="preserve">Legal document drafting/negotiation tooling beyond storage, versioning and correspondence tracking</w:t>
      </w:r>
    </w:p>
    <w:p>
      <w:pPr>
        <w:spacing w:after="150" w:line="300"/>
      </w:pPr>
      <w:r>
        <w:rPr>
          <w:b/>
          <w:bCs/>
          <w:sz w:val="21"/>
          <w:szCs w:val="21"/>
        </w:rPr>
        <w:t xml:space="preserve">2.3 Phasing Philosophy</w:t>
      </w:r>
    </w:p>
    <w:p>
      <w:pPr>
        <w:spacing w:after="150" w:line="300"/>
      </w:pPr>
      <w:r>
        <w:rPr>
          <w:sz w:val="21"/>
          <w:szCs w:val="21"/>
        </w:rPr>
        <w:t xml:space="preserve">Requirements are delivered in two functional tiers, consistent with the original brief: "Innate" features form the Phase 1 core platform that must exist for the system to be usable end-to-end; "Add-on" features are Phase 2 specialist modules that extend the platform for full oil &amp; gas governance coverage. See Section 10 for the detailed release plan.</w:t>
      </w:r>
    </w:p>
    <w:p>
      <w:pPr>
        <w:pStyle w:val="Heading1"/>
        <w:pBdr>
          <w:bottom w:val="single" w:color="12324F" w:sz="6" w:space="4"/>
        </w:pBdr>
        <w:spacing w:after="200" w:before="400"/>
      </w:pPr>
      <w:r>
        <w:rPr>
          <w:b/>
          <w:bCs/>
          <w:color w:val="12324F"/>
          <w:sz w:val="30"/>
          <w:szCs w:val="30"/>
        </w:rPr>
        <w:t xml:space="preserve">3. System Overview &amp; Architecture</w:t>
      </w:r>
    </w:p>
    <w:p>
      <w:pPr>
        <w:spacing w:after="150" w:line="300"/>
      </w:pPr>
      <w:r>
        <w:rPr>
          <w:sz w:val="21"/>
          <w:szCs w:val="21"/>
        </w:rPr>
        <w:t xml:space="preserve">The system is a single, role-based web platform (with a lightweight mobile companion for reminders) built on a conventional layered architecture: a presentation layer, a set of business modules, cross-cutting services shared by every module, and a persistent data/document layer. This keeps every module — from Activity Tracker to CSR Commitments — reporting into the same notification engine, audit log and dashboard layer, which is what makes cross-module drill-down and the Chairman View possible.</w:t>
      </w:r>
    </w:p>
    <w:p>
      <w:pPr>
        <w:spacing w:after="100" w:before="20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spacing w:after="300" w:before="100"/>
        <w:jc w:val="center"/>
      </w:pPr>
      <w:r>
        <w:rPr>
          <w:i/>
          <w:iCs/>
          <w:color w:val="5A6B73"/>
          <w:sz w:val="18"/>
          <w:szCs w:val="18"/>
        </w:rPr>
        <w:t xml:space="preserve">Figure 1 — Logical system architecture</w:t>
      </w:r>
    </w:p>
    <w:p>
      <w:pPr>
        <w:spacing w:after="150" w:line="300"/>
      </w:pPr>
      <w:r>
        <w:rPr>
          <w:b/>
          <w:bCs/>
          <w:sz w:val="21"/>
          <w:szCs w:val="21"/>
        </w:rPr>
        <w:t xml:space="preserve">3.1 Recommended Technology Stack (indicative — to be confirmed with development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shd w:fill="12324F" w:color="auto"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800"/>
            <w:shd w:fill="12324F" w:color="auto" w:val="clear"/>
            <w:tcMar>
              <w:top w:type="dxa" w:w="80"/>
              <w:left w:type="dxa" w:w="100"/>
              <w:bottom w:type="dxa" w:w="80"/>
              <w:right w:type="dxa" w:w="100"/>
            </w:tcMar>
            <w:vAlign w:val="center"/>
          </w:tcPr>
          <w:p>
            <w:pPr>
              <w:jc w:val="left"/>
            </w:pPr>
            <w:r>
              <w:rPr>
                <w:b/>
                <w:bCs/>
                <w:color w:val="FFFFFF"/>
                <w:sz w:val="19"/>
                <w:szCs w:val="19"/>
              </w:rPr>
              <w:t xml:space="preserve">Recommendation</w:t>
            </w:r>
          </w:p>
        </w:tc>
        <w:tc>
          <w:tcPr>
            <w:tcW w:type="dxa" w:w="3426"/>
            <w:shd w:fill="12324F" w:color="auto"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Frontend</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React or Angular (responsive web); React Native / Flutter for mobile</w:t>
            </w:r>
          </w:p>
        </w:tc>
        <w:tc>
          <w:tcPr>
            <w:tcW w:type="dxa" w:w="3426"/>
            <w:tcMar>
              <w:top w:type="dxa" w:w="80"/>
              <w:left w:type="dxa" w:w="100"/>
              <w:bottom w:type="dxa" w:w="80"/>
              <w:right w:type="dxa" w:w="100"/>
            </w:tcMar>
            <w:vAlign w:val="center"/>
          </w:tcPr>
          <w:p>
            <w:pPr>
              <w:jc w:val="left"/>
            </w:pPr>
            <w:r>
              <w:rPr>
                <w:b w:val="false"/>
                <w:bCs w:val="false"/>
                <w:color w:val="000000"/>
                <w:sz w:val="19"/>
                <w:szCs w:val="19"/>
              </w:rPr>
              <w:t xml:space="preserve">Component reuse across dashboards and forms</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Backend / API</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Node.js (NestJS) or .NET / Java Spring</w:t>
            </w:r>
          </w:p>
        </w:tc>
        <w:tc>
          <w:tcPr>
            <w:tcW w:type="dxa" w:w="3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RESTful API; modular service boundaries per module</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Database</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PostgreSQL or SQL Server</w:t>
            </w:r>
          </w:p>
        </w:tc>
        <w:tc>
          <w:tcPr>
            <w:tcW w:type="dxa" w:w="3426"/>
            <w:tcMar>
              <w:top w:type="dxa" w:w="80"/>
              <w:left w:type="dxa" w:w="100"/>
              <w:bottom w:type="dxa" w:w="80"/>
              <w:right w:type="dxa" w:w="100"/>
            </w:tcMar>
            <w:vAlign w:val="center"/>
          </w:tcPr>
          <w:p>
            <w:pPr>
              <w:jc w:val="left"/>
            </w:pPr>
            <w:r>
              <w:rPr>
                <w:b w:val="false"/>
                <w:bCs w:val="false"/>
                <w:color w:val="000000"/>
                <w:sz w:val="19"/>
                <w:szCs w:val="19"/>
              </w:rPr>
              <w:t xml:space="preserve">Relational integrity for cross-module linkages</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 File Store</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Cloud object storage (S3/Azure Blob) or on-prem equivalent</w:t>
            </w:r>
          </w:p>
        </w:tc>
        <w:tc>
          <w:tcPr>
            <w:tcW w:type="dxa" w:w="3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Data residency to be confirmed for Ghana operations</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Notification Engine</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SMTP/SendGrid for email; WebSocket/push for in-app pop-ups</w:t>
            </w:r>
          </w:p>
        </w:tc>
        <w:tc>
          <w:tcPr>
            <w:tcW w:type="dxa" w:w="3426"/>
            <w:tcMar>
              <w:top w:type="dxa" w:w="80"/>
              <w:left w:type="dxa" w:w="100"/>
              <w:bottom w:type="dxa" w:w="80"/>
              <w:right w:type="dxa" w:w="100"/>
            </w:tcMar>
            <w:vAlign w:val="center"/>
          </w:tcPr>
          <w:p>
            <w:pPr>
              <w:jc w:val="left"/>
            </w:pPr>
            <w:r>
              <w:rPr>
                <w:b w:val="false"/>
                <w:bCs w:val="false"/>
                <w:color w:val="000000"/>
                <w:sz w:val="19"/>
                <w:szCs w:val="19"/>
              </w:rPr>
              <w:t xml:space="preserve">Must support scheduled + threshold-triggered alerts</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Charting / BI</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Chart.js / D3 / embedded Power BI</w:t>
            </w:r>
          </w:p>
        </w:tc>
        <w:tc>
          <w:tcPr>
            <w:tcW w:type="dxa" w:w="3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Drill-down interactivity is a hard requirement</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Hosting</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Cloud (AWS/Azure) or private cloud</w:t>
            </w:r>
          </w:p>
        </w:tc>
        <w:tc>
          <w:tcPr>
            <w:tcW w:type="dxa" w:w="3426"/>
            <w:tcMar>
              <w:top w:type="dxa" w:w="80"/>
              <w:left w:type="dxa" w:w="100"/>
              <w:bottom w:type="dxa" w:w="80"/>
              <w:right w:type="dxa" w:w="100"/>
            </w:tcMar>
            <w:vAlign w:val="center"/>
          </w:tcPr>
          <w:p>
            <w:pPr>
              <w:jc w:val="left"/>
            </w:pPr>
            <w:r>
              <w:rPr>
                <w:b w:val="false"/>
                <w:bCs w:val="false"/>
                <w:color w:val="000000"/>
                <w:sz w:val="19"/>
                <w:szCs w:val="19"/>
              </w:rPr>
              <w:t xml:space="preserve">Decision driven by data-sovereignty and IT policy</w:t>
            </w:r>
          </w:p>
        </w:tc>
      </w:tr>
    </w:tbl>
    <w:p>
      <w:pPr>
        <w:spacing w:after="150" w:line="300"/>
      </w:pPr>
      <w:r>
        <w:rPr>
          <w:b/>
          <w:bCs/>
          <w:sz w:val="21"/>
          <w:szCs w:val="21"/>
        </w:rPr>
        <w:t xml:space="preserve">3.2 Key Architectural Principles</w:t>
      </w:r>
    </w:p>
    <w:p>
      <w:pPr>
        <w:pStyle w:val="ListParagraph"/>
        <w:numPr>
          <w:ilvl w:val="0"/>
          <w:numId w:val="2"/>
        </w:numPr>
        <w:spacing w:after="60" w:line="280"/>
      </w:pPr>
      <w:r>
        <w:rPr>
          <w:sz w:val="21"/>
          <w:szCs w:val="21"/>
        </w:rPr>
        <w:t xml:space="preserve">Single source of truth: every module writes to the same underlying database — no duplicate data entry across modules (e.g., a contract's expiry date is entered once and referenced by the Contract Register, Dashboards and Chairman View alike)</w:t>
      </w:r>
    </w:p>
    <w:p>
      <w:pPr>
        <w:pStyle w:val="ListParagraph"/>
        <w:numPr>
          <w:ilvl w:val="0"/>
          <w:numId w:val="2"/>
        </w:numPr>
        <w:spacing w:after="60" w:line="280"/>
      </w:pPr>
      <w:r>
        <w:rPr>
          <w:sz w:val="21"/>
          <w:szCs w:val="21"/>
        </w:rPr>
        <w:t xml:space="preserve">Everything is auditable: any create/update/delete anywhere in the system is captured centrally (Section 5.4)</w:t>
      </w:r>
    </w:p>
    <w:p>
      <w:pPr>
        <w:pStyle w:val="ListParagraph"/>
        <w:numPr>
          <w:ilvl w:val="0"/>
          <w:numId w:val="2"/>
        </w:numPr>
        <w:spacing w:after="60" w:line="280"/>
      </w:pPr>
      <w:r>
        <w:rPr>
          <w:sz w:val="21"/>
          <w:szCs w:val="21"/>
        </w:rPr>
        <w:t xml:space="preserve">Everything is notifiable: any entity with a due date or threshold can be attached to the Notification &amp; Alert Engine (Section 8) without custom code per module</w:t>
      </w:r>
    </w:p>
    <w:p>
      <w:pPr>
        <w:pStyle w:val="ListParagraph"/>
        <w:numPr>
          <w:ilvl w:val="0"/>
          <w:numId w:val="2"/>
        </w:numPr>
        <w:spacing w:after="60" w:line="280"/>
      </w:pPr>
      <w:r>
        <w:rPr>
          <w:sz w:val="21"/>
          <w:szCs w:val="21"/>
        </w:rPr>
        <w:t xml:space="preserve">Everything is drillable: dashboard KPIs are never dead-ends — every chart links back to the record list that produced it</w:t>
      </w:r>
    </w:p>
    <w:p>
      <w:pPr>
        <w:pStyle w:val="ListParagraph"/>
        <w:numPr>
          <w:ilvl w:val="0"/>
          <w:numId w:val="2"/>
        </w:numPr>
        <w:spacing w:after="60" w:line="280"/>
      </w:pPr>
      <w:r>
        <w:rPr>
          <w:sz w:val="21"/>
          <w:szCs w:val="21"/>
        </w:rPr>
        <w:t xml:space="preserve">RBAC is enforced at the API layer, not just the UI, so exports, reports and mobile access all respect the same permission model</w:t>
      </w:r>
    </w:p>
    <w:p>
      <w:pPr>
        <w:pStyle w:val="Heading1"/>
        <w:pBdr>
          <w:bottom w:val="single" w:color="12324F" w:sz="6" w:space="4"/>
        </w:pBdr>
        <w:spacing w:after="200" w:before="400"/>
      </w:pPr>
      <w:r>
        <w:rPr>
          <w:b/>
          <w:bCs/>
          <w:color w:val="12324F"/>
          <w:sz w:val="30"/>
          <w:szCs w:val="30"/>
        </w:rPr>
        <w:t xml:space="preserve">4. User Roles &amp; Permissions</w:t>
      </w:r>
    </w:p>
    <w:p>
      <w:pPr>
        <w:spacing w:after="150" w:line="300"/>
      </w:pPr>
      <w:r>
        <w:rPr>
          <w:sz w:val="21"/>
          <w:szCs w:val="21"/>
        </w:rPr>
        <w:t xml:space="preserve">The following roles form the baseline RBAC model. The development team should implement this as a configurable role/permission matrix (not hard-coded) so Admin can adjust access without a code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shd w:fill="12324F" w:color="auto"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3200"/>
            <w:shd w:fill="12324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3626"/>
            <w:shd w:fill="12324F" w:color="auto" w:val="clear"/>
            <w:tcMar>
              <w:top w:type="dxa" w:w="80"/>
              <w:left w:type="dxa" w:w="100"/>
              <w:bottom w:type="dxa" w:w="80"/>
              <w:right w:type="dxa" w:w="100"/>
            </w:tcMar>
            <w:vAlign w:val="center"/>
          </w:tcPr>
          <w:p>
            <w:pPr>
              <w:jc w:val="left"/>
            </w:pPr>
            <w:r>
              <w:rPr>
                <w:b/>
                <w:bCs/>
                <w:color w:val="FFFFFF"/>
                <w:sz w:val="19"/>
                <w:szCs w:val="19"/>
              </w:rPr>
              <w:t xml:space="preserve">Key Permissions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Chairman / Board</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Ultimate oversight of the venture</w:t>
            </w:r>
          </w:p>
        </w:tc>
        <w:tc>
          <w:tcPr>
            <w:tcW w:type="dxa" w:w="3626"/>
            <w:tcMar>
              <w:top w:type="dxa" w:w="80"/>
              <w:left w:type="dxa" w:w="100"/>
              <w:bottom w:type="dxa" w:w="80"/>
              <w:right w:type="dxa" w:w="100"/>
            </w:tcMar>
            <w:vAlign w:val="center"/>
          </w:tcPr>
          <w:p>
            <w:pPr>
              <w:jc w:val="left"/>
            </w:pPr>
            <w:r>
              <w:rPr>
                <w:b w:val="false"/>
                <w:bCs w:val="false"/>
                <w:color w:val="000000"/>
                <w:sz w:val="19"/>
                <w:szCs w:val="19"/>
              </w:rPr>
              <w:t xml:space="preserve">Chairman View, all read-only summaries, one-click export — no edit rights</w:t>
            </w:r>
          </w:p>
        </w:tc>
      </w:tr>
      <w:tr>
        <w:tc>
          <w:tcPr>
            <w:tcW w:type="dxa" w:w="2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CEO / Country Manager</w:t>
            </w:r>
          </w:p>
        </w:tc>
        <w:tc>
          <w:tcPr>
            <w:tcW w:type="dxa" w:w="3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Overall executive management</w:t>
            </w:r>
          </w:p>
        </w:tc>
        <w:tc>
          <w:tcPr>
            <w:tcW w:type="dxa" w:w="3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Full read access; approval authority on budgets, decisions, AFEs</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Project / Operations Manager</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Day-to-day project &amp; operations delivery</w:t>
            </w:r>
          </w:p>
        </w:tc>
        <w:tc>
          <w:tcPr>
            <w:tcW w:type="dxa" w:w="3626"/>
            <w:tcMar>
              <w:top w:type="dxa" w:w="80"/>
              <w:left w:type="dxa" w:w="100"/>
              <w:bottom w:type="dxa" w:w="80"/>
              <w:right w:type="dxa" w:w="100"/>
            </w:tcMar>
            <w:vAlign w:val="center"/>
          </w:tcPr>
          <w:p>
            <w:pPr>
              <w:jc w:val="left"/>
            </w:pPr>
            <w:r>
              <w:rPr>
                <w:b w:val="false"/>
                <w:bCs w:val="false"/>
                <w:color w:val="000000"/>
                <w:sz w:val="19"/>
                <w:szCs w:val="19"/>
              </w:rPr>
              <w:t xml:space="preserve">Full access to tasks, activities, work programme, operations updates</w:t>
            </w:r>
          </w:p>
        </w:tc>
      </w:tr>
      <w:tr>
        <w:tc>
          <w:tcPr>
            <w:tcW w:type="dxa" w:w="2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Legal / Compliance Officer</w:t>
            </w:r>
          </w:p>
        </w:tc>
        <w:tc>
          <w:tcPr>
            <w:tcW w:type="dxa" w:w="3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Regulatory, contractual and correspondence oversight</w:t>
            </w:r>
          </w:p>
        </w:tc>
        <w:tc>
          <w:tcPr>
            <w:tcW w:type="dxa" w:w="3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Full access to contracts, compliance tracker, correspondence log, NDA tracker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Finance / Accounts</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Budget, AFE and payment management</w:t>
            </w:r>
          </w:p>
        </w:tc>
        <w:tc>
          <w:tcPr>
            <w:tcW w:type="dxa" w:w="3626"/>
            <w:tcMar>
              <w:top w:type="dxa" w:w="80"/>
              <w:left w:type="dxa" w:w="100"/>
              <w:bottom w:type="dxa" w:w="80"/>
              <w:right w:type="dxa" w:w="100"/>
            </w:tcMar>
            <w:vAlign w:val="center"/>
          </w:tcPr>
          <w:p>
            <w:pPr>
              <w:jc w:val="left"/>
            </w:pPr>
            <w:r>
              <w:rPr>
                <w:b w:val="false"/>
                <w:bCs w:val="false"/>
                <w:color w:val="000000"/>
                <w:sz w:val="19"/>
                <w:szCs w:val="19"/>
              </w:rPr>
              <w:t xml:space="preserve">Full access to budget tracker, AFE tracking, vendor payment aging, forex workflow</w:t>
            </w:r>
          </w:p>
        </w:tc>
      </w:tr>
      <w:tr>
        <w:tc>
          <w:tcPr>
            <w:tcW w:type="dxa" w:w="2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HSE Officer</w:t>
            </w:r>
          </w:p>
        </w:tc>
        <w:tc>
          <w:tcPr>
            <w:tcW w:type="dxa" w:w="3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Health, safety and environment oversight</w:t>
            </w:r>
          </w:p>
        </w:tc>
        <w:tc>
          <w:tcPr>
            <w:tcW w:type="dxa" w:w="3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Full access to HSE register, environmental permit tracker</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Geologist / Drilling Engineer</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Technical operations reporting</w:t>
            </w:r>
          </w:p>
        </w:tc>
        <w:tc>
          <w:tcPr>
            <w:tcW w:type="dxa" w:w="3626"/>
            <w:tcMar>
              <w:top w:type="dxa" w:w="80"/>
              <w:left w:type="dxa" w:w="100"/>
              <w:bottom w:type="dxa" w:w="80"/>
              <w:right w:type="dxa" w:w="100"/>
            </w:tcMar>
            <w:vAlign w:val="center"/>
          </w:tcPr>
          <w:p>
            <w:pPr>
              <w:jc w:val="left"/>
            </w:pPr>
            <w:r>
              <w:rPr>
                <w:b w:val="false"/>
                <w:bCs w:val="false"/>
                <w:color w:val="000000"/>
                <w:sz w:val="19"/>
                <w:szCs w:val="19"/>
              </w:rPr>
              <w:t xml:space="preserve">Full access to daily drilling/geological reports, reserves tracker</w:t>
            </w:r>
          </w:p>
        </w:tc>
      </w:tr>
      <w:tr>
        <w:tc>
          <w:tcPr>
            <w:tcW w:type="dxa" w:w="2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Admin / IT</w:t>
            </w:r>
          </w:p>
        </w:tc>
        <w:tc>
          <w:tcPr>
            <w:tcW w:type="dxa" w:w="3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System administration</w:t>
            </w:r>
          </w:p>
        </w:tc>
        <w:tc>
          <w:tcPr>
            <w:tcW w:type="dxa" w:w="3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User management, RBAC configuration, system settings — restricted from editing operational data</w:t>
            </w:r>
          </w:p>
        </w:tc>
      </w:tr>
      <w:tr>
        <w:tc>
          <w:tcPr>
            <w:tcW w:type="dxa" w:w="2200"/>
            <w:tcMar>
              <w:top w:type="dxa" w:w="80"/>
              <w:left w:type="dxa" w:w="100"/>
              <w:bottom w:type="dxa" w:w="80"/>
              <w:right w:type="dxa" w:w="100"/>
            </w:tcMar>
            <w:vAlign w:val="center"/>
          </w:tcPr>
          <w:p>
            <w:pPr>
              <w:jc w:val="left"/>
            </w:pPr>
            <w:r>
              <w:rPr>
                <w:b w:val="false"/>
                <w:bCs w:val="false"/>
                <w:color w:val="000000"/>
                <w:sz w:val="19"/>
                <w:szCs w:val="19"/>
              </w:rPr>
              <w:t xml:space="preserve">Team Member / Staff</w:t>
            </w:r>
          </w:p>
        </w:tc>
        <w:tc>
          <w:tcPr>
            <w:tcW w:type="dxa" w:w="3200"/>
            <w:tcMar>
              <w:top w:type="dxa" w:w="80"/>
              <w:left w:type="dxa" w:w="100"/>
              <w:bottom w:type="dxa" w:w="80"/>
              <w:right w:type="dxa" w:w="100"/>
            </w:tcMar>
            <w:vAlign w:val="center"/>
          </w:tcPr>
          <w:p>
            <w:pPr>
              <w:jc w:val="left"/>
            </w:pPr>
            <w:r>
              <w:rPr>
                <w:b w:val="false"/>
                <w:bCs w:val="false"/>
                <w:color w:val="000000"/>
                <w:sz w:val="19"/>
                <w:szCs w:val="19"/>
              </w:rPr>
              <w:t xml:space="preserve">General contributor</w:t>
            </w:r>
          </w:p>
        </w:tc>
        <w:tc>
          <w:tcPr>
            <w:tcW w:type="dxa" w:w="3626"/>
            <w:tcMar>
              <w:top w:type="dxa" w:w="80"/>
              <w:left w:type="dxa" w:w="100"/>
              <w:bottom w:type="dxa" w:w="80"/>
              <w:right w:type="dxa" w:w="100"/>
            </w:tcMar>
            <w:vAlign w:val="center"/>
          </w:tcPr>
          <w:p>
            <w:pPr>
              <w:jc w:val="left"/>
            </w:pPr>
            <w:r>
              <w:rPr>
                <w:b w:val="false"/>
                <w:bCs w:val="false"/>
                <w:color w:val="000000"/>
                <w:sz w:val="19"/>
                <w:szCs w:val="19"/>
              </w:rPr>
              <w:t xml:space="preserve">Access limited to assigned tasks, activities and documents</w:t>
            </w:r>
          </w:p>
        </w:tc>
      </w:tr>
      <w:tr>
        <w:tc>
          <w:tcPr>
            <w:tcW w:type="dxa" w:w="2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External Partner (optional)</w:t>
            </w:r>
          </w:p>
        </w:tc>
        <w:tc>
          <w:tcPr>
            <w:tcW w:type="dxa" w:w="3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JV partner / auditor with limited visibility</w:t>
            </w:r>
          </w:p>
        </w:tc>
        <w:tc>
          <w:tcPr>
            <w:tcW w:type="dxa" w:w="3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Read-only access to specifically shared documents or reports</w:t>
            </w:r>
          </w:p>
        </w:tc>
      </w:tr>
    </w:tbl>
    <w:p>
      <w:r>
        <w:br w:type="page"/>
      </w:r>
    </w:p>
    <w:p>
      <w:pPr>
        <w:pStyle w:val="Heading1"/>
        <w:pBdr>
          <w:bottom w:val="single" w:color="12324F" w:sz="6" w:space="4"/>
        </w:pBdr>
        <w:spacing w:after="200" w:before="400"/>
      </w:pPr>
      <w:r>
        <w:rPr>
          <w:b/>
          <w:bCs/>
          <w:color w:val="12324F"/>
          <w:sz w:val="30"/>
          <w:szCs w:val="30"/>
        </w:rPr>
        <w:t xml:space="preserve">5. Functional Requirements — Core Platform (Innate / Phase 1)</w:t>
      </w:r>
    </w:p>
    <w:p>
      <w:pPr>
        <w:spacing w:after="150" w:line="300"/>
      </w:pPr>
      <w:r>
        <w:rPr>
          <w:sz w:val="21"/>
          <w:szCs w:val="21"/>
        </w:rPr>
        <w:t xml:space="preserve">Each module below is specified with its purpose, key features, core data fields, governing business rules, alert triggers and acceptance criteria the QA team can test against.</w:t>
      </w:r>
    </w:p>
    <w:p>
      <w:pPr>
        <w:pStyle w:val="Heading3"/>
        <w:spacing w:after="100" w:before="240"/>
      </w:pPr>
      <w:r>
        <w:rPr>
          <w:b/>
          <w:bCs/>
          <w:color w:val="12324F"/>
          <w:sz w:val="22"/>
          <w:szCs w:val="22"/>
        </w:rPr>
        <w:t xml:space="preserve">5.1  Organisation Structure &amp; Team Member Profiles</w:t>
      </w:r>
      <w:r>
        <w:rPr>
          <w:b/>
          <w:bCs/>
          <w:i/>
          <w:iCs/>
          <w:color w:val="B8862C"/>
          <w:sz w:val="18"/>
          <w:szCs w:val="18"/>
        </w:rPr>
        <w:t xml:space="preserve">   [Innate]</w:t>
      </w:r>
    </w:p>
    <w:p>
      <w:pPr>
        <w:spacing w:after="150" w:line="300"/>
      </w:pPr>
      <w:r>
        <w:rPr>
          <w:sz w:val="21"/>
          <w:szCs w:val="21"/>
        </w:rPr>
        <w:t xml:space="preserve">Central repository of the company's organisational structure, reporting lines and individual team member profiles, so every activity, task, document and decision can be traced to a real, accountable person.</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Interactive, auto-generated org chart (company / department / block / project level)</w:t>
      </w:r>
    </w:p>
    <w:p>
      <w:pPr>
        <w:pStyle w:val="ListParagraph"/>
        <w:numPr>
          <w:ilvl w:val="0"/>
          <w:numId w:val="2"/>
        </w:numPr>
        <w:spacing w:after="60" w:line="280"/>
      </w:pPr>
      <w:r>
        <w:rPr>
          <w:sz w:val="21"/>
          <w:szCs w:val="21"/>
        </w:rPr>
        <w:t xml:space="preserve">Individual profile pages: designation, department, contact details, reporting manager, photo, qualifications, start date</w:t>
      </w:r>
    </w:p>
    <w:p>
      <w:pPr>
        <w:pStyle w:val="ListParagraph"/>
        <w:numPr>
          <w:ilvl w:val="0"/>
          <w:numId w:val="2"/>
        </w:numPr>
        <w:spacing w:after="60" w:line="280"/>
      </w:pPr>
      <w:r>
        <w:rPr>
          <w:sz w:val="21"/>
          <w:szCs w:val="21"/>
        </w:rPr>
        <w:t xml:space="preserve">Role &amp; permission group assignment (RBAC) per user</w:t>
      </w:r>
    </w:p>
    <w:p>
      <w:pPr>
        <w:pStyle w:val="ListParagraph"/>
        <w:numPr>
          <w:ilvl w:val="0"/>
          <w:numId w:val="2"/>
        </w:numPr>
        <w:spacing w:after="60" w:line="280"/>
      </w:pPr>
      <w:r>
        <w:rPr>
          <w:sz w:val="21"/>
          <w:szCs w:val="21"/>
        </w:rPr>
        <w:t xml:space="preserve">Team allocation view — who is working on which block/project/task</w:t>
      </w:r>
    </w:p>
    <w:p>
      <w:pPr>
        <w:pStyle w:val="ListParagraph"/>
        <w:numPr>
          <w:ilvl w:val="0"/>
          <w:numId w:val="2"/>
        </w:numPr>
        <w:spacing w:after="60" w:line="280"/>
      </w:pPr>
      <w:r>
        <w:rPr>
          <w:sz w:val="21"/>
          <w:szCs w:val="21"/>
        </w:rPr>
        <w:t xml:space="preserve">Historical record of role changes (promotions, transfers, exits)</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Employee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Full Name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Designation</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Department</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Reporting Manager</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Email / Phone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Role / Permission Group</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Date Joined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 (Active/Inactive)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Assigned Projects / Blocks</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Only Admin/HR role can create, edit or deactivate a profile</w:t>
      </w:r>
    </w:p>
    <w:p>
      <w:pPr>
        <w:pStyle w:val="ListParagraph"/>
        <w:numPr>
          <w:ilvl w:val="0"/>
          <w:numId w:val="2"/>
        </w:numPr>
        <w:spacing w:after="60" w:line="280"/>
      </w:pPr>
      <w:r>
        <w:rPr>
          <w:sz w:val="21"/>
          <w:szCs w:val="21"/>
        </w:rPr>
        <w:t xml:space="preserve">Org chart re-renders automatically when a reporting line changes</w:t>
      </w:r>
    </w:p>
    <w:p>
      <w:pPr>
        <w:pStyle w:val="ListParagraph"/>
        <w:numPr>
          <w:ilvl w:val="0"/>
          <w:numId w:val="2"/>
        </w:numPr>
        <w:spacing w:after="60" w:line="280"/>
      </w:pPr>
      <w:r>
        <w:rPr>
          <w:sz w:val="21"/>
          <w:szCs w:val="21"/>
        </w:rPr>
        <w:t xml:space="preserve">Every user must belong to at least one permission role before activation</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Notify the reporting manager when a new team member is onboarded</w:t>
      </w:r>
    </w:p>
    <w:p>
      <w:pPr>
        <w:pStyle w:val="ListParagraph"/>
        <w:numPr>
          <w:ilvl w:val="0"/>
          <w:numId w:val="2"/>
        </w:numPr>
        <w:spacing w:after="60" w:line="280"/>
      </w:pPr>
      <w:r>
        <w:rPr>
          <w:sz w:val="21"/>
          <w:szCs w:val="21"/>
        </w:rPr>
        <w:t xml:space="preserve">Notify Admin when a profile is flagged for exit / offboarding checklist</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Org chart renders correctly for an organisation of up to 500 employees</w:t>
      </w:r>
    </w:p>
    <w:p>
      <w:pPr>
        <w:pStyle w:val="ListParagraph"/>
        <w:numPr>
          <w:ilvl w:val="0"/>
          <w:numId w:val="2"/>
        </w:numPr>
        <w:spacing w:after="60" w:line="280"/>
      </w:pPr>
      <w:r>
        <w:rPr>
          <w:sz w:val="21"/>
          <w:szCs w:val="21"/>
        </w:rPr>
        <w:t xml:space="preserve">All profile changes are captured in the audit log (Section 5.4)</w:t>
      </w:r>
    </w:p>
    <w:p>
      <w:pPr>
        <w:pStyle w:val="ListParagraph"/>
        <w:numPr>
          <w:ilvl w:val="0"/>
          <w:numId w:val="2"/>
        </w:numPr>
        <w:spacing w:after="60" w:line="280"/>
      </w:pPr>
      <w:r>
        <w:rPr>
          <w:sz w:val="21"/>
          <w:szCs w:val="21"/>
        </w:rPr>
        <w:t xml:space="preserve">Access to profile data is restricted per RBAC matrix (Section 6)</w:t>
      </w:r>
    </w:p>
    <w:p>
      <w:pPr>
        <w:pStyle w:val="Heading3"/>
        <w:spacing w:after="100" w:before="240"/>
      </w:pPr>
      <w:r>
        <w:rPr>
          <w:b/>
          <w:bCs/>
          <w:color w:val="12324F"/>
          <w:sz w:val="22"/>
          <w:szCs w:val="22"/>
        </w:rPr>
        <w:t xml:space="preserve">5.2  Activity Tracker with Recurring Pop-up Reminders</w:t>
      </w:r>
      <w:r>
        <w:rPr>
          <w:b/>
          <w:bCs/>
          <w:i/>
          <w:iCs/>
          <w:color w:val="B8862C"/>
          <w:sz w:val="18"/>
          <w:szCs w:val="18"/>
        </w:rPr>
        <w:t xml:space="preserve">   [Innate]</w:t>
      </w:r>
    </w:p>
    <w:p>
      <w:pPr>
        <w:spacing w:after="150" w:line="300"/>
      </w:pPr>
      <w:r>
        <w:rPr>
          <w:sz w:val="21"/>
          <w:szCs w:val="21"/>
        </w:rPr>
        <w:t xml:space="preserve">The core reminder engine of the system. Tracks every actionable item counting down to a critical event (e.g. spud date, licence deadline) and surfaces a recurring pop-up until the item is completed or formally acknowledged, so nothing is missed on the path to drilling or any other milestone.</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Create an activity with due date, linked milestone (e.g. "Drilling Commencement"), owner and priority</w:t>
      </w:r>
    </w:p>
    <w:p>
      <w:pPr>
        <w:pStyle w:val="ListParagraph"/>
        <w:numPr>
          <w:ilvl w:val="0"/>
          <w:numId w:val="2"/>
        </w:numPr>
        <w:spacing w:after="60" w:line="280"/>
      </w:pPr>
      <w:r>
        <w:rPr>
          <w:sz w:val="21"/>
          <w:szCs w:val="21"/>
        </w:rPr>
        <w:t xml:space="preserve">Recurring pop-up / modal shown on login and at configurable intervals until status = Done or explicitly snoozed</w:t>
      </w:r>
    </w:p>
    <w:p>
      <w:pPr>
        <w:pStyle w:val="ListParagraph"/>
        <w:numPr>
          <w:ilvl w:val="0"/>
          <w:numId w:val="2"/>
        </w:numPr>
        <w:spacing w:after="60" w:line="280"/>
      </w:pPr>
      <w:r>
        <w:rPr>
          <w:sz w:val="21"/>
          <w:szCs w:val="21"/>
        </w:rPr>
        <w:t xml:space="preserve">Mandatory comment required to snooze or dismiss a Critical item</w:t>
      </w:r>
    </w:p>
    <w:p>
      <w:pPr>
        <w:pStyle w:val="ListParagraph"/>
        <w:numPr>
          <w:ilvl w:val="0"/>
          <w:numId w:val="2"/>
        </w:numPr>
        <w:spacing w:after="60" w:line="280"/>
      </w:pPr>
      <w:r>
        <w:rPr>
          <w:sz w:val="21"/>
          <w:szCs w:val="21"/>
        </w:rPr>
        <w:t xml:space="preserve">Automatic escalation to the item owner's supervisor if overdue beyond a configurable grace period</w:t>
      </w:r>
    </w:p>
    <w:p>
      <w:pPr>
        <w:pStyle w:val="ListParagraph"/>
        <w:numPr>
          <w:ilvl w:val="0"/>
          <w:numId w:val="2"/>
        </w:numPr>
        <w:spacing w:after="60" w:line="280"/>
      </w:pPr>
      <w:r>
        <w:rPr>
          <w:sz w:val="21"/>
          <w:szCs w:val="21"/>
        </w:rPr>
        <w:t xml:space="preserve">Calendar, list and Kanban views of all activities</w:t>
      </w:r>
    </w:p>
    <w:p>
      <w:pPr>
        <w:pStyle w:val="ListParagraph"/>
        <w:numPr>
          <w:ilvl w:val="0"/>
          <w:numId w:val="2"/>
        </w:numPr>
        <w:spacing w:after="60" w:line="280"/>
      </w:pPr>
      <w:r>
        <w:rPr>
          <w:sz w:val="21"/>
          <w:szCs w:val="21"/>
        </w:rPr>
        <w:t xml:space="preserve">Linkage of an activity to a task, document, contract or compliance item</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Activity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Title / Description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Milestone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Owner</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Assigned To</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Due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Priority (Critical/High/Medium/Low)</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 (Not Started/In Progress/Done/Overdue)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Recurrence Rule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Last Acknowledged By / Date</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Pop-up re-appears every login session until status = Done or the user snoozes with a logged reason</w:t>
      </w:r>
    </w:p>
    <w:p>
      <w:pPr>
        <w:pStyle w:val="ListParagraph"/>
        <w:numPr>
          <w:ilvl w:val="0"/>
          <w:numId w:val="2"/>
        </w:numPr>
        <w:spacing w:after="60" w:line="280"/>
      </w:pPr>
      <w:r>
        <w:rPr>
          <w:sz w:val="21"/>
          <w:szCs w:val="21"/>
        </w:rPr>
        <w:t xml:space="preserve">Critical-priority items cannot be dismissed without a comment</w:t>
      </w:r>
    </w:p>
    <w:p>
      <w:pPr>
        <w:pStyle w:val="ListParagraph"/>
        <w:numPr>
          <w:ilvl w:val="0"/>
          <w:numId w:val="2"/>
        </w:numPr>
        <w:spacing w:after="60" w:line="280"/>
      </w:pPr>
      <w:r>
        <w:rPr>
          <w:sz w:val="21"/>
          <w:szCs w:val="21"/>
        </w:rPr>
        <w:t xml:space="preserve">Overdue items auto-escalate to the line manager after the configured grace period</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In-app pop-up on login and at configurable intervals before the due date</w:t>
      </w:r>
    </w:p>
    <w:p>
      <w:pPr>
        <w:pStyle w:val="ListParagraph"/>
        <w:numPr>
          <w:ilvl w:val="0"/>
          <w:numId w:val="2"/>
        </w:numPr>
        <w:spacing w:after="60" w:line="280"/>
      </w:pPr>
      <w:r>
        <w:rPr>
          <w:sz w:val="21"/>
          <w:szCs w:val="21"/>
        </w:rPr>
        <w:t xml:space="preserve">Daily email digest of open activities</w:t>
      </w:r>
    </w:p>
    <w:p>
      <w:pPr>
        <w:pStyle w:val="ListParagraph"/>
        <w:numPr>
          <w:ilvl w:val="0"/>
          <w:numId w:val="2"/>
        </w:numPr>
        <w:spacing w:after="60" w:line="280"/>
      </w:pPr>
      <w:r>
        <w:rPr>
          <w:sz w:val="21"/>
          <w:szCs w:val="21"/>
        </w:rPr>
        <w:t xml:space="preserve">Optional SMS for Critical items within final countdown to drilling</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Pop-up reliably reappears on the next login after a trigger condition is met</w:t>
      </w:r>
    </w:p>
    <w:p>
      <w:pPr>
        <w:pStyle w:val="ListParagraph"/>
        <w:numPr>
          <w:ilvl w:val="0"/>
          <w:numId w:val="2"/>
        </w:numPr>
        <w:spacing w:after="60" w:line="280"/>
      </w:pPr>
      <w:r>
        <w:rPr>
          <w:sz w:val="21"/>
          <w:szCs w:val="21"/>
        </w:rPr>
        <w:t xml:space="preserve">Every snooze / acknowledgement is timestamped and attributed to a user</w:t>
      </w:r>
    </w:p>
    <w:p>
      <w:pPr>
        <w:pStyle w:val="ListParagraph"/>
        <w:numPr>
          <w:ilvl w:val="0"/>
          <w:numId w:val="2"/>
        </w:numPr>
        <w:spacing w:after="60" w:line="280"/>
      </w:pPr>
      <w:r>
        <w:rPr>
          <w:sz w:val="21"/>
          <w:szCs w:val="21"/>
        </w:rPr>
        <w:t xml:space="preserve">Escalation email fires exactly once per breach unless the item is re-triggered</w:t>
      </w:r>
    </w:p>
    <w:p>
      <w:pPr>
        <w:pStyle w:val="Heading3"/>
        <w:spacing w:after="100" w:before="240"/>
      </w:pPr>
      <w:r>
        <w:rPr>
          <w:b/>
          <w:bCs/>
          <w:color w:val="12324F"/>
          <w:sz w:val="22"/>
          <w:szCs w:val="22"/>
        </w:rPr>
        <w:t xml:space="preserve">5.3  Task Status, Progress, Work Allocation &amp; Accountability</w:t>
      </w:r>
      <w:r>
        <w:rPr>
          <w:b/>
          <w:bCs/>
          <w:i/>
          <w:iCs/>
          <w:color w:val="B8862C"/>
          <w:sz w:val="18"/>
          <w:szCs w:val="18"/>
        </w:rPr>
        <w:t xml:space="preserve">   [Innate]</w:t>
      </w:r>
    </w:p>
    <w:p>
      <w:pPr>
        <w:spacing w:after="150" w:line="300"/>
      </w:pPr>
      <w:r>
        <w:rPr>
          <w:sz w:val="21"/>
          <w:szCs w:val="21"/>
        </w:rPr>
        <w:t xml:space="preserve">General-purpose task management for allocating work across the team, tracking status and progress, and enforcing single-owner accountability on every deliverable.</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Task creation and assignment with subtasks and dependencies</w:t>
      </w:r>
    </w:p>
    <w:p>
      <w:pPr>
        <w:pStyle w:val="ListParagraph"/>
        <w:numPr>
          <w:ilvl w:val="0"/>
          <w:numId w:val="2"/>
        </w:numPr>
        <w:spacing w:after="60" w:line="280"/>
      </w:pPr>
      <w:r>
        <w:rPr>
          <w:sz w:val="21"/>
          <w:szCs w:val="21"/>
        </w:rPr>
        <w:t xml:space="preserve">Gantt, Kanban and List views</w:t>
      </w:r>
    </w:p>
    <w:p>
      <w:pPr>
        <w:pStyle w:val="ListParagraph"/>
        <w:numPr>
          <w:ilvl w:val="0"/>
          <w:numId w:val="2"/>
        </w:numPr>
        <w:spacing w:after="60" w:line="280"/>
      </w:pPr>
      <w:r>
        <w:rPr>
          <w:sz w:val="21"/>
          <w:szCs w:val="21"/>
        </w:rPr>
        <w:t xml:space="preserve">Percentage-complete tracking with auto-rollup to parent project</w:t>
      </w:r>
    </w:p>
    <w:p>
      <w:pPr>
        <w:pStyle w:val="ListParagraph"/>
        <w:numPr>
          <w:ilvl w:val="0"/>
          <w:numId w:val="2"/>
        </w:numPr>
        <w:spacing w:after="60" w:line="280"/>
      </w:pPr>
      <w:r>
        <w:rPr>
          <w:sz w:val="21"/>
          <w:szCs w:val="21"/>
        </w:rPr>
        <w:t xml:space="preserve">Per-person workload view across all active tasks</w:t>
      </w:r>
    </w:p>
    <w:p>
      <w:pPr>
        <w:pStyle w:val="ListParagraph"/>
        <w:numPr>
          <w:ilvl w:val="0"/>
          <w:numId w:val="2"/>
        </w:numPr>
        <w:spacing w:after="60" w:line="280"/>
      </w:pPr>
      <w:r>
        <w:rPr>
          <w:sz w:val="21"/>
          <w:szCs w:val="21"/>
        </w:rPr>
        <w:t xml:space="preserve">Comments and file attachments on tasks</w:t>
      </w:r>
    </w:p>
    <w:p>
      <w:pPr>
        <w:pStyle w:val="ListParagraph"/>
        <w:numPr>
          <w:ilvl w:val="0"/>
          <w:numId w:val="2"/>
        </w:numPr>
        <w:spacing w:after="60" w:line="280"/>
      </w:pPr>
      <w:r>
        <w:rPr>
          <w:sz w:val="21"/>
          <w:szCs w:val="21"/>
        </w:rPr>
        <w:t xml:space="preserve">Automatic overdue flag</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Task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Title / Description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Project / Block Link</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Assigned To</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Assigned By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Start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Due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Priority</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 Complete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Dependencies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Comments / Attachments</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Every task has exactly one accountable owner; collaborators may be added separately</w:t>
      </w:r>
    </w:p>
    <w:p>
      <w:pPr>
        <w:pStyle w:val="ListParagraph"/>
        <w:numPr>
          <w:ilvl w:val="0"/>
          <w:numId w:val="2"/>
        </w:numPr>
        <w:spacing w:after="60" w:line="280"/>
      </w:pPr>
      <w:r>
        <w:rPr>
          <w:sz w:val="21"/>
          <w:szCs w:val="21"/>
        </w:rPr>
        <w:t xml:space="preserve">Status auto-flags "Overdue" once the due date has passed and completion is below 100%</w:t>
      </w:r>
    </w:p>
    <w:p>
      <w:pPr>
        <w:pStyle w:val="ListParagraph"/>
        <w:numPr>
          <w:ilvl w:val="0"/>
          <w:numId w:val="2"/>
        </w:numPr>
        <w:spacing w:after="60" w:line="280"/>
      </w:pPr>
      <w:r>
        <w:rPr>
          <w:sz w:val="21"/>
          <w:szCs w:val="21"/>
        </w:rPr>
        <w:t xml:space="preserve">A task cannot be marked 100% complete without the owner's confirmation</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Due-soon reminder</w:t>
      </w:r>
    </w:p>
    <w:p>
      <w:pPr>
        <w:pStyle w:val="ListParagraph"/>
        <w:numPr>
          <w:ilvl w:val="0"/>
          <w:numId w:val="2"/>
        </w:numPr>
        <w:spacing w:after="60" w:line="280"/>
      </w:pPr>
      <w:r>
        <w:rPr>
          <w:sz w:val="21"/>
          <w:szCs w:val="21"/>
        </w:rPr>
        <w:t xml:space="preserve">Overdue reminder (repeating)</w:t>
      </w:r>
    </w:p>
    <w:p>
      <w:pPr>
        <w:pStyle w:val="ListParagraph"/>
        <w:numPr>
          <w:ilvl w:val="0"/>
          <w:numId w:val="2"/>
        </w:numPr>
        <w:spacing w:after="60" w:line="280"/>
      </w:pPr>
      <w:r>
        <w:rPr>
          <w:sz w:val="21"/>
          <w:szCs w:val="21"/>
        </w:rPr>
        <w:t xml:space="preserve">Notification on re-assignment</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Progress rolls up correctly from subtask to task to project level</w:t>
      </w:r>
    </w:p>
    <w:p>
      <w:pPr>
        <w:pStyle w:val="ListParagraph"/>
        <w:numPr>
          <w:ilvl w:val="0"/>
          <w:numId w:val="2"/>
        </w:numPr>
        <w:spacing w:after="60" w:line="280"/>
      </w:pPr>
      <w:r>
        <w:rPr>
          <w:sz w:val="21"/>
          <w:szCs w:val="21"/>
        </w:rPr>
        <w:t xml:space="preserve">Workload dashboard shows accurate open-task count per person</w:t>
      </w:r>
    </w:p>
    <w:p>
      <w:pPr>
        <w:pStyle w:val="ListParagraph"/>
        <w:numPr>
          <w:ilvl w:val="0"/>
          <w:numId w:val="2"/>
        </w:numPr>
        <w:spacing w:after="60" w:line="280"/>
      </w:pPr>
      <w:r>
        <w:rPr>
          <w:sz w:val="21"/>
          <w:szCs w:val="21"/>
        </w:rPr>
        <w:t xml:space="preserve">Full status-change history is retained per task</w:t>
      </w:r>
    </w:p>
    <w:p>
      <w:pPr>
        <w:pStyle w:val="Heading3"/>
        <w:spacing w:after="100" w:before="240"/>
      </w:pPr>
      <w:r>
        <w:rPr>
          <w:b/>
          <w:bCs/>
          <w:color w:val="12324F"/>
          <w:sz w:val="22"/>
          <w:szCs w:val="22"/>
        </w:rPr>
        <w:t xml:space="preserve">5.4  Action Database / Audit Log</w:t>
      </w:r>
      <w:r>
        <w:rPr>
          <w:b/>
          <w:bCs/>
          <w:i/>
          <w:iCs/>
          <w:color w:val="B8862C"/>
          <w:sz w:val="18"/>
          <w:szCs w:val="18"/>
        </w:rPr>
        <w:t xml:space="preserve">   [Innate]</w:t>
      </w:r>
    </w:p>
    <w:p>
      <w:pPr>
        <w:spacing w:after="150" w:line="300"/>
      </w:pPr>
      <w:r>
        <w:rPr>
          <w:sz w:val="21"/>
          <w:szCs w:val="21"/>
        </w:rPr>
        <w:t xml:space="preserve">An immutable, searchable log of every action taken anywhere in the system, giving full traceability for internal governance and any future statutory or partner audit.</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Captures create / update / delete events with user, timestamp, module, entity and before/after values</w:t>
      </w:r>
    </w:p>
    <w:p>
      <w:pPr>
        <w:pStyle w:val="ListParagraph"/>
        <w:numPr>
          <w:ilvl w:val="0"/>
          <w:numId w:val="2"/>
        </w:numPr>
        <w:spacing w:after="60" w:line="280"/>
      </w:pPr>
      <w:r>
        <w:rPr>
          <w:sz w:val="21"/>
          <w:szCs w:val="21"/>
        </w:rPr>
        <w:t xml:space="preserve">Global search and filter by user, module, entity type and date range</w:t>
      </w:r>
    </w:p>
    <w:p>
      <w:pPr>
        <w:pStyle w:val="ListParagraph"/>
        <w:numPr>
          <w:ilvl w:val="0"/>
          <w:numId w:val="2"/>
        </w:numPr>
        <w:spacing w:after="60" w:line="280"/>
      </w:pPr>
      <w:r>
        <w:rPr>
          <w:sz w:val="21"/>
          <w:szCs w:val="21"/>
        </w:rPr>
        <w:t xml:space="preserve">Export to CSV / PDF for audit submission</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Log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Timestamp</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User</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Module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Entity Type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Entity ID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Action Type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Old Value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New Value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Device / IP (optional)</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Log entries are write-once: no role, including Admin, can edit or delete an entry</w:t>
      </w:r>
    </w:p>
    <w:p>
      <w:pPr>
        <w:pStyle w:val="ListParagraph"/>
        <w:numPr>
          <w:ilvl w:val="0"/>
          <w:numId w:val="2"/>
        </w:numPr>
        <w:spacing w:after="60" w:line="280"/>
      </w:pPr>
      <w:r>
        <w:rPr>
          <w:sz w:val="21"/>
          <w:szCs w:val="21"/>
        </w:rPr>
        <w:t xml:space="preserve">Retention period is configurable to meet statutory/audit requirements (e.g. 7 years)</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Every state-changing action across all modules is captured without exception</w:t>
      </w:r>
    </w:p>
    <w:p>
      <w:pPr>
        <w:pStyle w:val="ListParagraph"/>
        <w:numPr>
          <w:ilvl w:val="0"/>
          <w:numId w:val="2"/>
        </w:numPr>
        <w:spacing w:after="60" w:line="280"/>
      </w:pPr>
      <w:r>
        <w:rPr>
          <w:sz w:val="21"/>
          <w:szCs w:val="21"/>
        </w:rPr>
        <w:t xml:space="preserve">Log queries return results in under 3 seconds at 1,000,000+ records</w:t>
      </w:r>
    </w:p>
    <w:p>
      <w:pPr>
        <w:pStyle w:val="ListParagraph"/>
        <w:numPr>
          <w:ilvl w:val="0"/>
          <w:numId w:val="2"/>
        </w:numPr>
        <w:spacing w:after="60" w:line="280"/>
      </w:pPr>
      <w:r>
        <w:rPr>
          <w:sz w:val="21"/>
          <w:szCs w:val="21"/>
        </w:rPr>
        <w:t xml:space="preserve">Exports respect RBAC — a user only sees log entries for entities within their access scope</w:t>
      </w:r>
    </w:p>
    <w:p>
      <w:pPr>
        <w:pStyle w:val="Heading3"/>
        <w:spacing w:after="100" w:before="240"/>
      </w:pPr>
      <w:r>
        <w:rPr>
          <w:b/>
          <w:bCs/>
          <w:color w:val="12324F"/>
          <w:sz w:val="22"/>
          <w:szCs w:val="22"/>
        </w:rPr>
        <w:t xml:space="preserve">5.5  Document Repository &amp; Version Control</w:t>
      </w:r>
      <w:r>
        <w:rPr>
          <w:b/>
          <w:bCs/>
          <w:i/>
          <w:iCs/>
          <w:color w:val="B8862C"/>
          <w:sz w:val="18"/>
          <w:szCs w:val="18"/>
        </w:rPr>
        <w:t xml:space="preserve">   [Innate]</w:t>
      </w:r>
    </w:p>
    <w:p>
      <w:pPr>
        <w:spacing w:after="150" w:line="300"/>
      </w:pPr>
      <w:r>
        <w:rPr>
          <w:sz w:val="21"/>
          <w:szCs w:val="21"/>
        </w:rPr>
        <w:t xml:space="preserve">Secure central store for every contract, letter, notice and report, with full version history and a built-in "awaiting whose response" field so nothing sits unanswered.</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Folder and tag-based organisation by block, project and document category</w:t>
      </w:r>
    </w:p>
    <w:p>
      <w:pPr>
        <w:pStyle w:val="ListParagraph"/>
        <w:numPr>
          <w:ilvl w:val="0"/>
          <w:numId w:val="2"/>
        </w:numPr>
        <w:spacing w:after="60" w:line="280"/>
      </w:pPr>
      <w:r>
        <w:rPr>
          <w:sz w:val="21"/>
          <w:szCs w:val="21"/>
        </w:rPr>
        <w:t xml:space="preserve">Drag-and-drop upload with automatic versioning (re-upload never overwrites)</w:t>
      </w:r>
    </w:p>
    <w:p>
      <w:pPr>
        <w:pStyle w:val="ListParagraph"/>
        <w:numPr>
          <w:ilvl w:val="0"/>
          <w:numId w:val="2"/>
        </w:numPr>
        <w:spacing w:after="60" w:line="280"/>
      </w:pPr>
      <w:r>
        <w:rPr>
          <w:sz w:val="21"/>
          <w:szCs w:val="21"/>
        </w:rPr>
        <w:t xml:space="preserve">Version history with rollback</w:t>
      </w:r>
    </w:p>
    <w:p>
      <w:pPr>
        <w:pStyle w:val="ListParagraph"/>
        <w:numPr>
          <w:ilvl w:val="0"/>
          <w:numId w:val="2"/>
        </w:numPr>
        <w:spacing w:after="60" w:line="280"/>
      </w:pPr>
      <w:r>
        <w:rPr>
          <w:sz w:val="21"/>
          <w:szCs w:val="21"/>
        </w:rPr>
        <w:t xml:space="preserve">Full-text search, including OCR of scanned PDFs</w:t>
      </w:r>
    </w:p>
    <w:p>
      <w:pPr>
        <w:pStyle w:val="ListParagraph"/>
        <w:numPr>
          <w:ilvl w:val="0"/>
          <w:numId w:val="2"/>
        </w:numPr>
        <w:spacing w:after="60" w:line="280"/>
      </w:pPr>
      <w:r>
        <w:rPr>
          <w:sz w:val="21"/>
          <w:szCs w:val="21"/>
        </w:rPr>
        <w:t xml:space="preserve">Per-document / per-folder access permissions and confidentiality levels</w:t>
      </w:r>
    </w:p>
    <w:p>
      <w:pPr>
        <w:pStyle w:val="ListParagraph"/>
        <w:numPr>
          <w:ilvl w:val="0"/>
          <w:numId w:val="2"/>
        </w:numPr>
        <w:spacing w:after="60" w:line="280"/>
      </w:pPr>
      <w:r>
        <w:rPr>
          <w:sz w:val="21"/>
          <w:szCs w:val="21"/>
        </w:rPr>
        <w:t xml:space="preserve">"Awaiting Response From" field with a response due date</w:t>
      </w:r>
    </w:p>
    <w:p>
      <w:pPr>
        <w:pStyle w:val="ListParagraph"/>
        <w:numPr>
          <w:ilvl w:val="0"/>
          <w:numId w:val="2"/>
        </w:numPr>
        <w:spacing w:after="60" w:line="280"/>
      </w:pPr>
      <w:r>
        <w:rPr>
          <w:sz w:val="21"/>
          <w:szCs w:val="21"/>
        </w:rPr>
        <w:t xml:space="preserve">Linkage to related tasks, activities and correspondence</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Title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Category (Contract/Letter/Notice/Report/Other)</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Related Block/Project</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Uploaded By /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Version No.</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 (Draft/Under Review/Final/Superseded)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Awaiting Response From</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Due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Confidentiality Level</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Entities</w:t>
            </w:r>
          </w:p>
        </w:tc>
        <w:tc>
          <w:tcPr>
            <w:tcW w:type="dxa" w:w="4513"/>
            <w:tcMar>
              <w:top w:type="dxa" w:w="80"/>
              <w:left w:type="dxa" w:w="100"/>
              <w:bottom w:type="dxa" w:w="80"/>
              <w:right w:type="dxa" w:w="100"/>
            </w:tcMar>
            <w:vAlign w:val="center"/>
          </w:tcPr>
          <w:p>
            <w:pPr>
              <w:jc w:val="left"/>
            </w:pPr>
            <w:r>
              <w:rPr>
                <w:b w:val="false"/>
                <w:bCs w:val="false"/>
                <w:color w:val="000000"/>
                <w:sz w:val="19"/>
                <w:szCs w:val="19"/>
              </w:rPr>
              <w:t xml:space="preserve"/>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Re-uploading an existing document creates a new version rather than overwriting the prior one</w:t>
      </w:r>
    </w:p>
    <w:p>
      <w:pPr>
        <w:pStyle w:val="ListParagraph"/>
        <w:numPr>
          <w:ilvl w:val="0"/>
          <w:numId w:val="2"/>
        </w:numPr>
        <w:spacing w:after="60" w:line="280"/>
      </w:pPr>
      <w:r>
        <w:rPr>
          <w:sz w:val="21"/>
          <w:szCs w:val="21"/>
        </w:rPr>
        <w:t xml:space="preserve">Only the document owner or Admin may delete, and deletion is a recoverable soft-delete</w:t>
      </w:r>
    </w:p>
    <w:p>
      <w:pPr>
        <w:pStyle w:val="ListParagraph"/>
        <w:numPr>
          <w:ilvl w:val="0"/>
          <w:numId w:val="2"/>
        </w:numPr>
        <w:spacing w:after="60" w:line="280"/>
      </w:pPr>
      <w:r>
        <w:rPr>
          <w:sz w:val="21"/>
          <w:szCs w:val="21"/>
        </w:rPr>
        <w:t xml:space="preserve">Confidential documents are restricted to named roles only</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Reminder when a document is awaiting a response past its due date</w:t>
      </w:r>
    </w:p>
    <w:p>
      <w:pPr>
        <w:pStyle w:val="ListParagraph"/>
        <w:numPr>
          <w:ilvl w:val="0"/>
          <w:numId w:val="2"/>
        </w:numPr>
        <w:spacing w:after="60" w:line="280"/>
      </w:pPr>
      <w:r>
        <w:rPr>
          <w:sz w:val="21"/>
          <w:szCs w:val="21"/>
        </w:rPr>
        <w:t xml:space="preserve">Notification to subscribers when a new version is published</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Complete version history is reconstructable for any document</w:t>
      </w:r>
    </w:p>
    <w:p>
      <w:pPr>
        <w:pStyle w:val="ListParagraph"/>
        <w:numPr>
          <w:ilvl w:val="0"/>
          <w:numId w:val="2"/>
        </w:numPr>
        <w:spacing w:after="60" w:line="280"/>
      </w:pPr>
      <w:r>
        <w:rPr>
          <w:sz w:val="21"/>
          <w:szCs w:val="21"/>
        </w:rPr>
        <w:t xml:space="preserve">Search returns relevant results including from OCR'd scanned files</w:t>
      </w:r>
    </w:p>
    <w:p>
      <w:pPr>
        <w:pStyle w:val="ListParagraph"/>
        <w:numPr>
          <w:ilvl w:val="0"/>
          <w:numId w:val="2"/>
        </w:numPr>
        <w:spacing w:after="60" w:line="280"/>
      </w:pPr>
      <w:r>
        <w:rPr>
          <w:sz w:val="21"/>
          <w:szCs w:val="21"/>
        </w:rPr>
        <w:t xml:space="preserve">Permission enforcement verified for every role in the RBAC matrix</w:t>
      </w:r>
    </w:p>
    <w:p>
      <w:pPr>
        <w:pStyle w:val="Heading3"/>
        <w:spacing w:after="100" w:before="240"/>
      </w:pPr>
      <w:r>
        <w:rPr>
          <w:b/>
          <w:bCs/>
          <w:color w:val="12324F"/>
          <w:sz w:val="22"/>
          <w:szCs w:val="22"/>
        </w:rPr>
        <w:t xml:space="preserve">5.6  Work Programme &amp; Budget Tracker</w:t>
      </w:r>
      <w:r>
        <w:rPr>
          <w:b/>
          <w:bCs/>
          <w:i/>
          <w:iCs/>
          <w:color w:val="B8862C"/>
          <w:sz w:val="18"/>
          <w:szCs w:val="18"/>
        </w:rPr>
        <w:t xml:space="preserve">   [Innate]</w:t>
      </w:r>
    </w:p>
    <w:p>
      <w:pPr>
        <w:spacing w:after="150" w:line="300"/>
      </w:pPr>
      <w:r>
        <w:rPr>
          <w:sz w:val="21"/>
          <w:szCs w:val="21"/>
        </w:rPr>
        <w:t xml:space="preserve">Tracks the approved work programme and budget for each block against actual execution and spend, with variance analysis and drill-down.</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Work-programme line items: planned vs. actual start/end dates</w:t>
      </w:r>
    </w:p>
    <w:p>
      <w:pPr>
        <w:pStyle w:val="ListParagraph"/>
        <w:numPr>
          <w:ilvl w:val="0"/>
          <w:numId w:val="2"/>
        </w:numPr>
        <w:spacing w:after="60" w:line="280"/>
      </w:pPr>
      <w:r>
        <w:rPr>
          <w:sz w:val="21"/>
          <w:szCs w:val="21"/>
        </w:rPr>
        <w:t xml:space="preserve">Budget line items: approved, committed and actual spend by category</w:t>
      </w:r>
    </w:p>
    <w:p>
      <w:pPr>
        <w:pStyle w:val="ListParagraph"/>
        <w:numPr>
          <w:ilvl w:val="0"/>
          <w:numId w:val="2"/>
        </w:numPr>
        <w:spacing w:after="60" w:line="280"/>
      </w:pPr>
      <w:r>
        <w:rPr>
          <w:sz w:val="21"/>
          <w:szCs w:val="21"/>
        </w:rPr>
        <w:t xml:space="preserve">Multi-currency support (GHS / USD)</w:t>
      </w:r>
    </w:p>
    <w:p>
      <w:pPr>
        <w:pStyle w:val="ListParagraph"/>
        <w:numPr>
          <w:ilvl w:val="0"/>
          <w:numId w:val="2"/>
        </w:numPr>
        <w:spacing w:after="60" w:line="280"/>
      </w:pPr>
      <w:r>
        <w:rPr>
          <w:sz w:val="21"/>
          <w:szCs w:val="21"/>
        </w:rPr>
        <w:t xml:space="preserve">Automatic variance calculation with threshold-based flagging</w:t>
      </w:r>
    </w:p>
    <w:p>
      <w:pPr>
        <w:pStyle w:val="ListParagraph"/>
        <w:numPr>
          <w:ilvl w:val="0"/>
          <w:numId w:val="2"/>
        </w:numPr>
        <w:spacing w:after="60" w:line="280"/>
      </w:pPr>
      <w:r>
        <w:rPr>
          <w:sz w:val="21"/>
          <w:szCs w:val="21"/>
        </w:rPr>
        <w:t xml:space="preserve">Drill-down from portfolio summary to individual line item</w:t>
      </w:r>
    </w:p>
    <w:p>
      <w:pPr>
        <w:pStyle w:val="ListParagraph"/>
        <w:numPr>
          <w:ilvl w:val="0"/>
          <w:numId w:val="2"/>
        </w:numPr>
        <w:spacing w:after="60" w:line="280"/>
      </w:pPr>
      <w:r>
        <w:rPr>
          <w:sz w:val="21"/>
          <w:szCs w:val="21"/>
        </w:rPr>
        <w:t xml:space="preserve">Maker-checker approval workflow for budget revisions</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Line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Activity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Planned Start/End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Actual Start/End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Budget Category</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Approved Budget</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Committed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Actual Spend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Variance %</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Currency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Responsible Person</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Variance beyond a configurable threshold (e.g. ±10%) automatically flags the line for management review</w:t>
      </w:r>
    </w:p>
    <w:p>
      <w:pPr>
        <w:pStyle w:val="ListParagraph"/>
        <w:numPr>
          <w:ilvl w:val="0"/>
          <w:numId w:val="2"/>
        </w:numPr>
        <w:spacing w:after="60" w:line="280"/>
      </w:pPr>
      <w:r>
        <w:rPr>
          <w:sz w:val="21"/>
          <w:szCs w:val="21"/>
        </w:rPr>
        <w:t xml:space="preserve">Budget revisions require Maker-Checker approval before they take effect</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Variance threshold breach</w:t>
      </w:r>
    </w:p>
    <w:p>
      <w:pPr>
        <w:pStyle w:val="ListParagraph"/>
        <w:numPr>
          <w:ilvl w:val="0"/>
          <w:numId w:val="2"/>
        </w:numPr>
        <w:spacing w:after="60" w:line="280"/>
      </w:pPr>
      <w:r>
        <w:rPr>
          <w:sz w:val="21"/>
          <w:szCs w:val="21"/>
        </w:rPr>
        <w:t xml:space="preserve">Budget line approaching exhaustion (e.g. 90% utilised)</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Roll-up totals always equal the sum of underlying line items</w:t>
      </w:r>
    </w:p>
    <w:p>
      <w:pPr>
        <w:pStyle w:val="ListParagraph"/>
        <w:numPr>
          <w:ilvl w:val="0"/>
          <w:numId w:val="2"/>
        </w:numPr>
        <w:spacing w:after="60" w:line="280"/>
      </w:pPr>
      <w:r>
        <w:rPr>
          <w:sz w:val="21"/>
          <w:szCs w:val="21"/>
        </w:rPr>
        <w:t xml:space="preserve">A budget revision cannot be saved without a recorded approval</w:t>
      </w:r>
    </w:p>
    <w:p>
      <w:pPr>
        <w:pStyle w:val="ListParagraph"/>
        <w:numPr>
          <w:ilvl w:val="0"/>
          <w:numId w:val="2"/>
        </w:numPr>
        <w:spacing w:after="60" w:line="280"/>
      </w:pPr>
      <w:r>
        <w:rPr>
          <w:sz w:val="21"/>
          <w:szCs w:val="21"/>
        </w:rPr>
        <w:t xml:space="preserve">Variance report is exportable and matches the underlying data</w:t>
      </w:r>
    </w:p>
    <w:p>
      <w:pPr>
        <w:pStyle w:val="Heading3"/>
        <w:spacing w:after="100" w:before="240"/>
      </w:pPr>
      <w:r>
        <w:rPr>
          <w:b/>
          <w:bCs/>
          <w:color w:val="12324F"/>
          <w:sz w:val="22"/>
          <w:szCs w:val="22"/>
        </w:rPr>
        <w:t xml:space="preserve">5.7  Compliance &amp; Statutory Payments Tracker</w:t>
      </w:r>
      <w:r>
        <w:rPr>
          <w:b/>
          <w:bCs/>
          <w:i/>
          <w:iCs/>
          <w:color w:val="B8862C"/>
          <w:sz w:val="18"/>
          <w:szCs w:val="18"/>
        </w:rPr>
        <w:t xml:space="preserve">   [Innate]</w:t>
      </w:r>
    </w:p>
    <w:p>
      <w:pPr>
        <w:spacing w:after="150" w:line="300"/>
      </w:pPr>
      <w:r>
        <w:rPr>
          <w:sz w:val="21"/>
          <w:szCs w:val="21"/>
        </w:rPr>
        <w:t xml:space="preserve">Tracks every statutory obligation, licence fee, royalty and regulatory filing (e.g. to GNPC, Ghana Revenue Authority, EPA) with due dates, payment status and evidence of completion.</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Compliance calendar covering one-off and recurring obligations (monthly/quarterly/annual)</w:t>
      </w:r>
    </w:p>
    <w:p>
      <w:pPr>
        <w:pStyle w:val="ListParagraph"/>
        <w:numPr>
          <w:ilvl w:val="0"/>
          <w:numId w:val="2"/>
        </w:numPr>
        <w:spacing w:after="60" w:line="280"/>
      </w:pPr>
      <w:r>
        <w:rPr>
          <w:sz w:val="21"/>
          <w:szCs w:val="21"/>
        </w:rPr>
        <w:t xml:space="preserve">Automatic regeneration of the next occurrence once a recurring item is closed</w:t>
      </w:r>
    </w:p>
    <w:p>
      <w:pPr>
        <w:pStyle w:val="ListParagraph"/>
        <w:numPr>
          <w:ilvl w:val="0"/>
          <w:numId w:val="2"/>
        </w:numPr>
        <w:spacing w:after="60" w:line="280"/>
      </w:pPr>
      <w:r>
        <w:rPr>
          <w:sz w:val="21"/>
          <w:szCs w:val="21"/>
        </w:rPr>
        <w:t xml:space="preserve">Payment tracking: amount due, amount paid, date, reference number</w:t>
      </w:r>
    </w:p>
    <w:p>
      <w:pPr>
        <w:pStyle w:val="ListParagraph"/>
        <w:numPr>
          <w:ilvl w:val="0"/>
          <w:numId w:val="2"/>
        </w:numPr>
        <w:spacing w:after="60" w:line="280"/>
      </w:pPr>
      <w:r>
        <w:rPr>
          <w:sz w:val="21"/>
          <w:szCs w:val="21"/>
        </w:rPr>
        <w:t xml:space="preserve">Mandatory evidence attachment (receipt, filed return) before an item can be closed</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Obligation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Description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Regulatory Body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Category (Tax/Licence Fee/Royalty/Filing/Other)</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Frequency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Due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Amount Due/Paid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Payment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Reference No.</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Evidence Link</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Responsible Officer</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Recurring obligations auto-generate their next occurrence on completion</w:t>
      </w:r>
    </w:p>
    <w:p>
      <w:pPr>
        <w:pStyle w:val="ListParagraph"/>
        <w:numPr>
          <w:ilvl w:val="0"/>
          <w:numId w:val="2"/>
        </w:numPr>
        <w:spacing w:after="60" w:line="280"/>
      </w:pPr>
      <w:r>
        <w:rPr>
          <w:sz w:val="21"/>
          <w:szCs w:val="21"/>
        </w:rPr>
        <w:t xml:space="preserve">An overdue obligation cannot be closed without an attached evidence document</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Escalating reminders at 30 / 14 / 7 / 1 days before due date, then daily once overdue</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100% of recurring obligations regenerate correctly on schedule</w:t>
      </w:r>
    </w:p>
    <w:p>
      <w:pPr>
        <w:pStyle w:val="ListParagraph"/>
        <w:numPr>
          <w:ilvl w:val="0"/>
          <w:numId w:val="2"/>
        </w:numPr>
        <w:spacing w:after="60" w:line="280"/>
      </w:pPr>
      <w:r>
        <w:rPr>
          <w:sz w:val="21"/>
          <w:szCs w:val="21"/>
        </w:rPr>
        <w:t xml:space="preserve">Overdue obligations surface automatically on the Chairman View (Section 9)</w:t>
      </w:r>
    </w:p>
    <w:p>
      <w:pPr>
        <w:pStyle w:val="Heading3"/>
        <w:spacing w:after="100" w:before="240"/>
      </w:pPr>
      <w:r>
        <w:rPr>
          <w:b/>
          <w:bCs/>
          <w:color w:val="12324F"/>
          <w:sz w:val="22"/>
          <w:szCs w:val="22"/>
        </w:rPr>
        <w:t xml:space="preserve">5.8  Dashboards, Visual Charts, Filters &amp; Drill-down</w:t>
      </w:r>
      <w:r>
        <w:rPr>
          <w:b/>
          <w:bCs/>
          <w:i/>
          <w:iCs/>
          <w:color w:val="B8862C"/>
          <w:sz w:val="18"/>
          <w:szCs w:val="18"/>
        </w:rPr>
        <w:t xml:space="preserve">   [Innate]</w:t>
      </w:r>
    </w:p>
    <w:p>
      <w:pPr>
        <w:spacing w:after="150" w:line="300"/>
      </w:pPr>
      <w:r>
        <w:rPr>
          <w:sz w:val="21"/>
          <w:szCs w:val="21"/>
        </w:rPr>
        <w:t xml:space="preserve">Cross-module analytics layer giving every role a configurable, role-appropriate view of the business with the ability to filter and click through to the source record.</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Role-based dashboards populated from live data across all modules</w:t>
      </w:r>
    </w:p>
    <w:p>
      <w:pPr>
        <w:pStyle w:val="ListParagraph"/>
        <w:numPr>
          <w:ilvl w:val="0"/>
          <w:numId w:val="2"/>
        </w:numPr>
        <w:spacing w:after="60" w:line="280"/>
      </w:pPr>
      <w:r>
        <w:rPr>
          <w:sz w:val="21"/>
          <w:szCs w:val="21"/>
        </w:rPr>
        <w:t xml:space="preserve">Chart types: bar, line, pie, gauge, heat-map, Gantt</w:t>
      </w:r>
    </w:p>
    <w:p>
      <w:pPr>
        <w:pStyle w:val="ListParagraph"/>
        <w:numPr>
          <w:ilvl w:val="0"/>
          <w:numId w:val="2"/>
        </w:numPr>
        <w:spacing w:after="60" w:line="280"/>
      </w:pPr>
      <w:r>
        <w:rPr>
          <w:sz w:val="21"/>
          <w:szCs w:val="21"/>
        </w:rPr>
        <w:t xml:space="preserve">Filters by block, project, date range, owner and status</w:t>
      </w:r>
    </w:p>
    <w:p>
      <w:pPr>
        <w:pStyle w:val="ListParagraph"/>
        <w:numPr>
          <w:ilvl w:val="0"/>
          <w:numId w:val="2"/>
        </w:numPr>
        <w:spacing w:after="60" w:line="280"/>
      </w:pPr>
      <w:r>
        <w:rPr>
          <w:sz w:val="21"/>
          <w:szCs w:val="21"/>
        </w:rPr>
        <w:t xml:space="preserve">Click-through drill-down from any chart or KPI to the underlying record list</w:t>
      </w:r>
    </w:p>
    <w:p>
      <w:pPr>
        <w:pStyle w:val="ListParagraph"/>
        <w:numPr>
          <w:ilvl w:val="0"/>
          <w:numId w:val="2"/>
        </w:numPr>
        <w:spacing w:after="60" w:line="280"/>
      </w:pPr>
      <w:r>
        <w:rPr>
          <w:sz w:val="21"/>
          <w:szCs w:val="21"/>
        </w:rPr>
        <w:t xml:space="preserve">Saved / shareable views and scheduled report emailing</w:t>
      </w:r>
    </w:p>
    <w:p>
      <w:pPr>
        <w:pStyle w:val="ListParagraph"/>
        <w:numPr>
          <w:ilvl w:val="0"/>
          <w:numId w:val="2"/>
        </w:numPr>
        <w:spacing w:after="60" w:line="280"/>
      </w:pPr>
      <w:r>
        <w:rPr>
          <w:sz w:val="21"/>
          <w:szCs w:val="21"/>
        </w:rPr>
        <w:t xml:space="preserve">Export to PDF, Excel and PowerPoint</w:t>
      </w: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Users only ever see data within their permission scope, including in charts and exports</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Standard dashboards load in under 3 seconds for the expected data volume</w:t>
      </w:r>
    </w:p>
    <w:p>
      <w:pPr>
        <w:pStyle w:val="ListParagraph"/>
        <w:numPr>
          <w:ilvl w:val="0"/>
          <w:numId w:val="2"/>
        </w:numPr>
        <w:spacing w:after="60" w:line="280"/>
      </w:pPr>
      <w:r>
        <w:rPr>
          <w:sz w:val="21"/>
          <w:szCs w:val="21"/>
        </w:rPr>
        <w:t xml:space="preserve">Drill-down always routes to the correctly filtered underlying list</w:t>
      </w:r>
    </w:p>
    <w:p>
      <w:pPr>
        <w:pStyle w:val="Heading3"/>
        <w:spacing w:after="100" w:before="240"/>
      </w:pPr>
      <w:r>
        <w:rPr>
          <w:b/>
          <w:bCs/>
          <w:color w:val="12324F"/>
          <w:sz w:val="22"/>
          <w:szCs w:val="22"/>
        </w:rPr>
        <w:t xml:space="preserve">5.9  Licence Phase Countdown</w:t>
      </w:r>
      <w:r>
        <w:rPr>
          <w:b/>
          <w:bCs/>
          <w:i/>
          <w:iCs/>
          <w:color w:val="B8862C"/>
          <w:sz w:val="18"/>
          <w:szCs w:val="18"/>
        </w:rPr>
        <w:t xml:space="preserve">   [Innate — Oil &amp; Gas Specific]</w:t>
      </w:r>
    </w:p>
    <w:p>
      <w:pPr>
        <w:spacing w:after="150" w:line="300"/>
      </w:pPr>
      <w:r>
        <w:rPr>
          <w:sz w:val="21"/>
          <w:szCs w:val="21"/>
        </w:rPr>
        <w:t xml:space="preserve">Tracks each licence/block's current phase (Initial Exploration, Extension, Appraisal, Development, Production) with a live countdown to phase-end, relinquishment or minimum-work-obligation deadlines.</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Countdown clock per block, recalculated daily</w:t>
      </w:r>
    </w:p>
    <w:p>
      <w:pPr>
        <w:pStyle w:val="ListParagraph"/>
        <w:numPr>
          <w:ilvl w:val="0"/>
          <w:numId w:val="2"/>
        </w:numPr>
        <w:spacing w:after="60" w:line="280"/>
      </w:pPr>
      <w:r>
        <w:rPr>
          <w:sz w:val="21"/>
          <w:szCs w:val="21"/>
        </w:rPr>
        <w:t xml:space="preserve">Minimum work obligation tracked against phase deadline</w:t>
      </w:r>
    </w:p>
    <w:p>
      <w:pPr>
        <w:pStyle w:val="ListParagraph"/>
        <w:numPr>
          <w:ilvl w:val="0"/>
          <w:numId w:val="2"/>
        </w:numPr>
        <w:spacing w:after="60" w:line="280"/>
      </w:pPr>
      <w:r>
        <w:rPr>
          <w:sz w:val="21"/>
          <w:szCs w:val="21"/>
        </w:rPr>
        <w:t xml:space="preserve">Escalating dashboard banners as a deadline approaches</w:t>
      </w:r>
    </w:p>
    <w:p>
      <w:pPr>
        <w:pStyle w:val="ListParagraph"/>
        <w:numPr>
          <w:ilvl w:val="0"/>
          <w:numId w:val="2"/>
        </w:numPr>
        <w:spacing w:after="60" w:line="280"/>
      </w:pPr>
      <w:r>
        <w:rPr>
          <w:sz w:val="21"/>
          <w:szCs w:val="21"/>
        </w:rPr>
        <w:t xml:space="preserve">Phase transitions require management confirmation and are logged</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 Name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Licence No.</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Current Phase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Phase Start/End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Minimum Work Obligation</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Days Remaining</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Next Milestone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Responsible Person</w:t>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A phase change is a controlled action requiring sign-off, not a simple field edit</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Countdown banners at 180 / 90 / 30 days remaining; automatic escalation to Chairman View under 30 days</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Countdown always reflects calendar-accurate days remaining</w:t>
      </w:r>
    </w:p>
    <w:p>
      <w:pPr>
        <w:pStyle w:val="ListParagraph"/>
        <w:numPr>
          <w:ilvl w:val="0"/>
          <w:numId w:val="2"/>
        </w:numPr>
        <w:spacing w:after="60" w:line="280"/>
      </w:pPr>
      <w:r>
        <w:rPr>
          <w:sz w:val="21"/>
          <w:szCs w:val="21"/>
        </w:rPr>
        <w:t xml:space="preserve">Phase transition history is fully auditable</w:t>
      </w:r>
    </w:p>
    <w:p>
      <w:pPr>
        <w:pStyle w:val="Heading3"/>
        <w:spacing w:after="100" w:before="240"/>
      </w:pPr>
      <w:r>
        <w:rPr>
          <w:b/>
          <w:bCs/>
          <w:color w:val="12324F"/>
          <w:sz w:val="22"/>
          <w:szCs w:val="22"/>
        </w:rPr>
        <w:t xml:space="preserve">5.10  AFE Tracking (Actuals vs. Authorised)</w:t>
      </w:r>
      <w:r>
        <w:rPr>
          <w:b/>
          <w:bCs/>
          <w:i/>
          <w:iCs/>
          <w:color w:val="B8862C"/>
          <w:sz w:val="18"/>
          <w:szCs w:val="18"/>
        </w:rPr>
        <w:t xml:space="preserve">   [Innate — Oil &amp; Gas Specific]</w:t>
      </w:r>
    </w:p>
    <w:p>
      <w:pPr>
        <w:spacing w:after="150" w:line="300"/>
      </w:pPr>
      <w:r>
        <w:rPr>
          <w:sz w:val="21"/>
          <w:szCs w:val="21"/>
        </w:rPr>
        <w:t xml:space="preserve">Tracks Authorisation for Expenditure (AFE) actual spend against authorised amounts by well, project and cost category, including supplementary AFEs.</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AFE register with authorised, committed and actual-to-date amounts</w:t>
      </w:r>
    </w:p>
    <w:p>
      <w:pPr>
        <w:pStyle w:val="ListParagraph"/>
        <w:numPr>
          <w:ilvl w:val="0"/>
          <w:numId w:val="2"/>
        </w:numPr>
        <w:spacing w:after="60" w:line="280"/>
      </w:pPr>
      <w:r>
        <w:rPr>
          <w:sz w:val="21"/>
          <w:szCs w:val="21"/>
        </w:rPr>
        <w:t xml:space="preserve">Automatic aggregation of actuals from linked vendor payments / budget lines</w:t>
      </w:r>
    </w:p>
    <w:p>
      <w:pPr>
        <w:pStyle w:val="ListParagraph"/>
        <w:numPr>
          <w:ilvl w:val="0"/>
          <w:numId w:val="2"/>
        </w:numPr>
        <w:spacing w:after="60" w:line="280"/>
      </w:pPr>
      <w:r>
        <w:rPr>
          <w:sz w:val="21"/>
          <w:szCs w:val="21"/>
        </w:rPr>
        <w:t xml:space="preserve">Supplementary AFE workflow when projected spend exceeds authorisation threshold</w:t>
      </w:r>
    </w:p>
    <w:p>
      <w:pPr>
        <w:pStyle w:val="ListParagraph"/>
        <w:numPr>
          <w:ilvl w:val="0"/>
          <w:numId w:val="2"/>
        </w:numPr>
        <w:spacing w:after="60" w:line="280"/>
      </w:pPr>
      <w:r>
        <w:rPr>
          <w:sz w:val="21"/>
          <w:szCs w:val="21"/>
        </w:rPr>
        <w:t xml:space="preserve">AFE closure requires reconciliation sign-off</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AFE No.</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Well / Project</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Authorised Amount</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Actual to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Committed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Variance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Approval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Approving Authority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 (Draft/Approved/Closed)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Supplement No.</w:t>
            </w:r>
          </w:p>
        </w:tc>
        <w:tc>
          <w:tcPr>
            <w:tcW w:type="dxa" w:w="4513"/>
            <w:tcMar>
              <w:top w:type="dxa" w:w="80"/>
              <w:left w:type="dxa" w:w="100"/>
              <w:bottom w:type="dxa" w:w="80"/>
              <w:right w:type="dxa" w:w="100"/>
            </w:tcMar>
            <w:vAlign w:val="center"/>
          </w:tcPr>
          <w:p>
            <w:pPr>
              <w:jc w:val="left"/>
            </w:pPr>
            <w:r>
              <w:rPr>
                <w:b w:val="false"/>
                <w:bCs w:val="false"/>
                <w:color w:val="000000"/>
                <w:sz w:val="19"/>
                <w:szCs w:val="19"/>
              </w:rPr>
              <w:t xml:space="preserve"/>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A supplementary AFE is required once actual + committed is projected to exceed the authorised amount by a configurable threshold</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Notify Finance/PM when AFE utilisation crosses 80% and 100%</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AFE actuals reconcile against the financial ledger</w:t>
      </w:r>
    </w:p>
    <w:p>
      <w:pPr>
        <w:pStyle w:val="ListParagraph"/>
        <w:numPr>
          <w:ilvl w:val="0"/>
          <w:numId w:val="2"/>
        </w:numPr>
        <w:spacing w:after="60" w:line="280"/>
      </w:pPr>
      <w:r>
        <w:rPr>
          <w:sz w:val="21"/>
          <w:szCs w:val="21"/>
        </w:rPr>
        <w:t xml:space="preserve">Variance report matches underlying transaction detail</w:t>
      </w:r>
    </w:p>
    <w:p>
      <w:pPr>
        <w:pStyle w:val="Heading3"/>
        <w:spacing w:after="100" w:before="240"/>
      </w:pPr>
      <w:r>
        <w:rPr>
          <w:b/>
          <w:bCs/>
          <w:color w:val="12324F"/>
          <w:sz w:val="22"/>
          <w:szCs w:val="22"/>
        </w:rPr>
        <w:t xml:space="preserve">5.11  Contract Register with Expiry / Renewal Alerts</w:t>
      </w:r>
      <w:r>
        <w:rPr>
          <w:b/>
          <w:bCs/>
          <w:i/>
          <w:iCs/>
          <w:color w:val="B8862C"/>
          <w:sz w:val="18"/>
          <w:szCs w:val="18"/>
        </w:rPr>
        <w:t xml:space="preserve">   [Innate — Oil &amp; Gas Specific]</w:t>
      </w:r>
    </w:p>
    <w:p>
      <w:pPr>
        <w:spacing w:after="150" w:line="300"/>
      </w:pPr>
      <w:r>
        <w:rPr>
          <w:sz w:val="21"/>
          <w:szCs w:val="21"/>
        </w:rPr>
        <w:t xml:space="preserve">Central register of all contracts and counterparties with key commercial terms and automated renewal/expiry alerting, fully linked to the document repository.</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Register of all contract types (service, JV, rig, supply, etc.)</w:t>
      </w:r>
    </w:p>
    <w:p>
      <w:pPr>
        <w:pStyle w:val="ListParagraph"/>
        <w:numPr>
          <w:ilvl w:val="0"/>
          <w:numId w:val="2"/>
        </w:numPr>
        <w:spacing w:after="60" w:line="280"/>
      </w:pPr>
      <w:r>
        <w:rPr>
          <w:sz w:val="21"/>
          <w:szCs w:val="21"/>
        </w:rPr>
        <w:t xml:space="preserve">Configurable lead-time alerts before expiry</w:t>
      </w:r>
    </w:p>
    <w:p>
      <w:pPr>
        <w:pStyle w:val="ListParagraph"/>
        <w:numPr>
          <w:ilvl w:val="0"/>
          <w:numId w:val="2"/>
        </w:numPr>
        <w:spacing w:after="60" w:line="280"/>
      </w:pPr>
      <w:r>
        <w:rPr>
          <w:sz w:val="21"/>
          <w:szCs w:val="21"/>
        </w:rPr>
        <w:t xml:space="preserve">Direct link to the governing document and its version history</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Title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Counterparty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Type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Effective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Expiry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Value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Renewal Notice Period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Auto-renew (Y/N)</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Owner</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Document(s)</w:t>
            </w:r>
          </w:p>
        </w:tc>
      </w:tr>
    </w:tbl>
    <w:p>
      <w:pPr>
        <w:spacing w:after="150"/>
      </w:pP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Renewal/expiry reminders at 90 / 60 / 30 days before expiry</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Expiring contracts surface on dashboards and the Chairman View</w:t>
      </w:r>
    </w:p>
    <w:p>
      <w:pPr>
        <w:pStyle w:val="ListParagraph"/>
        <w:numPr>
          <w:ilvl w:val="0"/>
          <w:numId w:val="2"/>
        </w:numPr>
        <w:spacing w:after="60" w:line="280"/>
      </w:pPr>
      <w:r>
        <w:rPr>
          <w:sz w:val="21"/>
          <w:szCs w:val="21"/>
        </w:rPr>
        <w:t xml:space="preserve">Contract record always links to the current governing document version</w:t>
      </w:r>
    </w:p>
    <w:p>
      <w:pPr>
        <w:pStyle w:val="Heading3"/>
        <w:spacing w:after="100" w:before="240"/>
      </w:pPr>
      <w:r>
        <w:rPr>
          <w:b/>
          <w:bCs/>
          <w:color w:val="12324F"/>
          <w:sz w:val="22"/>
          <w:szCs w:val="22"/>
        </w:rPr>
        <w:t xml:space="preserve">5.12  Operations Update</w:t>
      </w:r>
      <w:r>
        <w:rPr>
          <w:b/>
          <w:bCs/>
          <w:i/>
          <w:iCs/>
          <w:color w:val="B8862C"/>
          <w:sz w:val="18"/>
          <w:szCs w:val="18"/>
        </w:rPr>
        <w:t xml:space="preserve">   [Innate — Oil &amp; Gas Specific]</w:t>
      </w:r>
    </w:p>
    <w:p>
      <w:pPr>
        <w:spacing w:after="150" w:line="300"/>
      </w:pPr>
      <w:r>
        <w:rPr>
          <w:sz w:val="21"/>
          <w:szCs w:val="21"/>
        </w:rPr>
        <w:t xml:space="preserve">A structured, periodic (daily/weekly) operations status log giving management field/project visibility at a summary level, distinct from the detailed Daily Drilling and Geological Reports (Section 7).</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Structured update form per block/well</w:t>
      </w:r>
    </w:p>
    <w:p>
      <w:pPr>
        <w:pStyle w:val="ListParagraph"/>
        <w:numPr>
          <w:ilvl w:val="0"/>
          <w:numId w:val="2"/>
        </w:numPr>
        <w:spacing w:after="60" w:line="280"/>
      </w:pPr>
      <w:r>
        <w:rPr>
          <w:sz w:val="21"/>
          <w:szCs w:val="21"/>
        </w:rPr>
        <w:t xml:space="preserve">Chronological history browsable by block</w:t>
      </w:r>
    </w:p>
    <w:p>
      <w:pPr>
        <w:pStyle w:val="ListParagraph"/>
        <w:numPr>
          <w:ilvl w:val="0"/>
          <w:numId w:val="2"/>
        </w:numPr>
        <w:spacing w:after="60" w:line="280"/>
      </w:pPr>
      <w:r>
        <w:rPr>
          <w:sz w:val="21"/>
          <w:szCs w:val="21"/>
        </w:rPr>
        <w:t xml:space="preserve">Attachments and key-issue flagging</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Update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Block/Well</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Author</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Summary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Key Issues</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Next Steps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Attachments</w:t>
            </w:r>
          </w:p>
        </w:tc>
      </w:tr>
    </w:tbl>
    <w:p>
      <w:pPr>
        <w:spacing w:after="150"/>
      </w:pP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Latest update surfaces automatically on the relevant block's summary page</w:t>
      </w:r>
    </w:p>
    <w:p>
      <w:pPr>
        <w:pStyle w:val="Heading3"/>
        <w:spacing w:after="100" w:before="240"/>
      </w:pPr>
      <w:r>
        <w:rPr>
          <w:b/>
          <w:bCs/>
          <w:color w:val="12324F"/>
          <w:sz w:val="22"/>
          <w:szCs w:val="22"/>
        </w:rPr>
        <w:t xml:space="preserve">5.13  Decision Log</w:t>
      </w:r>
      <w:r>
        <w:rPr>
          <w:b/>
          <w:bCs/>
          <w:i/>
          <w:iCs/>
          <w:color w:val="B8862C"/>
          <w:sz w:val="18"/>
          <w:szCs w:val="18"/>
        </w:rPr>
        <w:t xml:space="preserve">   [Innate]</w:t>
      </w:r>
    </w:p>
    <w:p>
      <w:pPr>
        <w:spacing w:after="150" w:line="300"/>
      </w:pPr>
      <w:r>
        <w:rPr>
          <w:sz w:val="21"/>
          <w:szCs w:val="21"/>
        </w:rPr>
        <w:t xml:space="preserve">A chronological, searchable record of key decisions, decision-makers and rationale, supporting governance traceability across the organisation.</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Decision entry linked to meeting/context</w:t>
      </w:r>
    </w:p>
    <w:p>
      <w:pPr>
        <w:pStyle w:val="ListParagraph"/>
        <w:numPr>
          <w:ilvl w:val="0"/>
          <w:numId w:val="2"/>
        </w:numPr>
        <w:spacing w:after="60" w:line="280"/>
      </w:pPr>
      <w:r>
        <w:rPr>
          <w:sz w:val="21"/>
          <w:szCs w:val="21"/>
        </w:rPr>
        <w:t xml:space="preserve">Bidirectional linkage to related tasks, risks and activities</w:t>
      </w:r>
    </w:p>
    <w:p>
      <w:pPr>
        <w:pStyle w:val="ListParagraph"/>
        <w:numPr>
          <w:ilvl w:val="0"/>
          <w:numId w:val="2"/>
        </w:numPr>
        <w:spacing w:after="60" w:line="280"/>
      </w:pPr>
      <w:r>
        <w:rPr>
          <w:sz w:val="21"/>
          <w:szCs w:val="21"/>
        </w:rPr>
        <w:t xml:space="preserve">Follow-up action tracking to closure</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Decision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Meeting/Context</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Decision Description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Decision Maker(s)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Rationale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Risk/Activity/Task</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Action Items</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4513"/>
            <w:tcMar>
              <w:top w:type="dxa" w:w="80"/>
              <w:left w:type="dxa" w:w="100"/>
              <w:bottom w:type="dxa" w:w="80"/>
              <w:right w:type="dxa" w:w="100"/>
            </w:tcMar>
            <w:vAlign w:val="center"/>
          </w:tcPr>
          <w:p>
            <w:pPr>
              <w:jc w:val="left"/>
            </w:pPr>
            <w:r>
              <w:rPr>
                <w:b w:val="false"/>
                <w:bCs w:val="false"/>
                <w:color w:val="000000"/>
                <w:sz w:val="19"/>
                <w:szCs w:val="19"/>
              </w:rPr>
              <w:t xml:space="preserve"/>
            </w:r>
          </w:p>
        </w:tc>
      </w:tr>
    </w:tbl>
    <w:p>
      <w:pPr>
        <w:spacing w:after="150"/>
      </w:pP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Decisions are searchable by keyword, date and decision-maker</w:t>
      </w:r>
    </w:p>
    <w:p>
      <w:pPr>
        <w:pStyle w:val="ListParagraph"/>
        <w:numPr>
          <w:ilvl w:val="0"/>
          <w:numId w:val="2"/>
        </w:numPr>
        <w:spacing w:after="60" w:line="280"/>
      </w:pPr>
      <w:r>
        <w:rPr>
          <w:sz w:val="21"/>
          <w:szCs w:val="21"/>
        </w:rPr>
        <w:t xml:space="preserve">Every decision with follow-up actions is trackable to closure</w:t>
      </w:r>
    </w:p>
    <w:p>
      <w:pPr>
        <w:pStyle w:val="Heading3"/>
        <w:spacing w:after="100" w:before="240"/>
      </w:pPr>
      <w:r>
        <w:rPr>
          <w:b/>
          <w:bCs/>
          <w:color w:val="12324F"/>
          <w:sz w:val="22"/>
          <w:szCs w:val="22"/>
        </w:rPr>
        <w:t xml:space="preserve">5.14  PC / GNPC Correspondence Log (Searchable)</w:t>
      </w:r>
      <w:r>
        <w:rPr>
          <w:b/>
          <w:bCs/>
          <w:i/>
          <w:iCs/>
          <w:color w:val="B8862C"/>
          <w:sz w:val="18"/>
          <w:szCs w:val="18"/>
        </w:rPr>
        <w:t xml:space="preserve">   [Innate]</w:t>
      </w:r>
    </w:p>
    <w:p>
      <w:pPr>
        <w:spacing w:after="150" w:line="300"/>
      </w:pPr>
      <w:r>
        <w:rPr>
          <w:sz w:val="21"/>
          <w:szCs w:val="21"/>
        </w:rPr>
        <w:t xml:space="preserve">A searchable register of all correspondence with the Petroleum Commission (PC) and GNPC — inbound and outbound — cross-linked to the document repository.</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Direction-tagged correspondence entries (Inbound/Outbound)</w:t>
      </w:r>
    </w:p>
    <w:p>
      <w:pPr>
        <w:pStyle w:val="ListParagraph"/>
        <w:numPr>
          <w:ilvl w:val="0"/>
          <w:numId w:val="2"/>
        </w:numPr>
        <w:spacing w:after="60" w:line="280"/>
      </w:pPr>
      <w:r>
        <w:rPr>
          <w:sz w:val="21"/>
          <w:szCs w:val="21"/>
        </w:rPr>
        <w:t xml:space="preserve">Full-text search across subject and summary</w:t>
      </w:r>
    </w:p>
    <w:p>
      <w:pPr>
        <w:pStyle w:val="ListParagraph"/>
        <w:numPr>
          <w:ilvl w:val="0"/>
          <w:numId w:val="2"/>
        </w:numPr>
        <w:spacing w:after="60" w:line="280"/>
      </w:pPr>
      <w:r>
        <w:rPr>
          <w:sz w:val="21"/>
          <w:szCs w:val="21"/>
        </w:rPr>
        <w:t xml:space="preserve">"Awaiting Response" tracking with statutory response windows</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Correspondence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Direction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From</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To</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Subject</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Reference No.</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Summary</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Related Block</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Awaiting Response (Y/N)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Due Date</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Linked Document</w:t>
            </w:r>
          </w:p>
        </w:tc>
      </w:tr>
    </w:tbl>
    <w:p>
      <w:pPr>
        <w:spacing w:after="150"/>
      </w:pP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Response-due reminders; escalation as a statutory response window approaches</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Overdue PC/GNPC responses surface on the Chairman View</w:t>
      </w:r>
    </w:p>
    <w:p>
      <w:pPr>
        <w:pStyle w:val="ListParagraph"/>
        <w:numPr>
          <w:ilvl w:val="0"/>
          <w:numId w:val="2"/>
        </w:numPr>
        <w:spacing w:after="60" w:line="280"/>
      </w:pPr>
      <w:r>
        <w:rPr>
          <w:sz w:val="21"/>
          <w:szCs w:val="21"/>
        </w:rPr>
        <w:t xml:space="preserve">Full-text search returns accurate results across the correspondence history</w:t>
      </w:r>
    </w:p>
    <w:p>
      <w:pPr>
        <w:pStyle w:val="Heading3"/>
        <w:spacing w:after="100" w:before="240"/>
      </w:pPr>
      <w:r>
        <w:rPr>
          <w:b/>
          <w:bCs/>
          <w:color w:val="12324F"/>
          <w:sz w:val="22"/>
          <w:szCs w:val="22"/>
        </w:rPr>
        <w:t xml:space="preserve">5.15  Risk Register</w:t>
      </w:r>
      <w:r>
        <w:rPr>
          <w:b/>
          <w:bCs/>
          <w:i/>
          <w:iCs/>
          <w:color w:val="B8862C"/>
          <w:sz w:val="18"/>
          <w:szCs w:val="18"/>
        </w:rPr>
        <w:t xml:space="preserve">   [Innate (Basic) / Add-on (Advanced)]</w:t>
      </w:r>
    </w:p>
    <w:p>
      <w:pPr>
        <w:spacing w:after="150" w:line="300"/>
      </w:pPr>
      <w:r>
        <w:rPr>
          <w:sz w:val="21"/>
          <w:szCs w:val="21"/>
        </w:rPr>
        <w:t xml:space="preserve">Basic register (Innate) captures and scores risks with owners and mitigation status. The Advanced tier (Add-on) adds cross-report traceability, heat-mapping and trend analysis.</w:t>
      </w:r>
    </w:p>
    <w:p>
      <w:pPr>
        <w:spacing w:after="150" w:line="300"/>
      </w:pPr>
      <w:r>
        <w:rPr>
          <w:b/>
          <w:bCs/>
          <w:sz w:val="21"/>
          <w:szCs w:val="21"/>
        </w:rPr>
        <w:t xml:space="preserve">Key Features</w:t>
      </w:r>
    </w:p>
    <w:p>
      <w:pPr>
        <w:pStyle w:val="ListParagraph"/>
        <w:numPr>
          <w:ilvl w:val="0"/>
          <w:numId w:val="2"/>
        </w:numPr>
        <w:spacing w:after="60" w:line="280"/>
      </w:pPr>
      <w:r>
        <w:rPr>
          <w:sz w:val="21"/>
          <w:szCs w:val="21"/>
        </w:rPr>
        <w:t xml:space="preserve">Basic: risk description, category, likelihood, impact, score, owner, mitigation plan, status, review date</w:t>
      </w:r>
    </w:p>
    <w:p>
      <w:pPr>
        <w:pStyle w:val="ListParagraph"/>
        <w:numPr>
          <w:ilvl w:val="0"/>
          <w:numId w:val="2"/>
        </w:numPr>
        <w:spacing w:after="60" w:line="280"/>
      </w:pPr>
      <w:r>
        <w:rPr>
          <w:sz w:val="21"/>
          <w:szCs w:val="21"/>
        </w:rPr>
        <w:t xml:space="preserve">Advanced (Add-on): links a risk to related AFEs, contracts, HSE incidents, compliance items and decisions</w:t>
      </w:r>
    </w:p>
    <w:p>
      <w:pPr>
        <w:pStyle w:val="ListParagraph"/>
        <w:numPr>
          <w:ilvl w:val="0"/>
          <w:numId w:val="2"/>
        </w:numPr>
        <w:spacing w:after="60" w:line="280"/>
      </w:pPr>
      <w:r>
        <w:rPr>
          <w:sz w:val="21"/>
          <w:szCs w:val="21"/>
        </w:rPr>
        <w:t xml:space="preserve">Advanced (Add-on): risk heat-map and trend-over-time reporting</w:t>
      </w:r>
    </w:p>
    <w:p>
      <w:pPr>
        <w:spacing w:after="150" w:line="300"/>
      </w:pPr>
      <w:r>
        <w:rPr>
          <w:b/>
          <w:bCs/>
          <w:sz w:val="21"/>
          <w:szCs w:val="21"/>
        </w:rPr>
        <w:t xml:space="preserve">Key Data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 ID</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Description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Category</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Likelihood</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Impact</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 Score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Owner</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Mitigation Plan</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Status</w:t>
            </w:r>
          </w:p>
        </w:tc>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Review Date</w:t>
            </w:r>
          </w:p>
        </w:tc>
      </w:tr>
      <w:tr>
        <w:tc>
          <w:tcPr>
            <w:tcW w:type="dxa" w:w="4513"/>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Cross-linked Records (Advanced)</w:t>
            </w:r>
          </w:p>
        </w:tc>
        <w:tc>
          <w:tcPr>
            <w:tcW w:type="dxa" w:w="4513"/>
            <w:tcMar>
              <w:top w:type="dxa" w:w="80"/>
              <w:left w:type="dxa" w:w="100"/>
              <w:bottom w:type="dxa" w:w="80"/>
              <w:right w:type="dxa" w:w="100"/>
            </w:tcMar>
            <w:vAlign w:val="center"/>
          </w:tcPr>
          <w:p>
            <w:pPr>
              <w:jc w:val="left"/>
            </w:pPr>
            <w:r>
              <w:rPr>
                <w:b w:val="false"/>
                <w:bCs w:val="false"/>
                <w:color w:val="000000"/>
                <w:sz w:val="19"/>
                <w:szCs w:val="19"/>
              </w:rPr>
              <w:t xml:space="preserve"/>
            </w:r>
          </w:p>
        </w:tc>
      </w:tr>
    </w:tbl>
    <w:p>
      <w:pPr>
        <w:spacing w:after="150"/>
      </w:pPr>
    </w:p>
    <w:p>
      <w:pPr>
        <w:spacing w:after="150" w:line="300"/>
      </w:pPr>
      <w:r>
        <w:rPr>
          <w:b/>
          <w:bCs/>
          <w:sz w:val="21"/>
          <w:szCs w:val="21"/>
        </w:rPr>
        <w:t xml:space="preserve">Business Rules</w:t>
      </w:r>
    </w:p>
    <w:p>
      <w:pPr>
        <w:pStyle w:val="ListParagraph"/>
        <w:numPr>
          <w:ilvl w:val="0"/>
          <w:numId w:val="2"/>
        </w:numPr>
        <w:spacing w:after="60" w:line="280"/>
      </w:pPr>
      <w:r>
        <w:rPr>
          <w:sz w:val="21"/>
          <w:szCs w:val="21"/>
        </w:rPr>
        <w:t xml:space="preserve">Risk score is auto-calculated from likelihood × impact on a configurable matrix</w:t>
      </w:r>
    </w:p>
    <w:p>
      <w:pPr>
        <w:spacing w:after="150" w:line="300"/>
      </w:pPr>
      <w:r>
        <w:rPr>
          <w:b/>
          <w:bCs/>
          <w:sz w:val="21"/>
          <w:szCs w:val="21"/>
        </w:rPr>
        <w:t xml:space="preserve">Alerts / Notifications</w:t>
      </w:r>
    </w:p>
    <w:p>
      <w:pPr>
        <w:pStyle w:val="ListParagraph"/>
        <w:numPr>
          <w:ilvl w:val="0"/>
          <w:numId w:val="2"/>
        </w:numPr>
        <w:spacing w:after="60" w:line="280"/>
      </w:pPr>
      <w:r>
        <w:rPr>
          <w:sz w:val="21"/>
          <w:szCs w:val="21"/>
        </w:rPr>
        <w:t xml:space="preserve">Review-date reminder</w:t>
      </w:r>
    </w:p>
    <w:p>
      <w:pPr>
        <w:pStyle w:val="ListParagraph"/>
        <w:numPr>
          <w:ilvl w:val="0"/>
          <w:numId w:val="2"/>
        </w:numPr>
        <w:spacing w:after="60" w:line="280"/>
      </w:pPr>
      <w:r>
        <w:rPr>
          <w:sz w:val="21"/>
          <w:szCs w:val="21"/>
        </w:rPr>
        <w:t xml:space="preserve">Escalation when a risk score crosses into the 'high' band</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Basic register is available to all Phase 1 users</w:t>
      </w:r>
    </w:p>
    <w:p>
      <w:pPr>
        <w:pStyle w:val="ListParagraph"/>
        <w:numPr>
          <w:ilvl w:val="0"/>
          <w:numId w:val="2"/>
        </w:numPr>
        <w:spacing w:after="60" w:line="280"/>
      </w:pPr>
      <w:r>
        <w:rPr>
          <w:sz w:val="21"/>
          <w:szCs w:val="21"/>
        </w:rPr>
        <w:t xml:space="preserve">Advanced cross-traceability correctly links risk records bidirectionally when enabled</w:t>
      </w:r>
    </w:p>
    <w:p>
      <w:pPr>
        <w:pStyle w:val="Heading1"/>
        <w:pBdr>
          <w:bottom w:val="single" w:color="12324F" w:sz="6" w:space="4"/>
        </w:pBdr>
        <w:spacing w:after="200" w:before="400"/>
      </w:pPr>
      <w:r>
        <w:rPr>
          <w:b/>
          <w:bCs/>
          <w:color w:val="12324F"/>
          <w:sz w:val="30"/>
          <w:szCs w:val="30"/>
        </w:rPr>
        <w:t xml:space="preserve">6. Chairman View / Executive Dashboard</w:t>
      </w:r>
    </w:p>
    <w:p>
      <w:pPr>
        <w:spacing w:after="150" w:line="300"/>
      </w:pPr>
      <w:r>
        <w:rPr>
          <w:sz w:val="21"/>
          <w:szCs w:val="21"/>
        </w:rPr>
        <w:t xml:space="preserve">The Chairman View is a dedicated, read-only executive portal that consolidates the entire system into a single three-block layout, refreshed live from the same underlying data as every operational module — nothing is re-keyed for the executive summary.</w:t>
      </w:r>
    </w:p>
    <w:p>
      <w:pPr>
        <w:spacing w:after="100" w:before="2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24125"/>
                    </a:xfrm>
                    <a:prstGeom prst="rect">
                      <a:avLst/>
                    </a:prstGeom>
                  </pic:spPr>
                </pic:pic>
              </a:graphicData>
            </a:graphic>
          </wp:inline>
        </w:drawing>
      </w:r>
    </w:p>
    <w:p>
      <w:pPr>
        <w:spacing w:after="300" w:before="100"/>
        <w:jc w:val="center"/>
      </w:pPr>
      <w:r>
        <w:rPr>
          <w:i/>
          <w:iCs/>
          <w:color w:val="5A6B73"/>
          <w:sz w:val="18"/>
          <w:szCs w:val="18"/>
        </w:rPr>
        <w:t xml:space="preserve">Figure 2 — Chairman View three-block consolidated layout</w:t>
      </w:r>
    </w:p>
    <w:p>
      <w:pPr>
        <w:spacing w:after="150" w:line="300"/>
      </w:pPr>
      <w:r>
        <w:rPr>
          <w:b/>
          <w:bCs/>
          <w:sz w:val="21"/>
          <w:szCs w:val="21"/>
        </w:rPr>
        <w:t xml:space="preserve">Block A — Countdown &amp; Deadlines</w:t>
      </w:r>
    </w:p>
    <w:p>
      <w:pPr>
        <w:pStyle w:val="ListParagraph"/>
        <w:numPr>
          <w:ilvl w:val="0"/>
          <w:numId w:val="2"/>
        </w:numPr>
        <w:spacing w:after="60" w:line="280"/>
      </w:pPr>
      <w:r>
        <w:rPr>
          <w:sz w:val="21"/>
          <w:szCs w:val="21"/>
        </w:rPr>
        <w:t xml:space="preserve">Licence phase countdowns per block</w:t>
      </w:r>
    </w:p>
    <w:p>
      <w:pPr>
        <w:pStyle w:val="ListParagraph"/>
        <w:numPr>
          <w:ilvl w:val="0"/>
          <w:numId w:val="2"/>
        </w:numPr>
        <w:spacing w:after="60" w:line="280"/>
      </w:pPr>
      <w:r>
        <w:rPr>
          <w:sz w:val="21"/>
          <w:szCs w:val="21"/>
        </w:rPr>
        <w:t xml:space="preserve">Statutory payment deadlines from the Compliance Tracker</w:t>
      </w:r>
    </w:p>
    <w:p>
      <w:pPr>
        <w:pStyle w:val="ListParagraph"/>
        <w:numPr>
          <w:ilvl w:val="0"/>
          <w:numId w:val="2"/>
        </w:numPr>
        <w:spacing w:after="60" w:line="280"/>
      </w:pPr>
      <w:r>
        <w:rPr>
          <w:sz w:val="21"/>
          <w:szCs w:val="21"/>
        </w:rPr>
        <w:t xml:space="preserve">Contract expiry alerts</w:t>
      </w:r>
    </w:p>
    <w:p>
      <w:pPr>
        <w:pStyle w:val="ListParagraph"/>
        <w:numPr>
          <w:ilvl w:val="0"/>
          <w:numId w:val="2"/>
        </w:numPr>
        <w:spacing w:after="60" w:line="280"/>
      </w:pPr>
      <w:r>
        <w:rPr>
          <w:sz w:val="21"/>
          <w:szCs w:val="21"/>
        </w:rPr>
        <w:t xml:space="preserve">Colour-coded urgency (Red / Amber / Green)</w:t>
      </w:r>
    </w:p>
    <w:p>
      <w:pPr>
        <w:spacing w:after="150" w:line="300"/>
      </w:pPr>
      <w:r>
        <w:rPr>
          <w:b/>
          <w:bCs/>
          <w:sz w:val="21"/>
          <w:szCs w:val="21"/>
        </w:rPr>
        <w:t xml:space="preserve">Block B — Progress &amp; Status</w:t>
      </w:r>
    </w:p>
    <w:p>
      <w:pPr>
        <w:pStyle w:val="ListParagraph"/>
        <w:numPr>
          <w:ilvl w:val="0"/>
          <w:numId w:val="2"/>
        </w:numPr>
        <w:spacing w:after="60" w:line="280"/>
      </w:pPr>
      <w:r>
        <w:rPr>
          <w:sz w:val="21"/>
          <w:szCs w:val="21"/>
        </w:rPr>
        <w:t xml:space="preserve">Work programme progress vs. plan</w:t>
      </w:r>
    </w:p>
    <w:p>
      <w:pPr>
        <w:pStyle w:val="ListParagraph"/>
        <w:numPr>
          <w:ilvl w:val="0"/>
          <w:numId w:val="2"/>
        </w:numPr>
        <w:spacing w:after="60" w:line="280"/>
      </w:pPr>
      <w:r>
        <w:rPr>
          <w:sz w:val="21"/>
          <w:szCs w:val="21"/>
        </w:rPr>
        <w:t xml:space="preserve">Budget vs. actual (AFE) position</w:t>
      </w:r>
    </w:p>
    <w:p>
      <w:pPr>
        <w:pStyle w:val="ListParagraph"/>
        <w:numPr>
          <w:ilvl w:val="0"/>
          <w:numId w:val="2"/>
        </w:numPr>
        <w:spacing w:after="60" w:line="280"/>
      </w:pPr>
      <w:r>
        <w:rPr>
          <w:sz w:val="21"/>
          <w:szCs w:val="21"/>
        </w:rPr>
        <w:t xml:space="preserve">Task completion overview across the organisation</w:t>
      </w:r>
    </w:p>
    <w:p>
      <w:pPr>
        <w:pStyle w:val="ListParagraph"/>
        <w:numPr>
          <w:ilvl w:val="0"/>
          <w:numId w:val="2"/>
        </w:numPr>
        <w:spacing w:after="60" w:line="280"/>
      </w:pPr>
      <w:r>
        <w:rPr>
          <w:sz w:val="21"/>
          <w:szCs w:val="21"/>
        </w:rPr>
        <w:t xml:space="preserve">Open risks, decisions pending and compliance status summary</w:t>
      </w:r>
    </w:p>
    <w:p>
      <w:pPr>
        <w:spacing w:after="150" w:line="300"/>
      </w:pPr>
      <w:r>
        <w:rPr>
          <w:b/>
          <w:bCs/>
          <w:sz w:val="21"/>
          <w:szCs w:val="21"/>
        </w:rPr>
        <w:t xml:space="preserve">Block C — One-Click Summary</w:t>
      </w:r>
    </w:p>
    <w:p>
      <w:pPr>
        <w:pStyle w:val="ListParagraph"/>
        <w:numPr>
          <w:ilvl w:val="0"/>
          <w:numId w:val="2"/>
        </w:numPr>
        <w:spacing w:after="60" w:line="280"/>
      </w:pPr>
      <w:r>
        <w:rPr>
          <w:sz w:val="21"/>
          <w:szCs w:val="21"/>
        </w:rPr>
        <w:t xml:space="preserve">Auto-generated executive summary report, no manual compilation required</w:t>
      </w:r>
    </w:p>
    <w:p>
      <w:pPr>
        <w:pStyle w:val="ListParagraph"/>
        <w:numPr>
          <w:ilvl w:val="0"/>
          <w:numId w:val="2"/>
        </w:numPr>
        <w:spacing w:after="60" w:line="280"/>
      </w:pPr>
      <w:r>
        <w:rPr>
          <w:sz w:val="21"/>
          <w:szCs w:val="21"/>
        </w:rPr>
        <w:t xml:space="preserve">One-click export to PDF or PowerPoint for board packs</w:t>
      </w:r>
    </w:p>
    <w:p>
      <w:pPr>
        <w:pStyle w:val="ListParagraph"/>
        <w:numPr>
          <w:ilvl w:val="0"/>
          <w:numId w:val="2"/>
        </w:numPr>
        <w:spacing w:after="60" w:line="280"/>
      </w:pPr>
      <w:r>
        <w:rPr>
          <w:sz w:val="21"/>
          <w:szCs w:val="21"/>
        </w:rPr>
        <w:t xml:space="preserve">Every figure in the export is drillable back to its source record when viewed on-screen</w:t>
      </w:r>
    </w:p>
    <w:p>
      <w:pPr>
        <w:pStyle w:val="ListParagraph"/>
        <w:numPr>
          <w:ilvl w:val="0"/>
          <w:numId w:val="2"/>
        </w:numPr>
        <w:spacing w:after="60" w:line="280"/>
      </w:pPr>
      <w:r>
        <w:rPr>
          <w:sz w:val="21"/>
          <w:szCs w:val="21"/>
        </w:rPr>
        <w:t xml:space="preserve">Each export is date-stamped, versioned and archived for later reference</w:t>
      </w:r>
    </w:p>
    <w:p>
      <w:pPr>
        <w:spacing w:after="150" w:line="300"/>
      </w:pPr>
      <w:r>
        <w:rPr>
          <w:b/>
          <w:bCs/>
          <w:sz w:val="21"/>
          <w:szCs w:val="21"/>
        </w:rPr>
        <w:t xml:space="preserve">Acceptance Criteria</w:t>
      </w:r>
    </w:p>
    <w:p>
      <w:pPr>
        <w:pStyle w:val="ListParagraph"/>
        <w:numPr>
          <w:ilvl w:val="0"/>
          <w:numId w:val="2"/>
        </w:numPr>
        <w:spacing w:after="60" w:line="280"/>
      </w:pPr>
      <w:r>
        <w:rPr>
          <w:sz w:val="21"/>
          <w:szCs w:val="21"/>
        </w:rPr>
        <w:t xml:space="preserve">Chairman View reflects data no more than 15 minutes old (or live, if architecture allows)</w:t>
      </w:r>
    </w:p>
    <w:p>
      <w:pPr>
        <w:pStyle w:val="ListParagraph"/>
        <w:numPr>
          <w:ilvl w:val="0"/>
          <w:numId w:val="2"/>
        </w:numPr>
        <w:spacing w:after="60" w:line="280"/>
      </w:pPr>
      <w:r>
        <w:rPr>
          <w:sz w:val="21"/>
          <w:szCs w:val="21"/>
        </w:rPr>
        <w:t xml:space="preserve">One-click export completes in under 30 seconds and matches on-screen figures exactly</w:t>
      </w:r>
    </w:p>
    <w:p>
      <w:pPr>
        <w:pStyle w:val="ListParagraph"/>
        <w:numPr>
          <w:ilvl w:val="0"/>
          <w:numId w:val="2"/>
        </w:numPr>
        <w:spacing w:after="60" w:line="280"/>
      </w:pPr>
      <w:r>
        <w:rPr>
          <w:sz w:val="21"/>
          <w:szCs w:val="21"/>
        </w:rPr>
        <w:t xml:space="preserve">Access to the Chairman View is restricted to the Chairman/Board role and any explicitly delegated executives</w:t>
      </w:r>
    </w:p>
    <w:p>
      <w:r>
        <w:br w:type="page"/>
      </w:r>
    </w:p>
    <w:p>
      <w:pPr>
        <w:pStyle w:val="Heading1"/>
        <w:pBdr>
          <w:bottom w:val="single" w:color="12324F" w:sz="6" w:space="4"/>
        </w:pBdr>
        <w:spacing w:after="200" w:before="400"/>
      </w:pPr>
      <w:r>
        <w:rPr>
          <w:b/>
          <w:bCs/>
          <w:color w:val="12324F"/>
          <w:sz w:val="30"/>
          <w:szCs w:val="30"/>
        </w:rPr>
        <w:t xml:space="preserve">7. Functional Requirements — Add-on Modules (Phase 2)</w:t>
      </w:r>
    </w:p>
    <w:p>
      <w:pPr>
        <w:spacing w:after="150" w:line="300"/>
      </w:pPr>
      <w:r>
        <w:rPr>
          <w:sz w:val="21"/>
          <w:szCs w:val="21"/>
        </w:rPr>
        <w:t xml:space="preserve">These oil &amp; gas specialist and governance modules extend the core platform in Phase 2. Each shares the same underlying notification, audit, document and dashboard services described in Sections 3, 5.4, 5.5 and 5.8 — they are additive feature sets, not separate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shd w:fill="12324F" w:color="auto"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3800"/>
            <w:shd w:fill="12324F" w:color="auto"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3226"/>
            <w:shd w:fill="12324F" w:color="auto" w:val="clear"/>
            <w:tcMar>
              <w:top w:type="dxa" w:w="80"/>
              <w:left w:type="dxa" w:w="100"/>
              <w:bottom w:type="dxa" w:w="80"/>
              <w:right w:type="dxa" w:w="100"/>
            </w:tcMar>
            <w:vAlign w:val="center"/>
          </w:tcPr>
          <w:p>
            <w:pPr>
              <w:jc w:val="left"/>
            </w:pPr>
            <w:r>
              <w:rPr>
                <w:b/>
                <w:bCs/>
                <w:color w:val="FFFFFF"/>
                <w:sz w:val="19"/>
                <w:szCs w:val="19"/>
              </w:rPr>
              <w:t xml:space="preserve">Key Data Fields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Reserves &amp; Resources Tracker</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Tracks reserve/resource category, volume, evaluator and estimate date, always paired with its source.</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Category (1P/2P/3P/Contingent/Prospective), Volume, Block, Source of Estimate, Estimate Date, Evaluator</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HSE Register</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Logs incidents, near-misses and safety audits with root cause and corrective action tracking.</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Incident/Near-Miss ID, Date, Location, Severity, Description, Root Cause, Corrective Action, Audit Schedule, Status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Local Content Tracking (Ghanaian metrics)</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Tracks Ghanaian participation metrics against the Petroleum (Local Content and Local Participation) Regulations.</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Local Employment %, Local Procurement Value, Ghanaian Equity Participation, Plan vs. Actual, Reporting Period</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Daily Drilling Report</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Standard daily drilling report per well, including non-productive time (NPT) and HSE flags.</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Well, Date, Depth, Operations Summary, NPT, Mud Parameters, Personnel on Board, HSE Incidents, Next 24h Plan</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Daily Geological Report</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Standard daily geological report per well.</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Well, Date, Formation Tops, Lithology, Shows, Samples Taken, Geologist Remarks</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NDA &amp; Data Room Tracker</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Tracks NDAs and virtual data room access for due diligence / farm-out processes.</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Counterparty, NDA Effective/Expiry Date, Data Room Access List, Documents Shared, Confidentiality Obligations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Assumptions Matrix</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Live, versioned register of key planning assumptions with row-level ownership and confidence rating.</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Assumption ID, Description, Category, Owner, Version, Confidence Level, Impact if Invalid, Last Reviewed</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Insurance Register</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Tracks all insurance policies, coverage and claims history.</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Policy No., Type (Property/Liability/Well Control/etc.), Insurer, Coverage Amount, Premium, Effective/Expiry Date, Claims History</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Partner / BD Pipeline</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Tracks business development and farm-in/farm-out opportunities through each pipeline stage.</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Opportunity, Counterparty, Stage (Prospect/NDA/Due Diligence/Negotiation/Closed), Value, Probability, Next Action, Owner</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Forex &amp; Banking Workflow</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Manages waiver, guarantee and Letter of Credit (LC) requests through the bank approval chain.</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Request Type, Bank, Amount, Currency, Status, Approval Chain, Supporting Documents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Vendor Payment Aging</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Tracks outstanding vendor invoices by aging bucket for cash-flow and vendor-relationship management.</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Vendor, Invoice No., Amount, Due Date, Days Overdue, Aging Bucket (0-30/31-60/61-90/90+), Status</w:t>
            </w:r>
          </w:p>
        </w:tc>
      </w:tr>
      <w:tr>
        <w:tc>
          <w:tcPr>
            <w:tcW w:type="dxa" w:w="20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Environmental Permit Tracker</w:t>
            </w:r>
          </w:p>
        </w:tc>
        <w:tc>
          <w:tcPr>
            <w:tcW w:type="dxa" w:w="3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Tracks environmental permits, conditions and compliance status.</w:t>
            </w:r>
          </w:p>
        </w:tc>
        <w:tc>
          <w:tcPr>
            <w:tcW w:type="dxa" w:w="3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Permit Type, Issuing Authority, Issue/Expiry Date, Conditions, Compliance Status</w:t>
            </w:r>
          </w:p>
        </w:tc>
      </w:tr>
      <w:tr>
        <w:tc>
          <w:tcPr>
            <w:tcW w:type="dxa" w:w="2000"/>
            <w:tcMar>
              <w:top w:type="dxa" w:w="80"/>
              <w:left w:type="dxa" w:w="100"/>
              <w:bottom w:type="dxa" w:w="80"/>
              <w:right w:type="dxa" w:w="100"/>
            </w:tcMar>
            <w:vAlign w:val="center"/>
          </w:tcPr>
          <w:p>
            <w:pPr>
              <w:jc w:val="left"/>
            </w:pPr>
            <w:r>
              <w:rPr>
                <w:b w:val="false"/>
                <w:bCs w:val="false"/>
                <w:color w:val="000000"/>
                <w:sz w:val="19"/>
                <w:szCs w:val="19"/>
              </w:rPr>
              <w:t xml:space="preserve">CSR Commitments Tracker</w:t>
            </w:r>
          </w:p>
        </w:tc>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Tracks corporate social responsibility commitments to communities and stakeholders.</w:t>
            </w:r>
          </w:p>
        </w:tc>
        <w:tc>
          <w:tcPr>
            <w:tcW w:type="dxa" w:w="3226"/>
            <w:tcMar>
              <w:top w:type="dxa" w:w="80"/>
              <w:left w:type="dxa" w:w="100"/>
              <w:bottom w:type="dxa" w:w="80"/>
              <w:right w:type="dxa" w:w="100"/>
            </w:tcMar>
            <w:vAlign w:val="center"/>
          </w:tcPr>
          <w:p>
            <w:pPr>
              <w:jc w:val="left"/>
            </w:pPr>
            <w:r>
              <w:rPr>
                <w:b w:val="false"/>
                <w:bCs w:val="false"/>
                <w:color w:val="000000"/>
                <w:sz w:val="19"/>
                <w:szCs w:val="19"/>
              </w:rPr>
              <w:t xml:space="preserve">Commitment, Community/Stakeholder, Committed Value, Disbursed, Status, Reporting Period</w:t>
            </w:r>
          </w:p>
        </w:tc>
      </w:tr>
    </w:tbl>
    <w:p>
      <w:pPr>
        <w:spacing w:after="150" w:line="300"/>
      </w:pPr>
      <w:r>
        <w:rPr>
          <w:sz w:val="21"/>
          <w:szCs w:val="21"/>
        </w:rPr>
        <w:t xml:space="preserve">Each add-on module follows the same development pattern as the core modules: a register/log with structured fields, role-based access, linkage into the audit log and document repository, configurable alerts on due dates/thresholds, and a dashboard tile with drill-down. The development team should confirm field-level detail for each with the relevant functional owner (e.g. HSE Officer for the HSE Register) during Phase 2 discovery.</w:t>
      </w:r>
    </w:p>
    <w:p>
      <w:pPr>
        <w:pStyle w:val="Heading1"/>
        <w:pBdr>
          <w:bottom w:val="single" w:color="12324F" w:sz="6" w:space="4"/>
        </w:pBdr>
        <w:spacing w:after="200" w:before="400"/>
      </w:pPr>
      <w:r>
        <w:rPr>
          <w:b/>
          <w:bCs/>
          <w:color w:val="12324F"/>
          <w:sz w:val="30"/>
          <w:szCs w:val="30"/>
        </w:rP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2324F"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6626"/>
            <w:shd w:fill="12324F" w:color="auto" w:val="clear"/>
            <w:tcMar>
              <w:top w:type="dxa" w:w="80"/>
              <w:left w:type="dxa" w:w="100"/>
              <w:bottom w:type="dxa" w:w="80"/>
              <w:right w:type="dxa" w:w="100"/>
            </w:tcMar>
            <w:vAlign w:val="center"/>
          </w:tcPr>
          <w:p>
            <w:pPr>
              <w:jc w:val="left"/>
            </w:pPr>
            <w:r>
              <w:rPr>
                <w:b/>
                <w:bCs/>
                <w:color w:val="FFFFFF"/>
                <w:sz w:val="19"/>
                <w:szCs w:val="19"/>
              </w:rPr>
              <w:t xml:space="preserve">Requirement</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Performance</w:t>
            </w:r>
          </w:p>
        </w:tc>
        <w:tc>
          <w:tcPr>
            <w:tcW w:type="dxa" w:w="6626"/>
            <w:tcMar>
              <w:top w:type="dxa" w:w="80"/>
              <w:left w:type="dxa" w:w="100"/>
              <w:bottom w:type="dxa" w:w="80"/>
              <w:right w:type="dxa" w:w="100"/>
            </w:tcMar>
            <w:vAlign w:val="center"/>
          </w:tcPr>
          <w:p>
            <w:pPr>
              <w:jc w:val="left"/>
            </w:pPr>
            <w:r>
              <w:rPr>
                <w:b w:val="false"/>
                <w:bCs w:val="false"/>
                <w:color w:val="000000"/>
                <w:sz w:val="19"/>
                <w:szCs w:val="19"/>
              </w:rPr>
              <w:t xml:space="preserve">Standard pages/dashboards load in under 3 seconds under expected concurrent load (baseline: 100 concurrent users)</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Security</w:t>
            </w:r>
          </w:p>
        </w:tc>
        <w:tc>
          <w:tcPr>
            <w:tcW w:type="dxa" w:w="6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Role-based access control enforced at the API layer; encryption in transit (TLS 1.2+) and at rest; password policy and optional MFA</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Scalability</w:t>
            </w:r>
          </w:p>
        </w:tc>
        <w:tc>
          <w:tcPr>
            <w:tcW w:type="dxa" w:w="6626"/>
            <w:tcMar>
              <w:top w:type="dxa" w:w="80"/>
              <w:left w:type="dxa" w:w="100"/>
              <w:bottom w:type="dxa" w:w="80"/>
              <w:right w:type="dxa" w:w="100"/>
            </w:tcMar>
            <w:vAlign w:val="center"/>
          </w:tcPr>
          <w:p>
            <w:pPr>
              <w:jc w:val="left"/>
            </w:pPr>
            <w:r>
              <w:rPr>
                <w:b w:val="false"/>
                <w:bCs w:val="false"/>
                <w:color w:val="000000"/>
                <w:sz w:val="19"/>
                <w:szCs w:val="19"/>
              </w:rPr>
              <w:t xml:space="preserve">Architecture must support growth from a single block/project to a multi-asset portfolio without redesign</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Availability</w:t>
            </w:r>
          </w:p>
        </w:tc>
        <w:tc>
          <w:tcPr>
            <w:tcW w:type="dxa" w:w="6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Target uptime 99.5% during business hours; scheduled maintenance windows communicated in advance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Backup &amp; DR</w:t>
            </w:r>
          </w:p>
        </w:tc>
        <w:tc>
          <w:tcPr>
            <w:tcW w:type="dxa" w:w="6626"/>
            <w:tcMar>
              <w:top w:type="dxa" w:w="80"/>
              <w:left w:type="dxa" w:w="100"/>
              <w:bottom w:type="dxa" w:w="80"/>
              <w:right w:type="dxa" w:w="100"/>
            </w:tcMar>
            <w:vAlign w:val="center"/>
          </w:tcPr>
          <w:p>
            <w:pPr>
              <w:jc w:val="left"/>
            </w:pPr>
            <w:r>
              <w:rPr>
                <w:b w:val="false"/>
                <w:bCs w:val="false"/>
                <w:color w:val="000000"/>
                <w:sz w:val="19"/>
                <w:szCs w:val="19"/>
              </w:rPr>
              <w:t xml:space="preserve">Daily automated backups; documented recovery point/time objectives (RPO/RTO)</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Usability</w:t>
            </w:r>
          </w:p>
        </w:tc>
        <w:tc>
          <w:tcPr>
            <w:tcW w:type="dxa" w:w="6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Consistent navigation across modules; mobile-responsive for the Activity Tracker and Chairman View at minimum</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Data Protection</w:t>
            </w:r>
          </w:p>
        </w:tc>
        <w:tc>
          <w:tcPr>
            <w:tcW w:type="dxa" w:w="6626"/>
            <w:tcMar>
              <w:top w:type="dxa" w:w="80"/>
              <w:left w:type="dxa" w:w="100"/>
              <w:bottom w:type="dxa" w:w="80"/>
              <w:right w:type="dxa" w:w="100"/>
            </w:tcMar>
            <w:vAlign w:val="center"/>
          </w:tcPr>
          <w:p>
            <w:pPr>
              <w:jc w:val="left"/>
            </w:pPr>
            <w:r>
              <w:rPr>
                <w:b w:val="false"/>
                <w:bCs w:val="false"/>
                <w:color w:val="000000"/>
                <w:sz w:val="19"/>
                <w:szCs w:val="19"/>
              </w:rPr>
              <w:t xml:space="preserve">Compliance with Ghana's Data Protection Act, 2012 (Act 843) and any applicable data-residency requirements</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Auditability</w:t>
            </w:r>
          </w:p>
        </w:tc>
        <w:tc>
          <w:tcPr>
            <w:tcW w:type="dxa" w:w="6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Every state-changing action logged per Section 5.4, with logs immutable and independently exportable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Browser / Device Support</w:t>
            </w:r>
          </w:p>
        </w:tc>
        <w:tc>
          <w:tcPr>
            <w:tcW w:type="dxa" w:w="6626"/>
            <w:tcMar>
              <w:top w:type="dxa" w:w="80"/>
              <w:left w:type="dxa" w:w="100"/>
              <w:bottom w:type="dxa" w:w="80"/>
              <w:right w:type="dxa" w:w="100"/>
            </w:tcMar>
            <w:vAlign w:val="center"/>
          </w:tcPr>
          <w:p>
            <w:pPr>
              <w:jc w:val="left"/>
            </w:pPr>
            <w:r>
              <w:rPr>
                <w:b w:val="false"/>
                <w:bCs w:val="false"/>
                <w:color w:val="000000"/>
                <w:sz w:val="19"/>
                <w:szCs w:val="19"/>
              </w:rPr>
              <w:t xml:space="preserve">Latest two versions of Chrome, Edge, Safari; responsive down to tablet width; native or hybrid mobile app for pop-ups</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Localisation</w:t>
            </w:r>
          </w:p>
        </w:tc>
        <w:tc>
          <w:tcPr>
            <w:tcW w:type="dxa" w:w="66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Multi-currency support (GHS, USD) with a configurable base reporting currency</w:t>
            </w:r>
          </w:p>
        </w:tc>
      </w:tr>
    </w:tbl>
    <w:p>
      <w:pPr>
        <w:pStyle w:val="Heading1"/>
        <w:pBdr>
          <w:bottom w:val="single" w:color="12324F" w:sz="6" w:space="4"/>
        </w:pBdr>
        <w:spacing w:after="200" w:before="400"/>
      </w:pPr>
      <w:r>
        <w:rPr>
          <w:b/>
          <w:bCs/>
          <w:color w:val="12324F"/>
          <w:sz w:val="30"/>
          <w:szCs w:val="30"/>
        </w:rPr>
        <w:t xml:space="preserve">9. Data Model Overview</w:t>
      </w:r>
    </w:p>
    <w:p>
      <w:pPr>
        <w:spacing w:after="150" w:line="300"/>
      </w:pPr>
      <w:r>
        <w:rPr>
          <w:sz w:val="21"/>
          <w:szCs w:val="21"/>
        </w:rPr>
        <w:t xml:space="preserve">The data model below identifies the key entities and their principal relationships. It is indicative — the development team should formalise this into a full entity-relationship diagram (ERD) during technical design, but the relationships shown are what make cross-module drill-down and the Chairman View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shd w:fill="12324F" w:color="auto" w:val="clear"/>
            <w:tcMar>
              <w:top w:type="dxa" w:w="80"/>
              <w:left w:type="dxa" w:w="100"/>
              <w:bottom w:type="dxa" w:w="80"/>
              <w:right w:type="dxa" w:w="100"/>
            </w:tcMar>
            <w:vAlign w:val="center"/>
          </w:tcPr>
          <w:p>
            <w:pPr>
              <w:jc w:val="left"/>
            </w:pPr>
            <w:r>
              <w:rPr>
                <w:b/>
                <w:bCs/>
                <w:color w:val="FFFFFF"/>
                <w:sz w:val="19"/>
                <w:szCs w:val="19"/>
              </w:rPr>
              <w:t xml:space="preserve">Entity</w:t>
            </w:r>
          </w:p>
        </w:tc>
        <w:tc>
          <w:tcPr>
            <w:tcW w:type="dxa" w:w="3500"/>
            <w:shd w:fill="12324F" w:color="auto" w:val="clear"/>
            <w:tcMar>
              <w:top w:type="dxa" w:w="80"/>
              <w:left w:type="dxa" w:w="100"/>
              <w:bottom w:type="dxa" w:w="80"/>
              <w:right w:type="dxa" w:w="100"/>
            </w:tcMar>
            <w:vAlign w:val="center"/>
          </w:tcPr>
          <w:p>
            <w:pPr>
              <w:jc w:val="left"/>
            </w:pPr>
            <w:r>
              <w:rPr>
                <w:b/>
                <w:bCs/>
                <w:color w:val="FFFFFF"/>
                <w:sz w:val="19"/>
                <w:szCs w:val="19"/>
              </w:rPr>
              <w:t xml:space="preserve">Key Attributes</w:t>
            </w:r>
          </w:p>
        </w:tc>
        <w:tc>
          <w:tcPr>
            <w:tcW w:type="dxa" w:w="3126"/>
            <w:shd w:fill="12324F" w:color="auto" w:val="clear"/>
            <w:tcMar>
              <w:top w:type="dxa" w:w="80"/>
              <w:left w:type="dxa" w:w="100"/>
              <w:bottom w:type="dxa" w:w="80"/>
              <w:right w:type="dxa" w:w="100"/>
            </w:tcMar>
            <w:vAlign w:val="center"/>
          </w:tcPr>
          <w:p>
            <w:pPr>
              <w:jc w:val="left"/>
            </w:pPr>
            <w:r>
              <w:rPr>
                <w:b/>
                <w:bCs/>
                <w:color w:val="FFFFFF"/>
                <w:sz w:val="19"/>
                <w:szCs w:val="19"/>
              </w:rPr>
              <w:t xml:space="preserve">Related Entities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Organisation / Team Member</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Employee ID, Name, Role, Reporting Manager, Status</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Tasks, Activities, Documents, Decisions</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 / Licence</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 Name, Licence No., Phase, Operator/Partner Split</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AFE, Contracts, Compliance, Correspondence, Reports</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Task</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Task ID, Owner, Status, % Complete, Due Date</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Project/Block, Activity, Comments</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Activity</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Activity ID, Milestone, Due Date, Status</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Task, Document, Compliance Item</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Document</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Document ID, Version, Category, Status</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Block/Project, Contract, Correspondence</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 ID, Counterparty, Expiry Date</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Block, AFE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AFE</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AFE No., Authorised/Actual Amount, Status</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Block/Well, Budget Line, Vendor Payment</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Budget Line</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Line ID, Category, Approved/Actual</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Block, AFE</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Compliance Obligation</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Obligation ID, Due Date, Status</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Block, Payment, Evidence Document</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Correspondence</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Correspondence ID, Direction, Status</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Block, Decision</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Decision</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Decision ID, Date, Decision Maker</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Task, Risk, Correspondence</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 ID, Score, Owner, Status</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AFE, Contract, HSE Incident, Decision (Advanced)</w:t>
            </w:r>
          </w:p>
        </w:tc>
      </w:tr>
      <w:tr>
        <w:tc>
          <w:tcPr>
            <w:tcW w:type="dxa" w:w="2400"/>
            <w:tcMar>
              <w:top w:type="dxa" w:w="80"/>
              <w:left w:type="dxa" w:w="100"/>
              <w:bottom w:type="dxa" w:w="80"/>
              <w:right w:type="dxa" w:w="100"/>
            </w:tcMar>
            <w:vAlign w:val="center"/>
          </w:tcPr>
          <w:p>
            <w:pPr>
              <w:jc w:val="left"/>
            </w:pPr>
            <w:r>
              <w:rPr>
                <w:b w:val="false"/>
                <w:bCs w:val="false"/>
                <w:color w:val="000000"/>
                <w:sz w:val="19"/>
                <w:szCs w:val="19"/>
              </w:rPr>
              <w:t xml:space="preserve">Notification</w:t>
            </w:r>
          </w:p>
        </w:tc>
        <w:tc>
          <w:tcPr>
            <w:tcW w:type="dxa" w:w="3500"/>
            <w:tcMar>
              <w:top w:type="dxa" w:w="80"/>
              <w:left w:type="dxa" w:w="100"/>
              <w:bottom w:type="dxa" w:w="80"/>
              <w:right w:type="dxa" w:w="100"/>
            </w:tcMar>
            <w:vAlign w:val="center"/>
          </w:tcPr>
          <w:p>
            <w:pPr>
              <w:jc w:val="left"/>
            </w:pPr>
            <w:r>
              <w:rPr>
                <w:b w:val="false"/>
                <w:bCs w:val="false"/>
                <w:color w:val="000000"/>
                <w:sz w:val="19"/>
                <w:szCs w:val="19"/>
              </w:rPr>
              <w:t xml:space="preserve">Notification ID, Channel, Trigger, Status</w:t>
            </w:r>
          </w:p>
        </w:tc>
        <w:tc>
          <w:tcPr>
            <w:tcW w:type="dxa" w:w="3126"/>
            <w:tcMar>
              <w:top w:type="dxa" w:w="80"/>
              <w:left w:type="dxa" w:w="100"/>
              <w:bottom w:type="dxa" w:w="80"/>
              <w:right w:type="dxa" w:w="100"/>
            </w:tcMar>
            <w:vAlign w:val="center"/>
          </w:tcPr>
          <w:p>
            <w:pPr>
              <w:jc w:val="left"/>
            </w:pPr>
            <w:r>
              <w:rPr>
                <w:b w:val="false"/>
                <w:bCs w:val="false"/>
                <w:color w:val="000000"/>
                <w:sz w:val="19"/>
                <w:szCs w:val="19"/>
              </w:rPr>
              <w:t xml:space="preserve">Any entity with a due date or threshold</w:t>
            </w:r>
          </w:p>
        </w:tc>
      </w:tr>
      <w:tr>
        <w:tc>
          <w:tcPr>
            <w:tcW w:type="dxa" w:w="2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Audit Log Entry</w:t>
            </w:r>
          </w:p>
        </w:tc>
        <w:tc>
          <w:tcPr>
            <w:tcW w:type="dxa" w:w="3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Log ID, Timestamp, User, Action</w:t>
            </w:r>
          </w:p>
        </w:tc>
        <w:tc>
          <w:tcPr>
            <w:tcW w:type="dxa" w:w="31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Every entity in the system</w:t>
            </w:r>
          </w:p>
        </w:tc>
      </w:tr>
    </w:tbl>
    <w:p>
      <w:pPr>
        <w:pStyle w:val="Heading1"/>
        <w:pBdr>
          <w:bottom w:val="single" w:color="12324F" w:sz="6" w:space="4"/>
        </w:pBdr>
        <w:spacing w:after="200" w:before="400"/>
      </w:pPr>
      <w:r>
        <w:rPr>
          <w:b/>
          <w:bCs/>
          <w:color w:val="12324F"/>
          <w:sz w:val="30"/>
          <w:szCs w:val="30"/>
        </w:rPr>
        <w:t xml:space="preserve">10. Notification &amp; Alert Engine — Detailed Specification</w:t>
      </w:r>
    </w:p>
    <w:p>
      <w:pPr>
        <w:spacing w:after="150" w:line="300"/>
      </w:pPr>
      <w:r>
        <w:rPr>
          <w:sz w:val="21"/>
          <w:szCs w:val="21"/>
        </w:rPr>
        <w:t xml:space="preserve">A single, shared notification engine services every module rather than each module building its own reminder logic. This is what allows the Activity Tracker pop-ups, compliance reminders, contract expiry alerts and licence countdowns to behave consistently and be centrally configured.</w:t>
      </w:r>
    </w:p>
    <w:p>
      <w:pPr>
        <w:spacing w:after="150" w:line="300"/>
      </w:pPr>
      <w:r>
        <w:rPr>
          <w:b/>
          <w:bCs/>
          <w:sz w:val="21"/>
          <w:szCs w:val="21"/>
        </w:rPr>
        <w:t xml:space="preserve">10.1 Trigger Types</w:t>
      </w:r>
    </w:p>
    <w:p>
      <w:pPr>
        <w:pStyle w:val="ListParagraph"/>
        <w:numPr>
          <w:ilvl w:val="0"/>
          <w:numId w:val="2"/>
        </w:numPr>
        <w:spacing w:after="60" w:line="280"/>
      </w:pPr>
      <w:r>
        <w:rPr>
          <w:sz w:val="21"/>
          <w:szCs w:val="21"/>
        </w:rPr>
        <w:t xml:space="preserve">Date-based: a due date, expiry date or deadline approaching (configurable lead time, e.g. 90/60/30 days)</w:t>
      </w:r>
    </w:p>
    <w:p>
      <w:pPr>
        <w:pStyle w:val="ListParagraph"/>
        <w:numPr>
          <w:ilvl w:val="0"/>
          <w:numId w:val="2"/>
        </w:numPr>
        <w:spacing w:after="60" w:line="280"/>
      </w:pPr>
      <w:r>
        <w:rPr>
          <w:sz w:val="21"/>
          <w:szCs w:val="21"/>
        </w:rPr>
        <w:t xml:space="preserve">Threshold-based: a numeric value crossing a limit (e.g. AFE utilisation at 80%, budget variance beyond 10%)</w:t>
      </w:r>
    </w:p>
    <w:p>
      <w:pPr>
        <w:pStyle w:val="ListParagraph"/>
        <w:numPr>
          <w:ilvl w:val="0"/>
          <w:numId w:val="2"/>
        </w:numPr>
        <w:spacing w:after="60" w:line="280"/>
      </w:pPr>
      <w:r>
        <w:rPr>
          <w:sz w:val="21"/>
          <w:szCs w:val="21"/>
        </w:rPr>
        <w:t xml:space="preserve">Status-based: an item entering a specific state (e.g. "Overdue", "Awaiting Response")</w:t>
      </w:r>
    </w:p>
    <w:p>
      <w:pPr>
        <w:pStyle w:val="ListParagraph"/>
        <w:numPr>
          <w:ilvl w:val="0"/>
          <w:numId w:val="2"/>
        </w:numPr>
        <w:spacing w:after="60" w:line="280"/>
      </w:pPr>
      <w:r>
        <w:rPr>
          <w:sz w:val="21"/>
          <w:szCs w:val="21"/>
        </w:rPr>
        <w:t xml:space="preserve">Recurring: repeat reminders until an item is marked complete or acknowledged</w:t>
      </w:r>
    </w:p>
    <w:p>
      <w:pPr>
        <w:spacing w:after="150" w:line="300"/>
      </w:pPr>
      <w:r>
        <w:rPr>
          <w:b/>
          <w:bCs/>
          <w:sz w:val="21"/>
          <w:szCs w:val="21"/>
        </w:rPr>
        <w:t xml:space="preserve">10.2 Channels</w:t>
      </w:r>
    </w:p>
    <w:p>
      <w:pPr>
        <w:pStyle w:val="ListParagraph"/>
        <w:numPr>
          <w:ilvl w:val="0"/>
          <w:numId w:val="2"/>
        </w:numPr>
        <w:spacing w:after="60" w:line="280"/>
      </w:pPr>
      <w:r>
        <w:rPr>
          <w:sz w:val="21"/>
          <w:szCs w:val="21"/>
        </w:rPr>
        <w:t xml:space="preserve">In-app pop-up / modal (mandatory acknowledgement for Critical items)</w:t>
      </w:r>
    </w:p>
    <w:p>
      <w:pPr>
        <w:pStyle w:val="ListParagraph"/>
        <w:numPr>
          <w:ilvl w:val="0"/>
          <w:numId w:val="2"/>
        </w:numPr>
        <w:spacing w:after="60" w:line="280"/>
      </w:pPr>
      <w:r>
        <w:rPr>
          <w:sz w:val="21"/>
          <w:szCs w:val="21"/>
        </w:rPr>
        <w:t xml:space="preserve">Email (individual alert or daily/weekly digest, user-configurable)</w:t>
      </w:r>
    </w:p>
    <w:p>
      <w:pPr>
        <w:pStyle w:val="ListParagraph"/>
        <w:numPr>
          <w:ilvl w:val="0"/>
          <w:numId w:val="2"/>
        </w:numPr>
        <w:spacing w:after="60" w:line="280"/>
      </w:pPr>
      <w:r>
        <w:rPr>
          <w:sz w:val="21"/>
          <w:szCs w:val="21"/>
        </w:rPr>
        <w:t xml:space="preserve">Optional SMS for Critical, time-sensitive items</w:t>
      </w:r>
    </w:p>
    <w:p>
      <w:pPr>
        <w:spacing w:after="150" w:line="300"/>
      </w:pPr>
      <w:r>
        <w:rPr>
          <w:b/>
          <w:bCs/>
          <w:sz w:val="21"/>
          <w:szCs w:val="21"/>
        </w:rPr>
        <w:t xml:space="preserve">10.3 Escalation &amp; Snooze Logic</w:t>
      </w:r>
    </w:p>
    <w:p>
      <w:pPr>
        <w:pStyle w:val="ListParagraph"/>
        <w:numPr>
          <w:ilvl w:val="0"/>
          <w:numId w:val="2"/>
        </w:numPr>
        <w:spacing w:after="60" w:line="280"/>
      </w:pPr>
      <w:r>
        <w:rPr>
          <w:sz w:val="21"/>
          <w:szCs w:val="21"/>
        </w:rPr>
        <w:t xml:space="preserve">Every alert type has a configurable escalation path (e.g. to line manager after a grace period)</w:t>
      </w:r>
    </w:p>
    <w:p>
      <w:pPr>
        <w:pStyle w:val="ListParagraph"/>
        <w:numPr>
          <w:ilvl w:val="0"/>
          <w:numId w:val="2"/>
        </w:numPr>
        <w:spacing w:after="60" w:line="280"/>
      </w:pPr>
      <w:r>
        <w:rPr>
          <w:sz w:val="21"/>
          <w:szCs w:val="21"/>
        </w:rPr>
        <w:t xml:space="preserve">Snoozing or dismissing an alert requires a reason where the item is flagged Critical, and is always logged to the audit trail</w:t>
      </w:r>
    </w:p>
    <w:p>
      <w:pPr>
        <w:pStyle w:val="ListParagraph"/>
        <w:numPr>
          <w:ilvl w:val="0"/>
          <w:numId w:val="2"/>
        </w:numPr>
        <w:spacing w:after="60" w:line="280"/>
      </w:pPr>
      <w:r>
        <w:rPr>
          <w:sz w:val="21"/>
          <w:szCs w:val="21"/>
        </w:rPr>
        <w:t xml:space="preserve">Escalated alerts are flagged distinctly on the recipient's dashboard so they are not lost among routine reminders</w:t>
      </w:r>
    </w:p>
    <w:p>
      <w:pPr>
        <w:spacing w:after="150" w:line="300"/>
      </w:pPr>
      <w:r>
        <w:rPr>
          <w:b/>
          <w:bCs/>
          <w:sz w:val="21"/>
          <w:szCs w:val="21"/>
        </w:rPr>
        <w:t xml:space="preserve">10.4 Administration</w:t>
      </w:r>
    </w:p>
    <w:p>
      <w:pPr>
        <w:pStyle w:val="ListParagraph"/>
        <w:numPr>
          <w:ilvl w:val="0"/>
          <w:numId w:val="2"/>
        </w:numPr>
        <w:spacing w:after="60" w:line="280"/>
      </w:pPr>
      <w:r>
        <w:rPr>
          <w:sz w:val="21"/>
          <w:szCs w:val="21"/>
        </w:rPr>
        <w:t xml:space="preserve">Admin can configure default lead times, escalation grace periods and channel preferences per module, without a code change</w:t>
      </w:r>
    </w:p>
    <w:p>
      <w:pPr>
        <w:pStyle w:val="ListParagraph"/>
        <w:numPr>
          <w:ilvl w:val="0"/>
          <w:numId w:val="2"/>
        </w:numPr>
        <w:spacing w:after="60" w:line="280"/>
      </w:pPr>
      <w:r>
        <w:rPr>
          <w:sz w:val="21"/>
          <w:szCs w:val="21"/>
        </w:rPr>
        <w:t xml:space="preserve">Users can set personal notification preferences within limits set by Admin (e.g. cannot disable Critical in-app pop-ups)</w:t>
      </w:r>
    </w:p>
    <w:p>
      <w:pPr>
        <w:pStyle w:val="Heading1"/>
        <w:pBdr>
          <w:bottom w:val="single" w:color="12324F" w:sz="6" w:space="4"/>
        </w:pBdr>
        <w:spacing w:after="200" w:before="400"/>
      </w:pPr>
      <w:r>
        <w:rPr>
          <w:b/>
          <w:bCs/>
          <w:color w:val="12324F"/>
          <w:sz w:val="30"/>
          <w:szCs w:val="30"/>
        </w:rPr>
        <w:t xml:space="preserve">11. Reporting &amp; Dashboard Specification</w:t>
      </w:r>
    </w:p>
    <w:p>
      <w:pPr>
        <w:spacing w:after="150" w:line="300"/>
      </w:pPr>
      <w:r>
        <w:rPr>
          <w:b/>
          <w:bCs/>
          <w:sz w:val="21"/>
          <w:szCs w:val="21"/>
        </w:rPr>
        <w:t xml:space="preserve">11.1 Standard KPI Set (indicative, per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2324F" w:color="auto"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6426"/>
            <w:shd w:fill="12324F" w:color="auto" w:val="clear"/>
            <w:tcMar>
              <w:top w:type="dxa" w:w="80"/>
              <w:left w:type="dxa" w:w="100"/>
              <w:bottom w:type="dxa" w:w="80"/>
              <w:right w:type="dxa" w:w="100"/>
            </w:tcMar>
            <w:vAlign w:val="center"/>
          </w:tcPr>
          <w:p>
            <w:pPr>
              <w:jc w:val="left"/>
            </w:pPr>
            <w:r>
              <w:rPr>
                <w:b/>
                <w:bCs/>
                <w:color w:val="FFFFFF"/>
                <w:sz w:val="19"/>
                <w:szCs w:val="19"/>
              </w:rPr>
              <w:t xml:space="preserve">Example KPIs</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Activity Tracker</w:t>
            </w:r>
          </w:p>
        </w:tc>
        <w:tc>
          <w:tcPr>
            <w:tcW w:type="dxa" w:w="6426"/>
            <w:tcMar>
              <w:top w:type="dxa" w:w="80"/>
              <w:left w:type="dxa" w:w="100"/>
              <w:bottom w:type="dxa" w:w="80"/>
              <w:right w:type="dxa" w:w="100"/>
            </w:tcMar>
            <w:vAlign w:val="center"/>
          </w:tcPr>
          <w:p>
            <w:pPr>
              <w:jc w:val="left"/>
            </w:pPr>
            <w:r>
              <w:rPr>
                <w:b w:val="false"/>
                <w:bCs w:val="false"/>
                <w:color w:val="000000"/>
                <w:sz w:val="19"/>
                <w:szCs w:val="19"/>
              </w:rPr>
              <w:t xml:space="preserve">Open activities, overdue count, days to next critical milestone</w:t>
            </w:r>
          </w:p>
        </w:tc>
      </w:tr>
      <w:tr>
        <w:tc>
          <w:tcPr>
            <w:tcW w:type="dxa" w:w="2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Task Management</w:t>
            </w:r>
          </w:p>
        </w:tc>
        <w:tc>
          <w:tcPr>
            <w:tcW w:type="dxa" w:w="6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 tasks on track, overdue tasks by owner, workload distribution</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Work Programme &amp; Budget</w:t>
            </w:r>
          </w:p>
        </w:tc>
        <w:tc>
          <w:tcPr>
            <w:tcW w:type="dxa" w:w="6426"/>
            <w:tcMar>
              <w:top w:type="dxa" w:w="80"/>
              <w:left w:type="dxa" w:w="100"/>
              <w:bottom w:type="dxa" w:w="80"/>
              <w:right w:type="dxa" w:w="100"/>
            </w:tcMar>
            <w:vAlign w:val="center"/>
          </w:tcPr>
          <w:p>
            <w:pPr>
              <w:jc w:val="left"/>
            </w:pPr>
            <w:r>
              <w:rPr>
                <w:b w:val="false"/>
                <w:bCs w:val="false"/>
                <w:color w:val="000000"/>
                <w:sz w:val="19"/>
                <w:szCs w:val="19"/>
              </w:rPr>
              <w:t xml:space="preserve">Budget utilisation %, variance by category, planned vs. actual timeline</w:t>
            </w:r>
          </w:p>
        </w:tc>
      </w:tr>
      <w:tr>
        <w:tc>
          <w:tcPr>
            <w:tcW w:type="dxa" w:w="2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Compliance Tracker</w:t>
            </w:r>
          </w:p>
        </w:tc>
        <w:tc>
          <w:tcPr>
            <w:tcW w:type="dxa" w:w="6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Obligations due in 30 days, overdue obligations, payment status</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AFE Tracking</w:t>
            </w:r>
          </w:p>
        </w:tc>
        <w:tc>
          <w:tcPr>
            <w:tcW w:type="dxa" w:w="6426"/>
            <w:tcMar>
              <w:top w:type="dxa" w:w="80"/>
              <w:left w:type="dxa" w:w="100"/>
              <w:bottom w:type="dxa" w:w="80"/>
              <w:right w:type="dxa" w:w="100"/>
            </w:tcMar>
            <w:vAlign w:val="center"/>
          </w:tcPr>
          <w:p>
            <w:pPr>
              <w:jc w:val="left"/>
            </w:pPr>
            <w:r>
              <w:rPr>
                <w:b w:val="false"/>
                <w:bCs w:val="false"/>
                <w:color w:val="000000"/>
                <w:sz w:val="19"/>
                <w:szCs w:val="19"/>
              </w:rPr>
              <w:t xml:space="preserve">AFE utilisation %, top variances, supplementary AFE count</w:t>
            </w:r>
          </w:p>
        </w:tc>
      </w:tr>
      <w:tr>
        <w:tc>
          <w:tcPr>
            <w:tcW w:type="dxa" w:w="2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 Register</w:t>
            </w:r>
          </w:p>
        </w:tc>
        <w:tc>
          <w:tcPr>
            <w:tcW w:type="dxa" w:w="6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Contracts expiring in 90 days, total contract value by counterparty</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Risk Register</w:t>
            </w:r>
          </w:p>
        </w:tc>
        <w:tc>
          <w:tcPr>
            <w:tcW w:type="dxa" w:w="6426"/>
            <w:tcMar>
              <w:top w:type="dxa" w:w="80"/>
              <w:left w:type="dxa" w:w="100"/>
              <w:bottom w:type="dxa" w:w="80"/>
              <w:right w:type="dxa" w:w="100"/>
            </w:tcMar>
            <w:vAlign w:val="center"/>
          </w:tcPr>
          <w:p>
            <w:pPr>
              <w:jc w:val="left"/>
            </w:pPr>
            <w:r>
              <w:rPr>
                <w:b w:val="false"/>
                <w:bCs w:val="false"/>
                <w:color w:val="000000"/>
                <w:sz w:val="19"/>
                <w:szCs w:val="19"/>
              </w:rPr>
              <w:t xml:space="preserve">Open risks by severity band, risks overdue for review</w:t>
            </w:r>
          </w:p>
        </w:tc>
      </w:tr>
    </w:tbl>
    <w:p>
      <w:pPr>
        <w:spacing w:after="150" w:line="300"/>
      </w:pPr>
      <w:r>
        <w:rPr>
          <w:b/>
          <w:bCs/>
          <w:sz w:val="21"/>
          <w:szCs w:val="21"/>
        </w:rPr>
        <w:t xml:space="preserve">11.2 Drill-down Flow (example)</w:t>
      </w:r>
    </w:p>
    <w:p>
      <w:pPr>
        <w:spacing w:after="150" w:line="300"/>
      </w:pPr>
      <w:r>
        <w:rPr>
          <w:sz w:val="21"/>
          <w:szCs w:val="21"/>
        </w:rPr>
        <w:t xml:space="preserve">A Chairman viewing Block B ("Progress &amp; Status") sees Budget Utilisation at 87% for Block X. Clicking the figure opens the Work Programme &amp; Budget Tracker filtered to Block X, showing each line item. Clicking a specific line opens its full transaction history, including the underlying AFE, vendor payments and any linked documents. Every level of this chain uses the same live data — there is no separate, manually maintained "reporting" copy.</w:t>
      </w:r>
    </w:p>
    <w:p>
      <w:pPr>
        <w:spacing w:after="150" w:line="300"/>
      </w:pPr>
      <w:r>
        <w:rPr>
          <w:b/>
          <w:bCs/>
          <w:sz w:val="21"/>
          <w:szCs w:val="21"/>
        </w:rPr>
        <w:t xml:space="preserve">11.3 Export &amp; Distribution</w:t>
      </w:r>
    </w:p>
    <w:p>
      <w:pPr>
        <w:pStyle w:val="ListParagraph"/>
        <w:numPr>
          <w:ilvl w:val="0"/>
          <w:numId w:val="2"/>
        </w:numPr>
        <w:spacing w:after="60" w:line="280"/>
      </w:pPr>
      <w:r>
        <w:rPr>
          <w:sz w:val="21"/>
          <w:szCs w:val="21"/>
        </w:rPr>
        <w:t xml:space="preserve">PDF, Excel and PowerPoint export from any dashboard or the Chairman View</w:t>
      </w:r>
    </w:p>
    <w:p>
      <w:pPr>
        <w:pStyle w:val="ListParagraph"/>
        <w:numPr>
          <w:ilvl w:val="0"/>
          <w:numId w:val="2"/>
        </w:numPr>
        <w:spacing w:after="60" w:line="280"/>
      </w:pPr>
      <w:r>
        <w:rPr>
          <w:sz w:val="21"/>
          <w:szCs w:val="21"/>
        </w:rPr>
        <w:t xml:space="preserve">Scheduled report emailing (e.g. weekly operations summary to the leadership team)</w:t>
      </w:r>
    </w:p>
    <w:p>
      <w:pPr>
        <w:pStyle w:val="ListParagraph"/>
        <w:numPr>
          <w:ilvl w:val="0"/>
          <w:numId w:val="2"/>
        </w:numPr>
        <w:spacing w:after="60" w:line="280"/>
      </w:pPr>
      <w:r>
        <w:rPr>
          <w:sz w:val="21"/>
          <w:szCs w:val="21"/>
        </w:rPr>
        <w:t xml:space="preserve">Saved / shareable dashboard views per user or role</w:t>
      </w:r>
    </w:p>
    <w:p>
      <w:pPr>
        <w:pStyle w:val="Heading1"/>
        <w:pBdr>
          <w:bottom w:val="single" w:color="12324F" w:sz="6" w:space="4"/>
        </w:pBdr>
        <w:spacing w:after="200" w:before="400"/>
      </w:pPr>
      <w:r>
        <w:rPr>
          <w:b/>
          <w:bCs/>
          <w:color w:val="12324F"/>
          <w:sz w:val="30"/>
          <w:szCs w:val="30"/>
        </w:rPr>
        <w:t xml:space="preserve">12. Integration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1926"/>
      </w:tblGrid>
      <w:tr>
        <w:trPr>
          <w:tblHeader/>
        </w:trPr>
        <w:tc>
          <w:tcPr>
            <w:tcW w:type="dxa" w:w="2600"/>
            <w:shd w:fill="12324F" w:color="auto" w:val="clear"/>
            <w:tcMar>
              <w:top w:type="dxa" w:w="80"/>
              <w:left w:type="dxa" w:w="100"/>
              <w:bottom w:type="dxa" w:w="80"/>
              <w:right w:type="dxa" w:w="100"/>
            </w:tcMar>
            <w:vAlign w:val="center"/>
          </w:tcPr>
          <w:p>
            <w:pPr>
              <w:jc w:val="left"/>
            </w:pPr>
            <w:r>
              <w:rPr>
                <w:b/>
                <w:bCs/>
                <w:color w:val="FFFFFF"/>
                <w:sz w:val="19"/>
                <w:szCs w:val="19"/>
              </w:rPr>
              <w:t xml:space="preserve">Integration</w:t>
            </w:r>
          </w:p>
        </w:tc>
        <w:tc>
          <w:tcPr>
            <w:tcW w:type="dxa" w:w="4500"/>
            <w:shd w:fill="12324F" w:color="auto"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1926"/>
            <w:shd w:fill="12324F" w:color="auto" w:val="clear"/>
            <w:tcMar>
              <w:top w:type="dxa" w:w="80"/>
              <w:left w:type="dxa" w:w="100"/>
              <w:bottom w:type="dxa" w:w="80"/>
              <w:right w:type="dxa" w:w="100"/>
            </w:tcMar>
            <w:vAlign w:val="center"/>
          </w:tcPr>
          <w:p>
            <w:pPr>
              <w:jc w:val="left"/>
            </w:pPr>
            <w:r>
              <w:rPr>
                <w:b/>
                <w:bCs/>
                <w:color w:val="FFFFFF"/>
                <w:sz w:val="19"/>
                <w:szCs w:val="19"/>
              </w:rPr>
              <w:t xml:space="preserve">Priority</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Corporate email / SMTP</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Outbound email alerts and digests</w:t>
            </w:r>
          </w:p>
        </w:tc>
        <w:tc>
          <w:tcPr>
            <w:tcW w:type="dxa" w:w="1926"/>
            <w:tcMar>
              <w:top w:type="dxa" w:w="80"/>
              <w:left w:type="dxa" w:w="100"/>
              <w:bottom w:type="dxa" w:w="80"/>
              <w:right w:type="dxa" w:w="100"/>
            </w:tcMar>
            <w:vAlign w:val="center"/>
          </w:tcPr>
          <w:p>
            <w:pPr>
              <w:jc w:val="left"/>
            </w:pPr>
            <w:r>
              <w:rPr>
                <w:b w:val="false"/>
                <w:bCs w:val="false"/>
                <w:color w:val="000000"/>
                <w:sz w:val="19"/>
                <w:szCs w:val="19"/>
              </w:rPr>
              <w:t xml:space="preserve">Phase 1 — required</w:t>
            </w:r>
          </w:p>
        </w:tc>
      </w:tr>
      <w:tr>
        <w:tc>
          <w:tcPr>
            <w:tcW w:type="dxa" w:w="2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Calendar (Outlook / Google)</w:t>
            </w:r>
          </w:p>
        </w:tc>
        <w:tc>
          <w:tcPr>
            <w:tcW w:type="dxa" w:w="4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Sync activity due dates and deadlines to personal calendars</w:t>
            </w:r>
          </w:p>
        </w:tc>
        <w:tc>
          <w:tcPr>
            <w:tcW w:type="dxa" w:w="19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Phase 1 — recommended</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SSO / Active Directory</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Centralised authentication and user provisioning</w:t>
            </w:r>
          </w:p>
        </w:tc>
        <w:tc>
          <w:tcPr>
            <w:tcW w:type="dxa" w:w="1926"/>
            <w:tcMar>
              <w:top w:type="dxa" w:w="80"/>
              <w:left w:type="dxa" w:w="100"/>
              <w:bottom w:type="dxa" w:w="80"/>
              <w:right w:type="dxa" w:w="100"/>
            </w:tcMar>
            <w:vAlign w:val="center"/>
          </w:tcPr>
          <w:p>
            <w:pPr>
              <w:jc w:val="left"/>
            </w:pPr>
            <w:r>
              <w:rPr>
                <w:b w:val="false"/>
                <w:bCs w:val="false"/>
                <w:color w:val="000000"/>
                <w:sz w:val="19"/>
                <w:szCs w:val="19"/>
              </w:rPr>
              <w:t xml:space="preserve">Phase 1 — recommended</w:t>
            </w:r>
          </w:p>
        </w:tc>
      </w:tr>
      <w:tr>
        <w:tc>
          <w:tcPr>
            <w:tcW w:type="dxa" w:w="2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Accounting / ERP export</w:t>
            </w:r>
          </w:p>
        </w:tc>
        <w:tc>
          <w:tcPr>
            <w:tcW w:type="dxa" w:w="45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Optional export of budget/AFE actuals for finance reconciliation</w:t>
            </w:r>
          </w:p>
        </w:tc>
        <w:tc>
          <w:tcPr>
            <w:tcW w:type="dxa" w:w="19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Phase 2 — optional</w:t>
            </w:r>
          </w:p>
        </w:tc>
      </w:tr>
      <w:tr>
        <w:tc>
          <w:tcPr>
            <w:tcW w:type="dxa" w:w="2600"/>
            <w:tcMar>
              <w:top w:type="dxa" w:w="80"/>
              <w:left w:type="dxa" w:w="100"/>
              <w:bottom w:type="dxa" w:w="80"/>
              <w:right w:type="dxa" w:w="100"/>
            </w:tcMar>
            <w:vAlign w:val="center"/>
          </w:tcPr>
          <w:p>
            <w:pPr>
              <w:jc w:val="left"/>
            </w:pPr>
            <w:r>
              <w:rPr>
                <w:b w:val="false"/>
                <w:bCs w:val="false"/>
                <w:color w:val="000000"/>
                <w:sz w:val="19"/>
                <w:szCs w:val="19"/>
              </w:rPr>
              <w:t xml:space="preserve">E-signature (e.g. DocuSign)</w:t>
            </w:r>
          </w:p>
        </w:tc>
        <w:tc>
          <w:tcPr>
            <w:tcW w:type="dxa" w:w="4500"/>
            <w:tcMar>
              <w:top w:type="dxa" w:w="80"/>
              <w:left w:type="dxa" w:w="100"/>
              <w:bottom w:type="dxa" w:w="80"/>
              <w:right w:type="dxa" w:w="100"/>
            </w:tcMar>
            <w:vAlign w:val="center"/>
          </w:tcPr>
          <w:p>
            <w:pPr>
              <w:jc w:val="left"/>
            </w:pPr>
            <w:r>
              <w:rPr>
                <w:b w:val="false"/>
                <w:bCs w:val="false"/>
                <w:color w:val="000000"/>
                <w:sz w:val="19"/>
                <w:szCs w:val="19"/>
              </w:rPr>
              <w:t xml:space="preserve">Optional signing workflow for contracts/letters</w:t>
            </w:r>
          </w:p>
        </w:tc>
        <w:tc>
          <w:tcPr>
            <w:tcW w:type="dxa" w:w="1926"/>
            <w:tcMar>
              <w:top w:type="dxa" w:w="80"/>
              <w:left w:type="dxa" w:w="100"/>
              <w:bottom w:type="dxa" w:w="80"/>
              <w:right w:type="dxa" w:w="100"/>
            </w:tcMar>
            <w:vAlign w:val="center"/>
          </w:tcPr>
          <w:p>
            <w:pPr>
              <w:jc w:val="left"/>
            </w:pPr>
            <w:r>
              <w:rPr>
                <w:b w:val="false"/>
                <w:bCs w:val="false"/>
                <w:color w:val="000000"/>
                <w:sz w:val="19"/>
                <w:szCs w:val="19"/>
              </w:rPr>
              <w:t xml:space="preserve">Phase 2 — optional</w:t>
            </w:r>
          </w:p>
        </w:tc>
      </w:tr>
    </w:tbl>
    <w:p>
      <w:pPr>
        <w:pStyle w:val="Heading1"/>
        <w:pBdr>
          <w:bottom w:val="single" w:color="12324F" w:sz="6" w:space="4"/>
        </w:pBdr>
        <w:spacing w:after="200" w:before="400"/>
      </w:pPr>
      <w:r>
        <w:rPr>
          <w:b/>
          <w:bCs/>
          <w:color w:val="12324F"/>
          <w:sz w:val="30"/>
          <w:szCs w:val="30"/>
        </w:rPr>
        <w:t xml:space="preserve">13. Security &amp; Access Control</w:t>
      </w:r>
    </w:p>
    <w:p>
      <w:pPr>
        <w:pStyle w:val="ListParagraph"/>
        <w:numPr>
          <w:ilvl w:val="0"/>
          <w:numId w:val="2"/>
        </w:numPr>
        <w:spacing w:after="60" w:line="280"/>
      </w:pPr>
      <w:r>
        <w:rPr>
          <w:sz w:val="21"/>
          <w:szCs w:val="21"/>
        </w:rPr>
        <w:t xml:space="preserve">Role-Based Access Control per the matrix in Section 4, enforced at API and UI layers</w:t>
      </w:r>
    </w:p>
    <w:p>
      <w:pPr>
        <w:pStyle w:val="ListParagraph"/>
        <w:numPr>
          <w:ilvl w:val="0"/>
          <w:numId w:val="2"/>
        </w:numPr>
        <w:spacing w:after="60" w:line="280"/>
      </w:pPr>
      <w:r>
        <w:rPr>
          <w:sz w:val="21"/>
          <w:szCs w:val="21"/>
        </w:rPr>
        <w:t xml:space="preserve">Encryption in transit (TLS 1.2+) and at rest for the database and document store</w:t>
      </w:r>
    </w:p>
    <w:p>
      <w:pPr>
        <w:pStyle w:val="ListParagraph"/>
        <w:numPr>
          <w:ilvl w:val="0"/>
          <w:numId w:val="2"/>
        </w:numPr>
        <w:spacing w:after="60" w:line="280"/>
      </w:pPr>
      <w:r>
        <w:rPr>
          <w:sz w:val="21"/>
          <w:szCs w:val="21"/>
        </w:rPr>
        <w:t xml:space="preserve">Optional multi-factor authentication (MFA), recommended for Finance, Legal and Chairman roles</w:t>
      </w:r>
    </w:p>
    <w:p>
      <w:pPr>
        <w:pStyle w:val="ListParagraph"/>
        <w:numPr>
          <w:ilvl w:val="0"/>
          <w:numId w:val="2"/>
        </w:numPr>
        <w:spacing w:after="60" w:line="280"/>
      </w:pPr>
      <w:r>
        <w:rPr>
          <w:sz w:val="21"/>
          <w:szCs w:val="21"/>
        </w:rPr>
        <w:t xml:space="preserve">Document-level and folder-level permissions in addition to module-level RBAC (Section 5.5)</w:t>
      </w:r>
    </w:p>
    <w:p>
      <w:pPr>
        <w:pStyle w:val="ListParagraph"/>
        <w:numPr>
          <w:ilvl w:val="0"/>
          <w:numId w:val="2"/>
        </w:numPr>
        <w:spacing w:after="60" w:line="280"/>
      </w:pPr>
      <w:r>
        <w:rPr>
          <w:sz w:val="21"/>
          <w:szCs w:val="21"/>
        </w:rPr>
        <w:t xml:space="preserve">Full audit trail of access and changes per Section 5.4, independently exportable for external audit</w:t>
      </w:r>
    </w:p>
    <w:p>
      <w:pPr>
        <w:pStyle w:val="ListParagraph"/>
        <w:numPr>
          <w:ilvl w:val="0"/>
          <w:numId w:val="2"/>
        </w:numPr>
        <w:spacing w:after="60" w:line="280"/>
      </w:pPr>
      <w:r>
        <w:rPr>
          <w:sz w:val="21"/>
          <w:szCs w:val="21"/>
        </w:rPr>
        <w:t xml:space="preserve">Data residency and hosting location to be confirmed against Ghanaian regulatory and data protection requirements</w:t>
      </w:r>
    </w:p>
    <w:p>
      <w:r>
        <w:br w:type="page"/>
      </w:r>
    </w:p>
    <w:p>
      <w:pPr>
        <w:pStyle w:val="Heading1"/>
        <w:pBdr>
          <w:bottom w:val="single" w:color="12324F" w:sz="6" w:space="4"/>
        </w:pBdr>
        <w:spacing w:after="200" w:before="400"/>
      </w:pPr>
      <w:r>
        <w:rPr>
          <w:b/>
          <w:bCs/>
          <w:color w:val="12324F"/>
          <w:sz w:val="30"/>
          <w:szCs w:val="30"/>
        </w:rPr>
        <w:t xml:space="preserve">14. Implementation Phasing / Roadmap</w:t>
      </w:r>
    </w:p>
    <w:p>
      <w:pPr>
        <w:spacing w:after="150" w:line="300"/>
      </w:pPr>
      <w:r>
        <w:rPr>
          <w:sz w:val="21"/>
          <w:szCs w:val="21"/>
        </w:rPr>
        <w:t xml:space="preserve">Timelines are indicative and should be refined by the development team once sprint velocity is established. They assume a dedicated team of full-stack developers, one QA and one PM/BA.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300"/>
        <w:gridCol w:w="1926"/>
      </w:tblGrid>
      <w:tr>
        <w:trPr>
          <w:tblHeader/>
        </w:trPr>
        <w:tc>
          <w:tcPr>
            <w:tcW w:type="dxa" w:w="1600"/>
            <w:shd w:fill="12324F" w:color="auto"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4200"/>
            <w:shd w:fill="12324F" w:color="auto" w:val="clear"/>
            <w:tcMar>
              <w:top w:type="dxa" w:w="80"/>
              <w:left w:type="dxa" w:w="100"/>
              <w:bottom w:type="dxa" w:w="80"/>
              <w:right w:type="dxa" w:w="100"/>
            </w:tcMar>
            <w:vAlign w:val="center"/>
          </w:tcPr>
          <w:p>
            <w:pPr>
              <w:jc w:val="left"/>
            </w:pPr>
            <w:r>
              <w:rPr>
                <w:b/>
                <w:bCs/>
                <w:color w:val="FFFFFF"/>
                <w:sz w:val="19"/>
                <w:szCs w:val="19"/>
              </w:rPr>
              <w:t xml:space="preserve">Modules Covered</w:t>
            </w:r>
          </w:p>
        </w:tc>
        <w:tc>
          <w:tcPr>
            <w:tcW w:type="dxa" w:w="1300"/>
            <w:shd w:fill="12324F" w:color="auto" w:val="clear"/>
            <w:tcMar>
              <w:top w:type="dxa" w:w="80"/>
              <w:left w:type="dxa" w:w="100"/>
              <w:bottom w:type="dxa" w:w="80"/>
              <w:right w:type="dxa" w:w="100"/>
            </w:tcMar>
            <w:vAlign w:val="center"/>
          </w:tcPr>
          <w:p>
            <w:pPr>
              <w:jc w:val="left"/>
            </w:pPr>
            <w:r>
              <w:rPr>
                <w:b/>
                <w:bCs/>
                <w:color w:val="FFFFFF"/>
                <w:sz w:val="19"/>
                <w:szCs w:val="19"/>
              </w:rPr>
              <w:t xml:space="preserve">Est. Duration</w:t>
            </w:r>
          </w:p>
        </w:tc>
        <w:tc>
          <w:tcPr>
            <w:tcW w:type="dxa" w:w="1926"/>
            <w:shd w:fill="12324F" w:color="auto" w:val="clear"/>
            <w:tcMar>
              <w:top w:type="dxa" w:w="80"/>
              <w:left w:type="dxa" w:w="100"/>
              <w:bottom w:type="dxa" w:w="80"/>
              <w:right w:type="dxa" w:w="100"/>
            </w:tcMar>
            <w:vAlign w:val="center"/>
          </w:tcPr>
          <w:p>
            <w:pPr>
              <w:jc w:val="left"/>
            </w:pPr>
            <w:r>
              <w:rPr>
                <w:b/>
                <w:bCs/>
                <w:color w:val="FFFFFF"/>
                <w:sz w:val="19"/>
                <w:szCs w:val="19"/>
              </w:rPr>
              <w:t xml:space="preserve">Exit Criteria</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Phase 1 — Core / Innate Platform</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Org &amp; profiles, Activity tracker with pop-ups, Task management, Audit log, Document repository, Work programme &amp; budget tracker, Compliance tracker, Dashboards, Licence countdown, AFE tracking, Contract register, Operations update, Decision log, PC/GNPC correspondence log, Basic risk register, Notification engine, Chairman View</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4–5 months</w:t>
            </w:r>
          </w:p>
        </w:tc>
        <w:tc>
          <w:tcPr>
            <w:tcW w:type="dxa" w:w="1926"/>
            <w:tcMar>
              <w:top w:type="dxa" w:w="80"/>
              <w:left w:type="dxa" w:w="100"/>
              <w:bottom w:type="dxa" w:w="80"/>
              <w:right w:type="dxa" w:w="100"/>
            </w:tcMar>
            <w:vAlign w:val="center"/>
          </w:tcPr>
          <w:p>
            <w:pPr>
              <w:jc w:val="left"/>
            </w:pPr>
            <w:r>
              <w:rPr>
                <w:b w:val="false"/>
                <w:bCs w:val="false"/>
                <w:color w:val="000000"/>
                <w:sz w:val="19"/>
                <w:szCs w:val="19"/>
              </w:rPr>
              <w:t xml:space="preserve">MVP go-live; all originally-scoped 'innate' requirements delivered</w:t>
            </w:r>
          </w:p>
        </w:tc>
      </w:tr>
      <w:tr>
        <w:tc>
          <w:tcPr>
            <w:tcW w:type="dxa" w:w="16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Phase 2 — Oil &amp; Gas / Governance Add-ons</w:t>
            </w:r>
          </w:p>
        </w:tc>
        <w:tc>
          <w:tcPr>
            <w:tcW w:type="dxa" w:w="4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Reserves &amp; resources tracker, HSE register, Local content tracking, Daily drilling &amp; geological reports, NDA &amp; data room tracker, Assumptions matrix, Insurance register, Advanced risk register, Partner/BD pipeline, Forex &amp; banking workflow, Vendor payment aging, Environmental permit tracker, CSR tracker</w:t>
            </w:r>
          </w:p>
        </w:tc>
        <w:tc>
          <w:tcPr>
            <w:tcW w:type="dxa" w:w="13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3–4 months</w:t>
            </w:r>
          </w:p>
        </w:tc>
        <w:tc>
          <w:tcPr>
            <w:tcW w:type="dxa" w:w="19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Full scope delivered; system covers all specialist workflows</w:t>
            </w:r>
          </w:p>
        </w:tc>
      </w:tr>
      <w:tr>
        <w:tc>
          <w:tcPr>
            <w:tcW w:type="dxa" w:w="1600"/>
            <w:tcMar>
              <w:top w:type="dxa" w:w="80"/>
              <w:left w:type="dxa" w:w="100"/>
              <w:bottom w:type="dxa" w:w="80"/>
              <w:right w:type="dxa" w:w="100"/>
            </w:tcMar>
            <w:vAlign w:val="center"/>
          </w:tcPr>
          <w:p>
            <w:pPr>
              <w:jc w:val="left"/>
            </w:pPr>
            <w:r>
              <w:rPr>
                <w:b w:val="false"/>
                <w:bCs w:val="false"/>
                <w:color w:val="000000"/>
                <w:sz w:val="19"/>
                <w:szCs w:val="19"/>
              </w:rPr>
              <w:t xml:space="preserve">Phase 3 — Optimisation</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Performance tuning, mobile app polish, advanced analytics/BI, user feedback-driven refinements, optional integrations (accounting/ERP, e-signature)</w:t>
            </w:r>
          </w:p>
        </w:tc>
        <w:tc>
          <w:tcPr>
            <w:tcW w:type="dxa" w:w="1300"/>
            <w:tcMar>
              <w:top w:type="dxa" w:w="80"/>
              <w:left w:type="dxa" w:w="100"/>
              <w:bottom w:type="dxa" w:w="80"/>
              <w:right w:type="dxa" w:w="100"/>
            </w:tcMar>
            <w:vAlign w:val="center"/>
          </w:tcPr>
          <w:p>
            <w:pPr>
              <w:jc w:val="left"/>
            </w:pPr>
            <w:r>
              <w:rPr>
                <w:b w:val="false"/>
                <w:bCs w:val="false"/>
                <w:color w:val="000000"/>
                <w:sz w:val="19"/>
                <w:szCs w:val="19"/>
              </w:rPr>
              <w:t xml:space="preserve">Ongoing</w:t>
            </w:r>
          </w:p>
        </w:tc>
        <w:tc>
          <w:tcPr>
            <w:tcW w:type="dxa" w:w="1926"/>
            <w:tcMar>
              <w:top w:type="dxa" w:w="80"/>
              <w:left w:type="dxa" w:w="100"/>
              <w:bottom w:type="dxa" w:w="80"/>
              <w:right w:type="dxa" w:w="100"/>
            </w:tcMar>
            <w:vAlign w:val="center"/>
          </w:tcPr>
          <w:p>
            <w:pPr>
              <w:jc w:val="left"/>
            </w:pPr>
            <w:r>
              <w:rPr>
                <w:b w:val="false"/>
                <w:bCs w:val="false"/>
                <w:color w:val="000000"/>
                <w:sz w:val="19"/>
                <w:szCs w:val="19"/>
              </w:rPr>
              <w:t xml:space="preserve">Stabilised, adopted, continuously improved system</w:t>
            </w:r>
          </w:p>
        </w:tc>
      </w:tr>
    </w:tbl>
    <w:p>
      <w:pPr>
        <w:pStyle w:val="Heading1"/>
        <w:pBdr>
          <w:bottom w:val="single" w:color="12324F" w:sz="6" w:space="4"/>
        </w:pBdr>
        <w:spacing w:after="200" w:before="400"/>
      </w:pPr>
      <w:r>
        <w:rPr>
          <w:b/>
          <w:bCs/>
          <w:color w:val="12324F"/>
          <w:sz w:val="30"/>
          <w:szCs w:val="30"/>
        </w:rPr>
        <w:t xml:space="preserve">15. Assumptions &amp; Dependencies</w:t>
      </w:r>
    </w:p>
    <w:p>
      <w:pPr>
        <w:pStyle w:val="ListParagraph"/>
        <w:numPr>
          <w:ilvl w:val="0"/>
          <w:numId w:val="2"/>
        </w:numPr>
        <w:spacing w:after="60" w:line="280"/>
      </w:pPr>
      <w:r>
        <w:rPr>
          <w:sz w:val="21"/>
          <w:szCs w:val="21"/>
        </w:rPr>
        <w:t xml:space="preserve">EnQuest PetroSolutions will provide a functional owner/approver for each module during discovery and UAT</w:t>
      </w:r>
    </w:p>
    <w:p>
      <w:pPr>
        <w:pStyle w:val="ListParagraph"/>
        <w:numPr>
          <w:ilvl w:val="0"/>
          <w:numId w:val="2"/>
        </w:numPr>
        <w:spacing w:after="60" w:line="280"/>
      </w:pPr>
      <w:r>
        <w:rPr>
          <w:sz w:val="21"/>
          <w:szCs w:val="21"/>
        </w:rPr>
        <w:t xml:space="preserve">Existing organisational data (team list, block/licence register, active contracts) will be provided for initial data migration/seeding</w:t>
      </w:r>
    </w:p>
    <w:p>
      <w:pPr>
        <w:pStyle w:val="ListParagraph"/>
        <w:numPr>
          <w:ilvl w:val="0"/>
          <w:numId w:val="2"/>
        </w:numPr>
        <w:spacing w:after="60" w:line="280"/>
      </w:pPr>
      <w:r>
        <w:rPr>
          <w:sz w:val="21"/>
          <w:szCs w:val="21"/>
        </w:rPr>
        <w:t xml:space="preserve">Final decision on hosting (cloud vs. on-prem) and data residency will be confirmed before technical design sign-off</w:t>
      </w:r>
    </w:p>
    <w:p>
      <w:pPr>
        <w:pStyle w:val="ListParagraph"/>
        <w:numPr>
          <w:ilvl w:val="0"/>
          <w:numId w:val="2"/>
        </w:numPr>
        <w:spacing w:after="60" w:line="280"/>
      </w:pPr>
      <w:r>
        <w:rPr>
          <w:sz w:val="21"/>
          <w:szCs w:val="21"/>
        </w:rPr>
        <w:t xml:space="preserve">Where a requirement references a specific regulator (PC, GNPC, EPA, Ghana Revenue Authority), the correspondence/compliance tracker is designed to be regulator-agnostic and configurable, not hard-coded to one authority</w:t>
      </w:r>
    </w:p>
    <w:p>
      <w:pPr>
        <w:pStyle w:val="ListParagraph"/>
        <w:numPr>
          <w:ilvl w:val="0"/>
          <w:numId w:val="2"/>
        </w:numPr>
        <w:spacing w:after="60" w:line="280"/>
      </w:pPr>
      <w:r>
        <w:rPr>
          <w:sz w:val="21"/>
          <w:szCs w:val="21"/>
        </w:rPr>
        <w:t xml:space="preserve">Mobile app scope for Phase 1 is limited to receiving/acknowledging pop-up alerts; full feature parity on mobile is a Phase 3 consideration</w:t>
      </w:r>
    </w:p>
    <w:p>
      <w:pPr>
        <w:pStyle w:val="ListParagraph"/>
        <w:numPr>
          <w:ilvl w:val="0"/>
          <w:numId w:val="2"/>
        </w:numPr>
        <w:spacing w:after="60" w:line="280"/>
      </w:pPr>
      <w:r>
        <w:rPr>
          <w:sz w:val="21"/>
          <w:szCs w:val="21"/>
        </w:rPr>
        <w:t xml:space="preserve">User acceptance testing (UAT) will be resourced by EnQuest PetroSolutions for each phase before go-live</w:t>
      </w:r>
    </w:p>
    <w:p>
      <w:pPr>
        <w:pStyle w:val="Heading1"/>
        <w:pBdr>
          <w:bottom w:val="single" w:color="12324F" w:sz="6" w:space="4"/>
        </w:pBdr>
        <w:spacing w:after="200" w:before="400"/>
      </w:pPr>
      <w:r>
        <w:rPr>
          <w:b/>
          <w:bCs/>
          <w:color w:val="12324F"/>
          <w:sz w:val="30"/>
          <w:szCs w:val="30"/>
        </w:rPr>
        <w:t xml:space="preserve">16.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shd w:fill="12324F" w:color="auto" w:val="clear"/>
            <w:tcMar>
              <w:top w:type="dxa" w:w="80"/>
              <w:left w:type="dxa" w:w="100"/>
              <w:bottom w:type="dxa" w:w="80"/>
              <w:right w:type="dxa" w:w="100"/>
            </w:tcMar>
            <w:vAlign w:val="center"/>
          </w:tcPr>
          <w:p>
            <w:pPr>
              <w:jc w:val="left"/>
            </w:pPr>
            <w:r>
              <w:rPr>
                <w:b/>
                <w:bCs/>
                <w:color w:val="FFFFFF"/>
                <w:sz w:val="19"/>
                <w:szCs w:val="19"/>
              </w:rPr>
              <w:t xml:space="preserve">Term</w:t>
            </w:r>
          </w:p>
        </w:tc>
        <w:tc>
          <w:tcPr>
            <w:tcW w:type="dxa" w:w="7226"/>
            <w:shd w:fill="12324F" w:color="auto"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AFE</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Authorisation for Expenditure — approval document for project spend</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PC</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Petroleum Commission (Ghana) — industry regulator</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GNPC</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Ghana National Petroleum Corporation</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HSE</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Health, Safety &amp; Environment</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NDA</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Non-Disclosure Agreement</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LC</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Letter of Credit</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CSR</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Corporate Social Responsibility</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NPT</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Non-Productive Time (drilling operations)</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RBAC</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Role-Based Access Control</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JV</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Joint Venture</w:t>
            </w:r>
          </w:p>
        </w:tc>
      </w:tr>
      <w:tr>
        <w:tc>
          <w:tcPr>
            <w:tcW w:type="dxa" w:w="1800"/>
            <w:tcMar>
              <w:top w:type="dxa" w:w="80"/>
              <w:left w:type="dxa" w:w="100"/>
              <w:bottom w:type="dxa" w:w="80"/>
              <w:right w:type="dxa" w:w="100"/>
            </w:tcMar>
            <w:vAlign w:val="center"/>
          </w:tcPr>
          <w:p>
            <w:pPr>
              <w:jc w:val="left"/>
            </w:pPr>
            <w:r>
              <w:rPr>
                <w:b w:val="false"/>
                <w:bCs w:val="false"/>
                <w:color w:val="000000"/>
                <w:sz w:val="19"/>
                <w:szCs w:val="19"/>
              </w:rPr>
              <w:t xml:space="preserve">1P/2P/3P</w:t>
            </w:r>
          </w:p>
        </w:tc>
        <w:tc>
          <w:tcPr>
            <w:tcW w:type="dxa" w:w="7226"/>
            <w:tcMar>
              <w:top w:type="dxa" w:w="80"/>
              <w:left w:type="dxa" w:w="100"/>
              <w:bottom w:type="dxa" w:w="80"/>
              <w:right w:type="dxa" w:w="100"/>
            </w:tcMar>
            <w:vAlign w:val="center"/>
          </w:tcPr>
          <w:p>
            <w:pPr>
              <w:jc w:val="left"/>
            </w:pPr>
            <w:r>
              <w:rPr>
                <w:b w:val="false"/>
                <w:bCs w:val="false"/>
                <w:color w:val="000000"/>
                <w:sz w:val="19"/>
                <w:szCs w:val="19"/>
              </w:rPr>
              <w:t xml:space="preserve">Proved / Proved+Probable / Proved+Probable+Possible reserves categories</w:t>
            </w:r>
          </w:p>
        </w:tc>
      </w:tr>
      <w:tr>
        <w:tc>
          <w:tcPr>
            <w:tcW w:type="dxa" w:w="18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MVP</w:t>
            </w:r>
          </w:p>
        </w:tc>
        <w:tc>
          <w:tcPr>
            <w:tcW w:type="dxa" w:w="72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Minimum Viable Product</w:t>
            </w:r>
          </w:p>
        </w:tc>
      </w:tr>
    </w:tbl>
    <w:p>
      <w:r>
        <w:br w:type="page"/>
      </w:r>
    </w:p>
    <w:p>
      <w:pPr>
        <w:pStyle w:val="Heading1"/>
        <w:pBdr>
          <w:bottom w:val="single" w:color="12324F" w:sz="6" w:space="4"/>
        </w:pBdr>
        <w:spacing w:after="200" w:before="400"/>
      </w:pPr>
      <w:r>
        <w:rPr>
          <w:b/>
          <w:bCs/>
          <w:color w:val="12324F"/>
          <w:sz w:val="30"/>
          <w:szCs w:val="30"/>
        </w:rPr>
        <w:t xml:space="preserve">Appendix A — Requirement Traceability Checklist</w:t>
      </w:r>
    </w:p>
    <w:p>
      <w:pPr>
        <w:spacing w:after="150" w:line="300"/>
      </w:pPr>
      <w:r>
        <w:rPr>
          <w:sz w:val="21"/>
          <w:szCs w:val="21"/>
        </w:rPr>
        <w:t xml:space="preserve">This table maps every requirement from the original brief to the section of this document where it is specified, confirming full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426"/>
      </w:tblGrid>
      <w:tr>
        <w:trPr>
          <w:tblHeader/>
        </w:trPr>
        <w:tc>
          <w:tcPr>
            <w:tcW w:type="dxa" w:w="5200"/>
            <w:shd w:fill="12324F" w:color="auto" w:val="clear"/>
            <w:tcMar>
              <w:top w:type="dxa" w:w="80"/>
              <w:left w:type="dxa" w:w="100"/>
              <w:bottom w:type="dxa" w:w="80"/>
              <w:right w:type="dxa" w:w="100"/>
            </w:tcMar>
            <w:vAlign w:val="center"/>
          </w:tcPr>
          <w:p>
            <w:pPr>
              <w:jc w:val="left"/>
            </w:pPr>
            <w:r>
              <w:rPr>
                <w:b/>
                <w:bCs/>
                <w:color w:val="FFFFFF"/>
                <w:sz w:val="19"/>
                <w:szCs w:val="19"/>
              </w:rPr>
              <w:t xml:space="preserve">Original Requirement</w:t>
            </w:r>
          </w:p>
        </w:tc>
        <w:tc>
          <w:tcPr>
            <w:tcW w:type="dxa" w:w="1400"/>
            <w:shd w:fill="12324F" w:color="auto" w:val="clear"/>
            <w:tcMar>
              <w:top w:type="dxa" w:w="80"/>
              <w:left w:type="dxa" w:w="100"/>
              <w:bottom w:type="dxa" w:w="80"/>
              <w:right w:type="dxa" w:w="100"/>
            </w:tcMar>
            <w:vAlign w:val="center"/>
          </w:tcPr>
          <w:p>
            <w:pPr>
              <w:jc w:val="left"/>
            </w:pPr>
            <w:r>
              <w:rPr>
                <w:b/>
                <w:bCs/>
                <w:color w:val="FFFFFF"/>
                <w:sz w:val="19"/>
                <w:szCs w:val="19"/>
              </w:rPr>
              <w:t xml:space="preserve">Tier</w:t>
            </w:r>
          </w:p>
        </w:tc>
        <w:tc>
          <w:tcPr>
            <w:tcW w:type="dxa" w:w="2426"/>
            <w:shd w:fill="12324F" w:color="auto" w:val="clear"/>
            <w:tcMar>
              <w:top w:type="dxa" w:w="80"/>
              <w:left w:type="dxa" w:w="100"/>
              <w:bottom w:type="dxa" w:w="80"/>
              <w:right w:type="dxa" w:w="100"/>
            </w:tcMar>
            <w:vAlign w:val="center"/>
          </w:tcPr>
          <w:p>
            <w:pPr>
              <w:jc w:val="left"/>
            </w:pPr>
            <w:r>
              <w:rPr>
                <w:b/>
                <w:bCs/>
                <w:color w:val="FFFFFF"/>
                <w:sz w:val="19"/>
                <w:szCs w:val="19"/>
              </w:rPr>
              <w:t xml:space="preserve">Document Section</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Activity tracker with pop-ups until drilling</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5.2</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Task status and progress overview</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5.3</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Work allocation and accountability</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5.3</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Database for all actions on activities (audit log)</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5.4</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Source for storing contracts, letters, notices (document repository)</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5.5</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Org structure and profiles of all team members</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5.1</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Work programme and budget tracker</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5.6</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Compliance and statutory payments / action tracker</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Visual charts, filter and drill-down</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5.8</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Licence phase countdowns per block</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5.9</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AFE tracking (actuals vs. authorised)</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5.10</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Contract register with expiry/renewal alerts</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5.11</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Operations update</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5.12</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Document version control + "awaiting whose response"</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5.5</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In-built alerts (email + in-app)</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10</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Decision log</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5.13</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PC/GNPC correspondence log (searchable)</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5.14</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 register (basic)</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5.15</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Chairman view — countdown clocks, one-click summary, three-block view</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Innate</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6</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Reserves &amp; resources tracker (source + date per estimate)</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HSE register: incidents, near-misses, audits</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Local content tracking (Ghanaian metrics)</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Daily Drilling Report</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Daily Geological Report</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NDA &amp; data room tracker</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Assumptions matrix (live, versioned, row-level ownership)</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Insurance register</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Risk register — advanced cross-report traceability</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5.15 / 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Partner/BD pipeline</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Forex &amp; banking workflow (waivers, guarantees, LCs)</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Vendor payment aging</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Environmental permit tracker</w:t>
            </w:r>
          </w:p>
        </w:tc>
        <w:tc>
          <w:tcPr>
            <w:tcW w:type="dxa" w:w="1400"/>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shd w:fill="EEF3F6"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r>
      <w:tr>
        <w:tc>
          <w:tcPr>
            <w:tcW w:type="dxa" w:w="5200"/>
            <w:tcMar>
              <w:top w:type="dxa" w:w="80"/>
              <w:left w:type="dxa" w:w="100"/>
              <w:bottom w:type="dxa" w:w="80"/>
              <w:right w:type="dxa" w:w="100"/>
            </w:tcMar>
            <w:vAlign w:val="center"/>
          </w:tcPr>
          <w:p>
            <w:pPr>
              <w:jc w:val="left"/>
            </w:pPr>
            <w:r>
              <w:rPr>
                <w:b w:val="false"/>
                <w:bCs w:val="false"/>
                <w:color w:val="000000"/>
                <w:sz w:val="19"/>
                <w:szCs w:val="19"/>
              </w:rPr>
              <w:t xml:space="preserve">CSR commitments tracker</w:t>
            </w:r>
          </w:p>
        </w:tc>
        <w:tc>
          <w:tcPr>
            <w:tcW w:type="dxa" w:w="1400"/>
            <w:tcMar>
              <w:top w:type="dxa" w:w="80"/>
              <w:left w:type="dxa" w:w="100"/>
              <w:bottom w:type="dxa" w:w="80"/>
              <w:right w:type="dxa" w:w="100"/>
            </w:tcMar>
            <w:vAlign w:val="center"/>
          </w:tcPr>
          <w:p>
            <w:pPr>
              <w:jc w:val="left"/>
            </w:pPr>
            <w:r>
              <w:rPr>
                <w:b w:val="false"/>
                <w:bCs w:val="false"/>
                <w:color w:val="000000"/>
                <w:sz w:val="19"/>
                <w:szCs w:val="19"/>
              </w:rPr>
              <w:t xml:space="preserve">Add-on</w:t>
            </w:r>
          </w:p>
        </w:tc>
        <w:tc>
          <w:tcPr>
            <w:tcW w:type="dxa" w:w="2426"/>
            <w:tcMar>
              <w:top w:type="dxa" w:w="80"/>
              <w:left w:type="dxa" w:w="100"/>
              <w:bottom w:type="dxa" w:w="80"/>
              <w:right w:type="dxa" w:w="100"/>
            </w:tcMar>
            <w:vAlign w:val="center"/>
          </w:tcPr>
          <w:p>
            <w:pPr>
              <w:jc w:val="left"/>
            </w:pPr>
            <w:r>
              <w:rPr>
                <w:b w:val="false"/>
                <w:bCs w:val="false"/>
                <w:color w:val="000000"/>
                <w:sz w:val="19"/>
                <w:szCs w:val="19"/>
              </w:rPr>
              <w:t xml:space="preserve">7</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 xml:space="preserve">EnQuest PetroSolutions — Operational &amp; Project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e275e5bf35712c96d22c86c12c8993f7de8148.png"/><Relationship Id="rId10" Type="http://schemas.openxmlformats.org/officeDocument/2006/relationships/image" Target="media/d5717bed4376b84048df2fa60f65aac3d51d0d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2026-07-04T15:01:49.761Z</dcterms:created>
  <dcterms:modified xsi:type="dcterms:W3CDTF">2026-07-04T15:01:49.761Z</dcterms:modified>
</cp:coreProperties>
</file>

<file path=docProps/custom.xml><?xml version="1.0" encoding="utf-8"?>
<Properties xmlns="http://schemas.openxmlformats.org/officeDocument/2006/custom-properties" xmlns:vt="http://schemas.openxmlformats.org/officeDocument/2006/docPropsVTypes"/>
</file>