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5B8B" w14:textId="77777777" w:rsidR="006C23AC" w:rsidRPr="00B907DA" w:rsidRDefault="006C23AC" w:rsidP="006C23AC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 w:rsidRPr="00B907DA">
        <w:rPr>
          <w:rFonts w:ascii="Arial" w:eastAsia="Times New Roman" w:hAnsi="Arial" w:cs="Arial"/>
          <w:b/>
          <w:bCs/>
          <w:noProof w:val="0"/>
          <w:color w:val="000000" w:themeColor="text1"/>
          <w:kern w:val="0"/>
          <w:sz w:val="32"/>
          <w:szCs w:val="32"/>
          <w:lang w:val="it-IT" w:eastAsia="it-IT"/>
          <w14:ligatures w14:val="none"/>
        </w:rPr>
        <w:t>Peer-Review 1: UML</w:t>
      </w:r>
    </w:p>
    <w:p w14:paraId="65B7AD26" w14:textId="77777777" w:rsidR="006C23AC" w:rsidRPr="00B907DA" w:rsidRDefault="006C23AC" w:rsidP="006C23AC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Marco Andrea Brambillasca, Filippo Bertossi, Daniele Di Giorgio, Francesco Di </w:t>
      </w:r>
      <w:proofErr w:type="spellStart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Giore</w:t>
      </w:r>
      <w:proofErr w:type="spellEnd"/>
    </w:p>
    <w:p w14:paraId="527A79D9" w14:textId="77777777" w:rsidR="006C23AC" w:rsidRPr="00B907DA" w:rsidRDefault="006C23AC" w:rsidP="006C23AC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Gruppo AM 40</w:t>
      </w:r>
    </w:p>
    <w:p w14:paraId="3FA15B04" w14:textId="77777777" w:rsidR="006C23AC" w:rsidRPr="00B907DA" w:rsidRDefault="006C23AC" w:rsidP="006C23AC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Valutazione del diagramma UML delle classi del gruppo AM 03</w:t>
      </w:r>
    </w:p>
    <w:p w14:paraId="2C2D727C" w14:textId="77777777" w:rsidR="006C23AC" w:rsidRPr="00B907DA" w:rsidRDefault="006C23AC" w:rsidP="006C23AC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36"/>
          <w:sz w:val="48"/>
          <w:szCs w:val="48"/>
          <w:lang w:val="it-IT" w:eastAsia="it-IT"/>
          <w14:ligatures w14:val="none"/>
        </w:rPr>
      </w:pPr>
      <w:r w:rsidRPr="00B907DA">
        <w:rPr>
          <w:rFonts w:ascii="Arial" w:eastAsia="Times New Roman" w:hAnsi="Arial" w:cs="Arial"/>
          <w:b/>
          <w:bCs/>
          <w:noProof w:val="0"/>
          <w:color w:val="000000" w:themeColor="text1"/>
          <w:kern w:val="36"/>
          <w:sz w:val="46"/>
          <w:szCs w:val="46"/>
          <w:lang w:val="it-IT" w:eastAsia="it-IT"/>
          <w14:ligatures w14:val="none"/>
        </w:rPr>
        <w:t>Lati positivi</w:t>
      </w:r>
    </w:p>
    <w:p w14:paraId="668DC434" w14:textId="77777777" w:rsidR="006C23AC" w:rsidRPr="00B907DA" w:rsidRDefault="006C23AC" w:rsidP="006C23AC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Presenza di annotazioni utili alla comprensione e di uno schema del modello </w:t>
      </w:r>
      <w:proofErr w:type="spellStart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client-server</w:t>
      </w:r>
      <w:proofErr w:type="spellEnd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(scelta di </w:t>
      </w:r>
      <w:proofErr w:type="spellStart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thick</w:t>
      </w:r>
      <w:proofErr w:type="spellEnd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client).</w:t>
      </w:r>
    </w:p>
    <w:p w14:paraId="67ACF1D4" w14:textId="77777777" w:rsidR="006C23AC" w:rsidRPr="00B907DA" w:rsidRDefault="006C23AC" w:rsidP="006C23A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Utilizzo di una lista ordinata per il salvataggio del completamento dei Common Goal.</w:t>
      </w:r>
    </w:p>
    <w:p w14:paraId="70C64447" w14:textId="77777777" w:rsidR="006C23AC" w:rsidRPr="00B907DA" w:rsidRDefault="006C23AC" w:rsidP="006C23A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Uso del Design Pattern Strategy, sia per i Common Goal che per la scelta dinamica dell’uso di RMI o TCP.</w:t>
      </w:r>
    </w:p>
    <w:p w14:paraId="01365813" w14:textId="77777777" w:rsidR="006C23AC" w:rsidRPr="00B907DA" w:rsidRDefault="006C23AC" w:rsidP="006C23A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La scelta di avere due sottoclassi </w:t>
      </w:r>
      <w:proofErr w:type="spellStart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LivingRoom</w:t>
      </w:r>
      <w:proofErr w:type="spellEnd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e </w:t>
      </w:r>
      <w:proofErr w:type="spellStart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Shelf</w:t>
      </w:r>
      <w:proofErr w:type="spellEnd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Controller permette di dividere la gestione di metodi che riguardano la board e le </w:t>
      </w:r>
      <w:proofErr w:type="spellStart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shelves</w:t>
      </w:r>
      <w:proofErr w:type="spellEnd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.</w:t>
      </w:r>
    </w:p>
    <w:p w14:paraId="1CDD832F" w14:textId="77777777" w:rsidR="006C23AC" w:rsidRPr="00B907DA" w:rsidRDefault="006C23AC" w:rsidP="006C23A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Utilizzo degli Observer per notificare la </w:t>
      </w:r>
      <w:proofErr w:type="spellStart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view</w:t>
      </w:r>
      <w:proofErr w:type="spellEnd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delle modifiche sul model.</w:t>
      </w:r>
    </w:p>
    <w:p w14:paraId="78FE50FA" w14:textId="77777777" w:rsidR="006C23AC" w:rsidRPr="00B907DA" w:rsidRDefault="006C23AC" w:rsidP="006C23A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Presenza nell’UML della specificazione della classe Messaggio nei vari tipi di messaggi (ben specificati)</w:t>
      </w:r>
    </w:p>
    <w:p w14:paraId="4F758749" w14:textId="77777777" w:rsidR="006C23AC" w:rsidRPr="00B907DA" w:rsidRDefault="006C23AC" w:rsidP="006C23AC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Utilizzo di molte classi astratte per una struttura molto flessibile</w:t>
      </w:r>
    </w:p>
    <w:p w14:paraId="6AD3D282" w14:textId="77777777" w:rsidR="006C23AC" w:rsidRPr="00B907DA" w:rsidRDefault="006C23AC" w:rsidP="006C23AC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36"/>
          <w:sz w:val="48"/>
          <w:szCs w:val="48"/>
          <w:lang w:val="it-IT" w:eastAsia="it-IT"/>
          <w14:ligatures w14:val="none"/>
        </w:rPr>
      </w:pPr>
      <w:r w:rsidRPr="00B907DA">
        <w:rPr>
          <w:rFonts w:ascii="Arial" w:eastAsia="Times New Roman" w:hAnsi="Arial" w:cs="Arial"/>
          <w:b/>
          <w:bCs/>
          <w:noProof w:val="0"/>
          <w:color w:val="000000" w:themeColor="text1"/>
          <w:kern w:val="36"/>
          <w:sz w:val="46"/>
          <w:szCs w:val="46"/>
          <w:lang w:val="it-IT" w:eastAsia="it-IT"/>
          <w14:ligatures w14:val="none"/>
        </w:rPr>
        <w:t>Lati negativi</w:t>
      </w:r>
    </w:p>
    <w:p w14:paraId="5B3FC102" w14:textId="77777777" w:rsidR="006C23AC" w:rsidRPr="00B907DA" w:rsidRDefault="006C23AC" w:rsidP="006C23AC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Il messaggio di errata selezione viene inviato solo al termine della selezione stessa. Consigliamo di verificare subito se le coordinate passate (coppie di </w:t>
      </w:r>
      <w:proofErr w:type="spellStart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integer</w:t>
      </w:r>
      <w:proofErr w:type="spellEnd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) corrispondono a una casella con una </w:t>
      </w:r>
      <w:proofErr w:type="spellStart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tile</w:t>
      </w:r>
      <w:proofErr w:type="spellEnd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selezionabile.  </w:t>
      </w:r>
    </w:p>
    <w:p w14:paraId="37DC4644" w14:textId="77777777" w:rsidR="006C23AC" w:rsidRPr="00B907DA" w:rsidRDefault="006C23AC" w:rsidP="006C23AC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Consigliamo il salvataggio delle Tiles selezionate dal player lato server per garantire la persistenza nel caso in cui il client si disconnetta dopo aver aggiornato lo stato del player a “CHOOSE_COLUMN”. </w:t>
      </w:r>
      <w:proofErr w:type="spellStart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UpdateBoard</w:t>
      </w:r>
      <w:proofErr w:type="spellEnd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è già stato chiamato e ha rimosso dalla </w:t>
      </w:r>
      <w:proofErr w:type="spellStart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LivingRoom</w:t>
      </w:r>
      <w:proofErr w:type="spellEnd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le </w:t>
      </w:r>
      <w:proofErr w:type="spellStart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tiles</w:t>
      </w:r>
      <w:proofErr w:type="spellEnd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selezionate in precedenza (che però non son state salvate).</w:t>
      </w:r>
    </w:p>
    <w:p w14:paraId="18805EB2" w14:textId="77777777" w:rsidR="006C23AC" w:rsidRPr="00B907DA" w:rsidRDefault="006C23AC" w:rsidP="006C23AC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La scelta della soluzione </w:t>
      </w:r>
      <w:proofErr w:type="spellStart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thick</w:t>
      </w:r>
      <w:proofErr w:type="spellEnd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client non rende molto agevole l’aggiornamento della logica di gioco (i client dovrebbero fare aggiornamenti dedicati). Inoltre vi è un elevato rischio di stato inconsistente nel caso cada la rete durante il dialogo fra model e controller (esempio di sopra)</w:t>
      </w:r>
    </w:p>
    <w:p w14:paraId="0FBD8ACA" w14:textId="77777777" w:rsidR="006C23AC" w:rsidRPr="00B907DA" w:rsidRDefault="006C23AC" w:rsidP="006C23AC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Non è chiaro come venga istanziato l’attributo </w:t>
      </w:r>
      <w:proofErr w:type="spellStart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personalGoal</w:t>
      </w:r>
      <w:proofErr w:type="spellEnd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della classe </w:t>
      </w:r>
      <w:proofErr w:type="spellStart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PersonalGoal</w:t>
      </w:r>
      <w:proofErr w:type="spellEnd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. Probabilmente le informazioni sui </w:t>
      </w:r>
      <w:proofErr w:type="spellStart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tiles</w:t>
      </w:r>
      <w:proofErr w:type="spellEnd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da controllare per ogni </w:t>
      </w:r>
      <w:proofErr w:type="spellStart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personalGoal</w:t>
      </w:r>
      <w:proofErr w:type="spellEnd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sono all’interno del codice, e </w:t>
      </w:r>
      <w:proofErr w:type="spellStart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personalGoal</w:t>
      </w:r>
      <w:proofErr w:type="spellEnd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viene istanziata a inizio gioco. In tal caso, una modifica o un’aggiunta di nuovi </w:t>
      </w:r>
      <w:proofErr w:type="spellStart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PersonalGoal</w:t>
      </w:r>
      <w:proofErr w:type="spellEnd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implicherebbe una modifica del codice, attività meno agevole di una variazione del contenuto di un file (es JSON). </w:t>
      </w:r>
    </w:p>
    <w:p w14:paraId="75821CBB" w14:textId="77777777" w:rsidR="006C23AC" w:rsidRPr="00B907DA" w:rsidRDefault="006C23AC" w:rsidP="006C23AC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Utilizzo di un gran numero di matrici. Forse si potrebbe optare per mappe, in quanto queste strutture dati espongono metodi di utility che rendono più leggibile il codice.</w:t>
      </w:r>
    </w:p>
    <w:p w14:paraId="1B95185D" w14:textId="77777777" w:rsidR="006C23AC" w:rsidRPr="00B907DA" w:rsidRDefault="006C23AC" w:rsidP="006C23AC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lastRenderedPageBreak/>
        <w:t xml:space="preserve">Consigliamo di creare una classe </w:t>
      </w:r>
      <w:proofErr w:type="spellStart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Bag</w:t>
      </w:r>
      <w:proofErr w:type="spellEnd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dedicata, al posto di tenerla come all’interno della </w:t>
      </w:r>
      <w:proofErr w:type="spellStart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LivingRoom</w:t>
      </w:r>
      <w:proofErr w:type="spellEnd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. In questo modo si potranno dividere i compiti di </w:t>
      </w:r>
      <w:proofErr w:type="spellStart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LivingRoom</w:t>
      </w:r>
      <w:proofErr w:type="spellEnd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e </w:t>
      </w:r>
      <w:proofErr w:type="spellStart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Bag</w:t>
      </w:r>
      <w:proofErr w:type="spellEnd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(nella quale si potranno raccogliere tutti i metodi da usare per il refill, il riempimento e lo shuffle delle </w:t>
      </w:r>
      <w:proofErr w:type="spellStart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tiles</w:t>
      </w:r>
      <w:proofErr w:type="spellEnd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).</w:t>
      </w:r>
    </w:p>
    <w:p w14:paraId="41D466F3" w14:textId="77777777" w:rsidR="006C23AC" w:rsidRPr="00B907DA" w:rsidRDefault="006C23AC" w:rsidP="006C23AC">
      <w:pPr>
        <w:spacing w:after="24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</w:p>
    <w:p w14:paraId="0C7E56D7" w14:textId="77777777" w:rsidR="006C23AC" w:rsidRPr="00B907DA" w:rsidRDefault="006C23AC" w:rsidP="006C23AC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kern w:val="36"/>
          <w:sz w:val="48"/>
          <w:szCs w:val="48"/>
          <w:lang w:val="it-IT" w:eastAsia="it-IT"/>
          <w14:ligatures w14:val="none"/>
        </w:rPr>
      </w:pPr>
      <w:r w:rsidRPr="00B907DA">
        <w:rPr>
          <w:rFonts w:ascii="Arial" w:eastAsia="Times New Roman" w:hAnsi="Arial" w:cs="Arial"/>
          <w:b/>
          <w:bCs/>
          <w:noProof w:val="0"/>
          <w:color w:val="000000" w:themeColor="text1"/>
          <w:kern w:val="36"/>
          <w:sz w:val="46"/>
          <w:szCs w:val="46"/>
          <w:lang w:val="it-IT" w:eastAsia="it-IT"/>
          <w14:ligatures w14:val="none"/>
        </w:rPr>
        <w:t>Confronto tra le architetture</w:t>
      </w:r>
    </w:p>
    <w:p w14:paraId="65D6326C" w14:textId="77777777" w:rsidR="006C23AC" w:rsidRPr="00B907DA" w:rsidRDefault="006C23AC" w:rsidP="006C23AC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</w:p>
    <w:p w14:paraId="65593B8A" w14:textId="77777777" w:rsidR="006C23AC" w:rsidRPr="00B907DA" w:rsidRDefault="006C23AC" w:rsidP="006C23AC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I punti di forza della loro architettura sono la possibilità di un </w:t>
      </w:r>
      <w:proofErr w:type="spellStart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efficente</w:t>
      </w:r>
      <w:proofErr w:type="spellEnd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dialogo fra Controller e </w:t>
      </w:r>
      <w:proofErr w:type="spellStart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View</w:t>
      </w:r>
      <w:proofErr w:type="spellEnd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, entrambi sul client. Molto interessante è la scelta del pattern Strategy per la scelta dinamica del tipo di connessione (RMI o TCP).</w:t>
      </w:r>
    </w:p>
    <w:p w14:paraId="2B4E02F6" w14:textId="77777777" w:rsidR="006C23AC" w:rsidRPr="00B907DA" w:rsidRDefault="006C23AC" w:rsidP="006C23AC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Entrambi utilizziamo Observer nella </w:t>
      </w:r>
      <w:proofErr w:type="spellStart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view</w:t>
      </w:r>
      <w:proofErr w:type="spellEnd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 per notificare modifiche del Model.</w:t>
      </w:r>
    </w:p>
    <w:p w14:paraId="6AD46B6F" w14:textId="77777777" w:rsidR="006C23AC" w:rsidRPr="00B907DA" w:rsidRDefault="006C23AC" w:rsidP="006C23AC">
      <w:pPr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</w:pPr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Entrambi i team (ad oggi) usano 12 sottoclassi per la gestione dei </w:t>
      </w:r>
      <w:proofErr w:type="spellStart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CommonGoal</w:t>
      </w:r>
      <w:proofErr w:type="spellEnd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 xml:space="preserve">. Si potrebbe considerare di trovare controlli comuni riutilizzabili in più </w:t>
      </w:r>
      <w:proofErr w:type="spellStart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CommonGoal</w:t>
      </w:r>
      <w:proofErr w:type="spellEnd"/>
      <w:r w:rsidRPr="00B907DA">
        <w:rPr>
          <w:rFonts w:ascii="Arial" w:eastAsia="Times New Roman" w:hAnsi="Arial" w:cs="Arial"/>
          <w:noProof w:val="0"/>
          <w:color w:val="000000" w:themeColor="text1"/>
          <w:kern w:val="0"/>
          <w:sz w:val="24"/>
          <w:szCs w:val="24"/>
          <w:lang w:val="it-IT" w:eastAsia="it-IT"/>
          <w14:ligatures w14:val="none"/>
        </w:rPr>
        <w:t>, in modo da non avere 12 check specifici con grandi parti di codice ridondante.</w:t>
      </w:r>
    </w:p>
    <w:p w14:paraId="71A0017A" w14:textId="77777777" w:rsidR="00014C0A" w:rsidRPr="00B907DA" w:rsidRDefault="00014C0A">
      <w:pPr>
        <w:rPr>
          <w:color w:val="FFFFFF" w:themeColor="background1"/>
          <w:lang w:val="it-IT"/>
        </w:rPr>
      </w:pPr>
    </w:p>
    <w:sectPr w:rsidR="00014C0A" w:rsidRPr="00B907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B3520"/>
    <w:multiLevelType w:val="multilevel"/>
    <w:tmpl w:val="8C06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31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AC"/>
    <w:rsid w:val="00014C0A"/>
    <w:rsid w:val="006C23AC"/>
    <w:rsid w:val="009773F3"/>
    <w:rsid w:val="00B907DA"/>
    <w:rsid w:val="00BA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3846F"/>
  <w15:chartTrackingRefBased/>
  <w15:docId w15:val="{C50D5D7A-DB19-470B-89DE-AABF6ECA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  <w:lang w:val="en-GB"/>
    </w:rPr>
  </w:style>
  <w:style w:type="paragraph" w:styleId="Titolo1">
    <w:name w:val="heading 1"/>
    <w:basedOn w:val="Normale"/>
    <w:link w:val="Titolo1Carattere"/>
    <w:uiPriority w:val="9"/>
    <w:qFormat/>
    <w:rsid w:val="006C2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it-IT"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C23AC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6C2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it-IT"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Andrea Brambillasca</dc:creator>
  <cp:keywords/>
  <dc:description/>
  <cp:lastModifiedBy>Marco Andrea Brambillasca</cp:lastModifiedBy>
  <cp:revision>2</cp:revision>
  <dcterms:created xsi:type="dcterms:W3CDTF">2023-04-03T15:27:00Z</dcterms:created>
  <dcterms:modified xsi:type="dcterms:W3CDTF">2023-04-03T15:46:00Z</dcterms:modified>
</cp:coreProperties>
</file>