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tbl>
      <w:tblPr>
        <w:tblW w:type="auto" w:w="0"/>
        <w:jc w:val="center"/>
        <w:tblLook w:firstColumn="1" w:firstRow="1" w:lastColumn="0" w:lastRow="0" w:noHBand="0" w:noVBand="1" w:val="04A0"/>
      </w:tblPr>
      <w:tblGrid>
        <w:gridCol w:w="1008"/>
        <w:gridCol w:w="9216"/>
      </w:tblGrid>
      <w:tr>
        <w:tc>
          <w:tcPr>
            <w:tcW w:type="dxa" w:w="5112"/>
          </w:tcPr>
          <w:p>
            <w:r/>
            <w:r>
              <w:drawing>
                <wp:inline xmlns:a="http://schemas.openxmlformats.org/drawingml/2006/main" xmlns:pic="http://schemas.openxmlformats.org/drawingml/2006/picture">
                  <wp:extent cx="502920" cy="497891"/>
                  <wp:docPr id="1" name="Picture 1"/>
                  <wp:cNvGraphicFramePr>
                    <a:graphicFrameLocks noChangeAspect="1"/>
                  </wp:cNvGraphicFramePr>
                  <a:graphic>
                    <a:graphicData uri="http://schemas.openxmlformats.org/drawingml/2006/picture">
                      <pic:pic>
                        <pic:nvPicPr>
                          <pic:cNvPr id="0" name="logo_header.png"/>
                          <pic:cNvPicPr/>
                        </pic:nvPicPr>
                        <pic:blipFill>
                          <a:blip r:embed="rId10"/>
                          <a:stretch>
                            <a:fillRect/>
                          </a:stretch>
                        </pic:blipFill>
                        <pic:spPr>
                          <a:xfrm>
                            <a:off x="0" y="0"/>
                            <a:ext cx="502920" cy="497891"/>
                          </a:xfrm>
                          <a:prstGeom prst="rect"/>
                        </pic:spPr>
                      </pic:pic>
                    </a:graphicData>
                  </a:graphic>
                </wp:inline>
              </w:drawing>
            </w:r>
          </w:p>
        </w:tc>
        <w:tc>
          <w:tcPr>
            <w:tcW w:type="dxa" w:w="5112"/>
          </w:tcPr>
          <w:p>
            <w:pPr>
              <w:spacing w:after="0"/>
            </w:pPr>
            <w:r/>
            <w:r>
              <w:rPr>
                <w:rFonts w:ascii="Calibri" w:hAnsi="Calibri"/>
                <w:b/>
                <w:i w:val="0"/>
                <w:color w:val="064B84"/>
                <w:sz w:val="32"/>
              </w:rPr>
              <w:t>POVEON LTD</w:t>
            </w:r>
          </w:p>
          <w:p>
            <w:pPr>
              <w:spacing w:after="0"/>
            </w:pPr>
            <w:r>
              <w:rPr>
                <w:rFonts w:ascii="Calibri" w:hAnsi="Calibri"/>
                <w:b w:val="0"/>
                <w:i/>
                <w:color w:val="047857"/>
                <w:sz w:val="16"/>
              </w:rPr>
              <w:t>Healthcare Technology · Diagnostic Referral Platform · https://poveon.com</w:t>
            </w:r>
          </w:p>
        </w:tc>
      </w:tr>
    </w:tbl>
    <w:p>
      <w:pPr>
        <w:spacing w:before="120" w:after="0"/>
        <w:jc w:val="center"/>
      </w:pPr>
      <w:r>
        <w:rPr>
          <w:rFonts w:ascii="Calibri" w:hAnsi="Calibri"/>
          <w:b/>
          <w:i w:val="0"/>
          <w:color w:val="0259A0"/>
          <w:sz w:val="26"/>
        </w:rPr>
        <w:t>EXECUTIVE REVENUE SHARING &amp; PERFORMANCE AGREEMENT</w:t>
      </w:r>
    </w:p>
    <w:p>
      <w:pPr>
        <w:spacing w:after="40"/>
        <w:jc w:val="center"/>
      </w:pPr>
      <w:r>
        <w:rPr>
          <w:rFonts w:ascii="Calibri" w:hAnsi="Calibri"/>
          <w:b/>
          <w:i w:val="0"/>
          <w:color w:val="047857"/>
          <w:sz w:val="19"/>
        </w:rPr>
        <w:t>Appointment as Chief Marketing Officer (CMO) &amp; Chief Strategy Officer (CSO)</w:t>
      </w:r>
    </w:p>
    <w:p>
      <w:pPr>
        <w:spacing w:after="60"/>
        <w:jc w:val="center"/>
      </w:pPr>
      <w:r>
        <w:rPr>
          <w:rFonts w:ascii="Calibri" w:hAnsi="Calibri"/>
          <w:b w:val="0"/>
          <w:i w:val="0"/>
          <w:color w:val="555F6D"/>
          <w:sz w:val="16"/>
        </w:rPr>
        <w:t>Effective 1 June 2026   ·   Term 12 months to 31 May 2027   ·   No automatic renewal   ·   Strictly Private &amp; Confidential</w:t>
      </w:r>
    </w:p>
    <w:p>
      <w:pPr>
        <w:pBdr>
          <w:bottom w:val="single" w:sz="14" w:space="1" w:color="059669"/>
        </w:pBdr>
        <w:spacing w:after="100"/>
      </w:pPr>
    </w:p>
    <w:p>
      <w:pPr>
        <w:spacing w:after="60"/>
        <w:jc w:val="both"/>
      </w:pPr>
      <w:r>
        <w:rPr>
          <w:rFonts w:ascii="Calibri" w:hAnsi="Calibri"/>
          <w:b/>
          <w:i w:val="0"/>
          <w:color w:val="1A202C"/>
          <w:sz w:val="18"/>
        </w:rPr>
        <w:t>THIS AGREEMENT</w:t>
      </w:r>
      <w:r>
        <w:rPr>
          <w:rFonts w:ascii="Calibri" w:hAnsi="Calibri"/>
          <w:b w:val="0"/>
          <w:i w:val="0"/>
          <w:color w:val="1A202C"/>
          <w:sz w:val="18"/>
        </w:rPr>
        <w:t xml:space="preserve"> is made with effect from 1 June 2026 (the “Effective Date”) BETWEEN (1) </w:t>
      </w:r>
      <w:r>
        <w:rPr>
          <w:rFonts w:ascii="Calibri" w:hAnsi="Calibri"/>
          <w:b/>
          <w:i w:val="0"/>
          <w:color w:val="064B84"/>
          <w:sz w:val="18"/>
        </w:rPr>
        <w:t>POVEON LTD</w:t>
      </w:r>
      <w:r>
        <w:rPr>
          <w:rFonts w:ascii="Calibri" w:hAnsi="Calibri"/>
          <w:b w:val="0"/>
          <w:i w:val="0"/>
          <w:color w:val="1A202C"/>
          <w:sz w:val="18"/>
        </w:rPr>
        <w:t xml:space="preserve">, a private company incorporated in the Federal Republic of Nigeria operating the Poveon healthcare-technology referral platform (the “Company” or “Poveon”); and (2) </w:t>
      </w:r>
      <w:r>
        <w:rPr>
          <w:rFonts w:ascii="Calibri" w:hAnsi="Calibri"/>
          <w:b/>
          <w:i w:val="0"/>
          <w:color w:val="064B84"/>
          <w:sz w:val="18"/>
        </w:rPr>
        <w:t>THE EXECUTIVE</w:t>
      </w:r>
      <w:r>
        <w:rPr>
          <w:rFonts w:ascii="Calibri" w:hAnsi="Calibri"/>
          <w:b w:val="0"/>
          <w:i w:val="0"/>
          <w:color w:val="1A202C"/>
          <w:sz w:val="18"/>
        </w:rPr>
        <w:t>, the individual named on the signature page, appointed as the Company’s Chief Marketing Officer (CMO) and Chief Strategy Officer (CSO) (the “Executive”). Each a “Party”.</w:t>
      </w:r>
    </w:p>
    <w:p>
      <w:pPr>
        <w:spacing w:after="60"/>
        <w:jc w:val="both"/>
      </w:pPr>
      <w:r>
        <w:rPr>
          <w:rFonts w:ascii="Calibri" w:hAnsi="Calibri"/>
          <w:b/>
          <w:i w:val="0"/>
          <w:color w:val="047857"/>
          <w:sz w:val="18"/>
        </w:rPr>
        <w:t xml:space="preserve">BACKGROUND. </w:t>
      </w:r>
      <w:r>
        <w:rPr>
          <w:rFonts w:ascii="Calibri" w:hAnsi="Calibri"/>
          <w:b w:val="0"/>
          <w:i w:val="0"/>
          <w:color w:val="1A202C"/>
          <w:sz w:val="18"/>
        </w:rPr>
        <w:t>Poveon connects healthcare providers with diagnostic laboratories: providers submit laboratory requests, patients attend laboratories, and Poveon earns a 2% commission on every completed transaction. As patient payments may occur off-platform, Poveon cannot always verify payment directly but can reliably verify patient arrival, completed service and laboratory confirmation. The Parties therefore agree that compensation is tied solely to revenue Poveon has officially confirmed, to drive laboratory growth while avoiding commission disputes. NOW IT IS AGREED as follows:</w:t>
      </w:r>
    </w:p>
    <w:p>
      <w:pPr>
        <w:spacing w:after="60" w:before="0"/>
        <w:jc w:val="both"/>
      </w:pPr>
      <w:r>
        <w:rPr>
          <w:rFonts w:ascii="Calibri" w:hAnsi="Calibri"/>
          <w:b/>
          <w:i w:val="0"/>
          <w:color w:val="0259A0"/>
          <w:sz w:val="18"/>
        </w:rPr>
        <w:t xml:space="preserve">1.  </w:t>
      </w:r>
      <w:r>
        <w:rPr>
          <w:rFonts w:ascii="Calibri" w:hAnsi="Calibri"/>
          <w:b/>
          <w:i w:val="0"/>
          <w:color w:val="064B84"/>
          <w:sz w:val="18"/>
        </w:rPr>
        <w:t xml:space="preserve">Definitions.  </w:t>
      </w:r>
      <w:r>
        <w:rPr>
          <w:rFonts w:ascii="Calibri" w:hAnsi="Calibri"/>
          <w:b w:val="0"/>
          <w:i w:val="0"/>
          <w:color w:val="1A202C"/>
          <w:sz w:val="18"/>
        </w:rPr>
        <w:t>“Introduced Laboratory” means a laboratory that the Executive first and personally introduced to Poveon, which signs with and is activated by Poveon, is recorded by Poveon as the Executive’s acquisition source, and begins generating confirmed revenue. “Confirmed Transaction” means a transaction where the patient has completed the service, the laboratory has confirmed completion, Poveon confirms commission is payable, there is no dispute, refund or reversal, and Poveon records it as commission-payable in its official accounting system. “Net Commission Revenue” means Poveon’s 2% commission actually received, less refunds, chargebacks, bank charges, processing fees, tax adjustments and reversals. Only amounts actually received by Poveon are commissionable.</w:t>
      </w:r>
    </w:p>
    <w:p>
      <w:pPr>
        <w:spacing w:after="60" w:before="0"/>
        <w:jc w:val="both"/>
      </w:pPr>
      <w:r>
        <w:rPr>
          <w:rFonts w:ascii="Calibri" w:hAnsi="Calibri"/>
          <w:b/>
          <w:i w:val="0"/>
          <w:color w:val="0259A0"/>
          <w:sz w:val="18"/>
        </w:rPr>
        <w:t xml:space="preserve">2.  </w:t>
      </w:r>
      <w:r>
        <w:rPr>
          <w:rFonts w:ascii="Calibri" w:hAnsi="Calibri"/>
          <w:b/>
          <w:i w:val="0"/>
          <w:color w:val="064B84"/>
          <w:sz w:val="18"/>
        </w:rPr>
        <w:t xml:space="preserve">Appointment &amp; Capacity.  </w:t>
      </w:r>
      <w:r>
        <w:rPr>
          <w:rFonts w:ascii="Calibri" w:hAnsi="Calibri"/>
          <w:b w:val="0"/>
          <w:i w:val="0"/>
          <w:color w:val="1A202C"/>
          <w:sz w:val="18"/>
        </w:rPr>
        <w:t>The Company appoints the Executive, who accepts, to serve concurrently as Chief Marketing Officer (CMO) and Chief Strategy Officer (CSO), reporting to the Founder &amp; CEO and the Board. The appointment is wholly performance-based and creates no partnership, joint venture or salaried employment. The Executive shall act in good faith and in the Company’s best interests at all times.</w:t>
      </w:r>
    </w:p>
    <w:p>
      <w:pPr>
        <w:spacing w:after="60" w:before="0"/>
        <w:jc w:val="both"/>
      </w:pPr>
      <w:r>
        <w:rPr>
          <w:rFonts w:ascii="Calibri" w:hAnsi="Calibri"/>
          <w:b/>
          <w:i w:val="0"/>
          <w:color w:val="0259A0"/>
          <w:sz w:val="18"/>
        </w:rPr>
        <w:t xml:space="preserve">3.  </w:t>
      </w:r>
      <w:r>
        <w:rPr>
          <w:rFonts w:ascii="Calibri" w:hAnsi="Calibri"/>
          <w:b/>
          <w:i w:val="0"/>
          <w:color w:val="064B84"/>
          <w:sz w:val="18"/>
        </w:rPr>
        <w:t xml:space="preserve">Duties.  </w:t>
      </w:r>
      <w:r>
        <w:rPr>
          <w:rFonts w:ascii="Calibri" w:hAnsi="Calibri"/>
          <w:b w:val="0"/>
          <w:i w:val="0"/>
          <w:color w:val="1A202C"/>
          <w:sz w:val="18"/>
        </w:rPr>
        <w:t>The Executive shall lead marketing and brand strategy, growth strategy, business development, partnerships, commercial negotiations, laboratory and provider acquisition, market and national expansion, strategic planning, executive reporting and investor support, with the skill expected of a senior executive holding these offices.</w:t>
      </w:r>
    </w:p>
    <w:p>
      <w:pPr>
        <w:spacing w:after="60" w:before="0"/>
        <w:jc w:val="both"/>
      </w:pPr>
      <w:r>
        <w:rPr>
          <w:rFonts w:ascii="Calibri" w:hAnsi="Calibri"/>
          <w:b/>
          <w:i w:val="0"/>
          <w:color w:val="0259A0"/>
          <w:sz w:val="18"/>
        </w:rPr>
        <w:t xml:space="preserve">4.  </w:t>
      </w:r>
      <w:r>
        <w:rPr>
          <w:rFonts w:ascii="Calibri" w:hAnsi="Calibri"/>
          <w:b/>
          <w:i w:val="0"/>
          <w:color w:val="064B84"/>
          <w:sz w:val="18"/>
        </w:rPr>
        <w:t xml:space="preserve">Authority &amp; No Authority to Bind.  </w:t>
      </w:r>
      <w:r>
        <w:rPr>
          <w:rFonts w:ascii="Calibri" w:hAnsi="Calibri"/>
          <w:b w:val="0"/>
          <w:i w:val="0"/>
          <w:color w:val="1A202C"/>
          <w:sz w:val="18"/>
        </w:rPr>
        <w:t>The Executive may represent the Company in commercial discussions but shall NOT, without the prior written authorisation of the Founder &amp; CEO or Board: (a) sign or enter any contract on the Company’s behalf; (b) bind the Company financially or incur liabilities; (c) operate any Company bank account; (d) vary commission rates, pricing or terms; or (e) engage or dismiss personnel. Any unauthorised commitment does not bind the Company, and the Executive shall indemnify the Company for resulting loss.</w:t>
      </w:r>
    </w:p>
    <w:p>
      <w:pPr>
        <w:spacing w:after="40" w:before="0"/>
        <w:jc w:val="both"/>
      </w:pPr>
      <w:r>
        <w:rPr>
          <w:rFonts w:ascii="Calibri" w:hAnsi="Calibri"/>
          <w:b/>
          <w:i w:val="0"/>
          <w:color w:val="0259A0"/>
          <w:sz w:val="18"/>
        </w:rPr>
        <w:t xml:space="preserve">5.  </w:t>
      </w:r>
      <w:r>
        <w:rPr>
          <w:rFonts w:ascii="Calibri" w:hAnsi="Calibri"/>
          <w:b/>
          <w:i w:val="0"/>
          <w:color w:val="064B84"/>
          <w:sz w:val="18"/>
        </w:rPr>
        <w:t xml:space="preserve">Performance Standards &amp; KPIs.  </w:t>
      </w:r>
      <w:r>
        <w:rPr>
          <w:rFonts w:ascii="Calibri" w:hAnsi="Calibri"/>
          <w:b w:val="0"/>
          <w:i w:val="0"/>
          <w:color w:val="1A202C"/>
          <w:sz w:val="18"/>
        </w:rPr>
        <w:t>The Executive shall use all reasonable endeavours to achieve the quarterly targets below (detailed in the scorecard). Sustained failure to meet the minimum KPIs, after written notice and a reasonable opportunity to improve, may constitute grounds for termination:</w:t>
      </w:r>
    </w:p>
    <w:tbl>
      <w:tblPr>
        <w:tblStyle w:val="TableGrid"/>
        <w:tblW w:type="auto" w:w="0"/>
        <w:tblLook w:firstColumn="1" w:firstRow="1" w:lastColumn="0" w:lastRow="0" w:noHBand="0" w:noVBand="1" w:val="04A0"/>
      </w:tblPr>
      <w:tblGrid>
        <w:gridCol w:w="2556"/>
        <w:gridCol w:w="2556"/>
        <w:gridCol w:w="2556"/>
        <w:gridCol w:w="2556"/>
      </w:tblGrid>
      <w:tr>
        <w:tc>
          <w:tcPr>
            <w:tcW w:type="dxa" w:w="1368"/>
            <w:shd w:val="clear" w:color="auto" w:fill="047857"/>
            <w:tcMar>
              <w:top w:w="40" w:type="dxa"/>
              <w:bottom w:w="40" w:type="dxa"/>
              <w:start w:w="70" w:type="dxa"/>
              <w:end w:w="70" w:type="dxa"/>
              <w:left w:w="70" w:type="dxa"/>
              <w:right w:w="70" w:type="dxa"/>
            </w:tcMar>
          </w:tcPr>
          <w:p>
            <w:r/>
            <w:r>
              <w:rPr>
                <w:rFonts w:ascii="Calibri" w:hAnsi="Calibri"/>
                <w:b/>
                <w:i w:val="0"/>
                <w:color w:val="FFFFFF"/>
                <w:sz w:val="16"/>
              </w:rPr>
              <w:t>Quarter</w:t>
            </w:r>
          </w:p>
        </w:tc>
        <w:tc>
          <w:tcPr>
            <w:tcW w:type="dxa" w:w="2160"/>
            <w:shd w:val="clear" w:color="auto" w:fill="047857"/>
            <w:tcMar>
              <w:top w:w="40" w:type="dxa"/>
              <w:bottom w:w="40" w:type="dxa"/>
              <w:start w:w="70" w:type="dxa"/>
              <w:end w:w="70" w:type="dxa"/>
              <w:left w:w="70" w:type="dxa"/>
              <w:right w:w="70" w:type="dxa"/>
            </w:tcMar>
          </w:tcPr>
          <w:p>
            <w:r/>
            <w:r>
              <w:rPr>
                <w:rFonts w:ascii="Calibri" w:hAnsi="Calibri"/>
                <w:b/>
                <w:i w:val="0"/>
                <w:color w:val="FFFFFF"/>
                <w:sz w:val="16"/>
              </w:rPr>
              <w:t>Period</w:t>
            </w:r>
          </w:p>
        </w:tc>
        <w:tc>
          <w:tcPr>
            <w:tcW w:type="dxa" w:w="4896"/>
            <w:shd w:val="clear" w:color="auto" w:fill="047857"/>
            <w:tcMar>
              <w:top w:w="40" w:type="dxa"/>
              <w:bottom w:w="40" w:type="dxa"/>
              <w:start w:w="70" w:type="dxa"/>
              <w:end w:w="70" w:type="dxa"/>
              <w:left w:w="70" w:type="dxa"/>
              <w:right w:w="70" w:type="dxa"/>
            </w:tcMar>
          </w:tcPr>
          <w:p>
            <w:r/>
            <w:r>
              <w:rPr>
                <w:rFonts w:ascii="Calibri" w:hAnsi="Calibri"/>
                <w:b/>
                <w:i w:val="0"/>
                <w:color w:val="FFFFFF"/>
                <w:sz w:val="16"/>
              </w:rPr>
              <w:t>Objective</w:t>
            </w:r>
          </w:p>
        </w:tc>
        <w:tc>
          <w:tcPr>
            <w:tcW w:type="dxa" w:w="1800"/>
            <w:shd w:val="clear" w:color="auto" w:fill="047857"/>
            <w:tcMar>
              <w:top w:w="40" w:type="dxa"/>
              <w:bottom w:w="40" w:type="dxa"/>
              <w:start w:w="70" w:type="dxa"/>
              <w:end w:w="70" w:type="dxa"/>
              <w:left w:w="70" w:type="dxa"/>
              <w:right w:w="70" w:type="dxa"/>
            </w:tcMar>
          </w:tcPr>
          <w:p>
            <w:r/>
            <w:r>
              <w:rPr>
                <w:rFonts w:ascii="Calibri" w:hAnsi="Calibri"/>
                <w:b/>
                <w:i w:val="0"/>
                <w:color w:val="FFFFFF"/>
                <w:sz w:val="16"/>
              </w:rPr>
              <w:t>Target</w:t>
            </w:r>
          </w:p>
        </w:tc>
      </w:tr>
      <w:tr>
        <w:tc>
          <w:tcPr>
            <w:tcW w:type="dxa" w:w="1368"/>
            <w:tcMar>
              <w:top w:w="40" w:type="dxa"/>
              <w:bottom w:w="40" w:type="dxa"/>
              <w:start w:w="70" w:type="dxa"/>
              <w:end w:w="70" w:type="dxa"/>
              <w:left w:w="70" w:type="dxa"/>
              <w:right w:w="70" w:type="dxa"/>
            </w:tcMar>
          </w:tcPr>
          <w:p>
            <w:r/>
            <w:r>
              <w:rPr>
                <w:rFonts w:ascii="Calibri" w:hAnsi="Calibri"/>
                <w:b/>
                <w:i w:val="0"/>
                <w:color w:val="047857"/>
                <w:sz w:val="16"/>
              </w:rPr>
              <w:t>Q1</w:t>
            </w:r>
          </w:p>
        </w:tc>
        <w:tc>
          <w:tcPr>
            <w:tcW w:type="dxa" w:w="2160"/>
            <w:tcMar>
              <w:top w:w="40" w:type="dxa"/>
              <w:bottom w:w="40" w:type="dxa"/>
              <w:start w:w="70" w:type="dxa"/>
              <w:end w:w="70" w:type="dxa"/>
              <w:left w:w="70" w:type="dxa"/>
              <w:right w:w="70" w:type="dxa"/>
            </w:tcMar>
          </w:tcPr>
          <w:p>
            <w:r/>
            <w:r>
              <w:rPr>
                <w:rFonts w:ascii="Calibri" w:hAnsi="Calibri"/>
                <w:b w:val="0"/>
                <w:i w:val="0"/>
                <w:color w:val="1A202C"/>
                <w:sz w:val="16"/>
              </w:rPr>
              <w:t>Jun–Aug 2026</w:t>
            </w:r>
          </w:p>
        </w:tc>
        <w:tc>
          <w:tcPr>
            <w:tcW w:type="dxa" w:w="4896"/>
            <w:tcMar>
              <w:top w:w="40" w:type="dxa"/>
              <w:bottom w:w="40" w:type="dxa"/>
              <w:start w:w="70" w:type="dxa"/>
              <w:end w:w="70" w:type="dxa"/>
              <w:left w:w="70" w:type="dxa"/>
              <w:right w:w="70" w:type="dxa"/>
            </w:tcMar>
          </w:tcPr>
          <w:p>
            <w:r/>
            <w:r>
              <w:rPr>
                <w:rFonts w:ascii="Calibri" w:hAnsi="Calibri"/>
                <w:b w:val="0"/>
                <w:i w:val="0"/>
                <w:color w:val="1A202C"/>
                <w:sz w:val="16"/>
              </w:rPr>
              <w:t>Build pipeline; acquire first active laboratories</w:t>
            </w:r>
          </w:p>
        </w:tc>
        <w:tc>
          <w:tcPr>
            <w:tcW w:type="dxa" w:w="1800"/>
            <w:tcMar>
              <w:top w:w="40" w:type="dxa"/>
              <w:bottom w:w="40" w:type="dxa"/>
              <w:start w:w="70" w:type="dxa"/>
              <w:end w:w="70" w:type="dxa"/>
              <w:left w:w="70" w:type="dxa"/>
              <w:right w:w="70" w:type="dxa"/>
            </w:tcMar>
          </w:tcPr>
          <w:p>
            <w:r/>
            <w:r>
              <w:rPr>
                <w:rFonts w:ascii="Calibri" w:hAnsi="Calibri"/>
                <w:b/>
                <w:i w:val="0"/>
                <w:color w:val="064B84"/>
                <w:sz w:val="16"/>
              </w:rPr>
              <w:t>5 active labs</w:t>
            </w:r>
          </w:p>
        </w:tc>
      </w:tr>
      <w:tr>
        <w:tc>
          <w:tcPr>
            <w:tcW w:type="dxa" w:w="1368"/>
            <w:shd w:val="clear" w:color="auto" w:fill="E7F6F0"/>
            <w:tcMar>
              <w:top w:w="40" w:type="dxa"/>
              <w:bottom w:w="40" w:type="dxa"/>
              <w:start w:w="70" w:type="dxa"/>
              <w:end w:w="70" w:type="dxa"/>
              <w:left w:w="70" w:type="dxa"/>
              <w:right w:w="70" w:type="dxa"/>
            </w:tcMar>
          </w:tcPr>
          <w:p>
            <w:r/>
            <w:r>
              <w:rPr>
                <w:rFonts w:ascii="Calibri" w:hAnsi="Calibri"/>
                <w:b/>
                <w:i w:val="0"/>
                <w:color w:val="047857"/>
                <w:sz w:val="16"/>
              </w:rPr>
              <w:t>Q2</w:t>
            </w:r>
          </w:p>
        </w:tc>
        <w:tc>
          <w:tcPr>
            <w:tcW w:type="dxa" w:w="2160"/>
            <w:shd w:val="clear" w:color="auto" w:fill="E7F6F0"/>
            <w:tcMar>
              <w:top w:w="40" w:type="dxa"/>
              <w:bottom w:w="40" w:type="dxa"/>
              <w:start w:w="70" w:type="dxa"/>
              <w:end w:w="70" w:type="dxa"/>
              <w:left w:w="70" w:type="dxa"/>
              <w:right w:w="70" w:type="dxa"/>
            </w:tcMar>
          </w:tcPr>
          <w:p>
            <w:r/>
            <w:r>
              <w:rPr>
                <w:rFonts w:ascii="Calibri" w:hAnsi="Calibri"/>
                <w:b w:val="0"/>
                <w:i w:val="0"/>
                <w:color w:val="1A202C"/>
                <w:sz w:val="16"/>
              </w:rPr>
              <w:t>Sep–Nov 2026</w:t>
            </w:r>
          </w:p>
        </w:tc>
        <w:tc>
          <w:tcPr>
            <w:tcW w:type="dxa" w:w="4896"/>
            <w:shd w:val="clear" w:color="auto" w:fill="E7F6F0"/>
            <w:tcMar>
              <w:top w:w="40" w:type="dxa"/>
              <w:bottom w:w="40" w:type="dxa"/>
              <w:start w:w="70" w:type="dxa"/>
              <w:end w:w="70" w:type="dxa"/>
              <w:left w:w="70" w:type="dxa"/>
              <w:right w:w="70" w:type="dxa"/>
            </w:tcMar>
          </w:tcPr>
          <w:p>
            <w:r/>
            <w:r>
              <w:rPr>
                <w:rFonts w:ascii="Calibri" w:hAnsi="Calibri"/>
                <w:b w:val="0"/>
                <w:i w:val="0"/>
                <w:color w:val="1A202C"/>
                <w:sz w:val="16"/>
              </w:rPr>
              <w:t>Scale acquisition; meet minimum confirmed-transaction target</w:t>
            </w:r>
          </w:p>
        </w:tc>
        <w:tc>
          <w:tcPr>
            <w:tcW w:type="dxa" w:w="1800"/>
            <w:shd w:val="clear" w:color="auto" w:fill="E7F6F0"/>
            <w:tcMar>
              <w:top w:w="40" w:type="dxa"/>
              <w:bottom w:w="40" w:type="dxa"/>
              <w:start w:w="70" w:type="dxa"/>
              <w:end w:w="70" w:type="dxa"/>
              <w:left w:w="70" w:type="dxa"/>
              <w:right w:w="70" w:type="dxa"/>
            </w:tcMar>
          </w:tcPr>
          <w:p>
            <w:r/>
            <w:r>
              <w:rPr>
                <w:rFonts w:ascii="Calibri" w:hAnsi="Calibri"/>
                <w:b/>
                <w:i w:val="0"/>
                <w:color w:val="064B84"/>
                <w:sz w:val="16"/>
              </w:rPr>
              <w:t>15 active labs</w:t>
            </w:r>
          </w:p>
        </w:tc>
      </w:tr>
      <w:tr>
        <w:tc>
          <w:tcPr>
            <w:tcW w:type="dxa" w:w="1368"/>
            <w:tcMar>
              <w:top w:w="40" w:type="dxa"/>
              <w:bottom w:w="40" w:type="dxa"/>
              <w:start w:w="70" w:type="dxa"/>
              <w:end w:w="70" w:type="dxa"/>
              <w:left w:w="70" w:type="dxa"/>
              <w:right w:w="70" w:type="dxa"/>
            </w:tcMar>
          </w:tcPr>
          <w:p>
            <w:r/>
            <w:r>
              <w:rPr>
                <w:rFonts w:ascii="Calibri" w:hAnsi="Calibri"/>
                <w:b/>
                <w:i w:val="0"/>
                <w:color w:val="047857"/>
                <w:sz w:val="16"/>
              </w:rPr>
              <w:t>Q3</w:t>
            </w:r>
          </w:p>
        </w:tc>
        <w:tc>
          <w:tcPr>
            <w:tcW w:type="dxa" w:w="2160"/>
            <w:tcMar>
              <w:top w:w="40" w:type="dxa"/>
              <w:bottom w:w="40" w:type="dxa"/>
              <w:start w:w="70" w:type="dxa"/>
              <w:end w:w="70" w:type="dxa"/>
              <w:left w:w="70" w:type="dxa"/>
              <w:right w:w="70" w:type="dxa"/>
            </w:tcMar>
          </w:tcPr>
          <w:p>
            <w:r/>
            <w:r>
              <w:rPr>
                <w:rFonts w:ascii="Calibri" w:hAnsi="Calibri"/>
                <w:b w:val="0"/>
                <w:i w:val="0"/>
                <w:color w:val="1A202C"/>
                <w:sz w:val="16"/>
              </w:rPr>
              <w:t>Dec 2026–Feb 2027</w:t>
            </w:r>
          </w:p>
        </w:tc>
        <w:tc>
          <w:tcPr>
            <w:tcW w:type="dxa" w:w="4896"/>
            <w:tcMar>
              <w:top w:w="40" w:type="dxa"/>
              <w:bottom w:w="40" w:type="dxa"/>
              <w:start w:w="70" w:type="dxa"/>
              <w:end w:w="70" w:type="dxa"/>
              <w:left w:w="70" w:type="dxa"/>
              <w:right w:w="70" w:type="dxa"/>
            </w:tcMar>
          </w:tcPr>
          <w:p>
            <w:r/>
            <w:r>
              <w:rPr>
                <w:rFonts w:ascii="Calibri" w:hAnsi="Calibri"/>
                <w:b w:val="0"/>
                <w:i w:val="0"/>
                <w:color w:val="1A202C"/>
                <w:sz w:val="16"/>
              </w:rPr>
              <w:t>Expand into additional Nigerian states; sustain growth</w:t>
            </w:r>
          </w:p>
        </w:tc>
        <w:tc>
          <w:tcPr>
            <w:tcW w:type="dxa" w:w="1800"/>
            <w:tcMar>
              <w:top w:w="40" w:type="dxa"/>
              <w:bottom w:w="40" w:type="dxa"/>
              <w:start w:w="70" w:type="dxa"/>
              <w:end w:w="70" w:type="dxa"/>
              <w:left w:w="70" w:type="dxa"/>
              <w:right w:w="70" w:type="dxa"/>
            </w:tcMar>
          </w:tcPr>
          <w:p>
            <w:r/>
            <w:r>
              <w:rPr>
                <w:rFonts w:ascii="Calibri" w:hAnsi="Calibri"/>
                <w:b/>
                <w:i w:val="0"/>
                <w:color w:val="064B84"/>
                <w:sz w:val="16"/>
              </w:rPr>
              <w:t>Multi-state</w:t>
            </w:r>
          </w:p>
        </w:tc>
      </w:tr>
      <w:tr>
        <w:tc>
          <w:tcPr>
            <w:tcW w:type="dxa" w:w="1368"/>
            <w:shd w:val="clear" w:color="auto" w:fill="E7F6F0"/>
            <w:tcMar>
              <w:top w:w="40" w:type="dxa"/>
              <w:bottom w:w="40" w:type="dxa"/>
              <w:start w:w="70" w:type="dxa"/>
              <w:end w:w="70" w:type="dxa"/>
              <w:left w:w="70" w:type="dxa"/>
              <w:right w:w="70" w:type="dxa"/>
            </w:tcMar>
          </w:tcPr>
          <w:p>
            <w:r/>
            <w:r>
              <w:rPr>
                <w:rFonts w:ascii="Calibri" w:hAnsi="Calibri"/>
                <w:b/>
                <w:i w:val="0"/>
                <w:color w:val="047857"/>
                <w:sz w:val="16"/>
              </w:rPr>
              <w:t>Q4</w:t>
            </w:r>
          </w:p>
        </w:tc>
        <w:tc>
          <w:tcPr>
            <w:tcW w:type="dxa" w:w="2160"/>
            <w:shd w:val="clear" w:color="auto" w:fill="E7F6F0"/>
            <w:tcMar>
              <w:top w:w="40" w:type="dxa"/>
              <w:bottom w:w="40" w:type="dxa"/>
              <w:start w:w="70" w:type="dxa"/>
              <w:end w:w="70" w:type="dxa"/>
              <w:left w:w="70" w:type="dxa"/>
              <w:right w:w="70" w:type="dxa"/>
            </w:tcMar>
          </w:tcPr>
          <w:p>
            <w:r/>
            <w:r>
              <w:rPr>
                <w:rFonts w:ascii="Calibri" w:hAnsi="Calibri"/>
                <w:b w:val="0"/>
                <w:i w:val="0"/>
                <w:color w:val="1A202C"/>
                <w:sz w:val="16"/>
              </w:rPr>
              <w:t>Mar–May 2027</w:t>
            </w:r>
          </w:p>
        </w:tc>
        <w:tc>
          <w:tcPr>
            <w:tcW w:type="dxa" w:w="4896"/>
            <w:shd w:val="clear" w:color="auto" w:fill="E7F6F0"/>
            <w:tcMar>
              <w:top w:w="40" w:type="dxa"/>
              <w:bottom w:w="40" w:type="dxa"/>
              <w:start w:w="70" w:type="dxa"/>
              <w:end w:w="70" w:type="dxa"/>
              <w:left w:w="70" w:type="dxa"/>
              <w:right w:w="70" w:type="dxa"/>
            </w:tcMar>
          </w:tcPr>
          <w:p>
            <w:r/>
            <w:r>
              <w:rPr>
                <w:rFonts w:ascii="Calibri" w:hAnsi="Calibri"/>
                <w:b w:val="0"/>
                <w:i w:val="0"/>
                <w:color w:val="1A202C"/>
                <w:sz w:val="16"/>
              </w:rPr>
              <w:t>Reach target base; establish recurring monthly commission</w:t>
            </w:r>
          </w:p>
        </w:tc>
        <w:tc>
          <w:tcPr>
            <w:tcW w:type="dxa" w:w="1800"/>
            <w:shd w:val="clear" w:color="auto" w:fill="E7F6F0"/>
            <w:tcMar>
              <w:top w:w="40" w:type="dxa"/>
              <w:bottom w:w="40" w:type="dxa"/>
              <w:start w:w="70" w:type="dxa"/>
              <w:end w:w="70" w:type="dxa"/>
              <w:left w:w="70" w:type="dxa"/>
              <w:right w:w="70" w:type="dxa"/>
            </w:tcMar>
          </w:tcPr>
          <w:p>
            <w:r/>
            <w:r>
              <w:rPr>
                <w:rFonts w:ascii="Calibri" w:hAnsi="Calibri"/>
                <w:b/>
                <w:i w:val="0"/>
                <w:color w:val="064B84"/>
                <w:sz w:val="16"/>
              </w:rPr>
              <w:t>30 active labs</w:t>
            </w:r>
          </w:p>
        </w:tc>
      </w:tr>
    </w:tbl>
    <w:p>
      <w:pPr>
        <w:spacing w:after="20"/>
      </w:pPr>
    </w:p>
    <w:p>
      <w:pPr>
        <w:spacing w:after="60" w:before="0"/>
        <w:jc w:val="both"/>
      </w:pPr>
      <w:r>
        <w:rPr>
          <w:rFonts w:ascii="Calibri" w:hAnsi="Calibri"/>
          <w:b/>
          <w:i w:val="0"/>
          <w:color w:val="0259A0"/>
          <w:sz w:val="18"/>
        </w:rPr>
        <w:t xml:space="preserve">6.  </w:t>
      </w:r>
      <w:r>
        <w:rPr>
          <w:rFonts w:ascii="Calibri" w:hAnsi="Calibri"/>
          <w:b/>
          <w:i w:val="0"/>
          <w:color w:val="064B84"/>
          <w:sz w:val="18"/>
        </w:rPr>
        <w:t xml:space="preserve">Revenue Share — No Salary.  </w:t>
      </w:r>
      <w:r>
        <w:rPr>
          <w:rFonts w:ascii="Calibri" w:hAnsi="Calibri"/>
          <w:b w:val="0"/>
          <w:i w:val="0"/>
          <w:color w:val="1A202C"/>
          <w:sz w:val="18"/>
        </w:rPr>
        <w:t xml:space="preserve">The Executive receives no salary, retainer, allowances or benefits; compensation is entirely performance-based. This is NOT equity, profit-sharing or stock compensation. The Executive shall earn </w:t>
      </w:r>
      <w:r>
        <w:rPr>
          <w:rFonts w:ascii="Calibri" w:hAnsi="Calibri"/>
          <w:b/>
          <w:i w:val="0"/>
          <w:color w:val="047857"/>
          <w:sz w:val="18"/>
        </w:rPr>
        <w:t>30% of Poveon’s Net Commission Revenue</w:t>
      </w:r>
      <w:r>
        <w:rPr>
          <w:rFonts w:ascii="Calibri" w:hAnsi="Calibri"/>
          <w:b w:val="0"/>
          <w:i w:val="0"/>
          <w:color w:val="1A202C"/>
          <w:sz w:val="18"/>
        </w:rPr>
        <w:t xml:space="preserve"> generated only from Introduced Laboratories and only from Confirmed Transactions. </w:t>
      </w:r>
      <w:r>
        <w:rPr>
          <w:rFonts w:ascii="Calibri" w:hAnsi="Calibri"/>
          <w:b w:val="0"/>
          <w:i/>
          <w:color w:val="064B84"/>
          <w:sz w:val="18"/>
        </w:rPr>
        <w:t xml:space="preserve">Formula: Revenue Share = 30% × [(2% × confirmed billings received) − permitted deductions]. </w:t>
      </w:r>
      <w:r>
        <w:rPr>
          <w:rFonts w:ascii="Calibri" w:hAnsi="Calibri"/>
          <w:b w:val="0"/>
          <w:i w:val="0"/>
          <w:color w:val="1A202C"/>
          <w:sz w:val="18"/>
        </w:rPr>
        <w:t>Example: a ₦1,000,000 laboratory bill yields a ₦20,000 (2%) commission; with no deductions the Executive earns 30% of ₦20,000 = ₦6,000. (₦2,500,000 → ₦50,000 → ₦15,000; ₦1,500,000 with ₦5,000 deductions → ₦25,000 net → ₦7,500.)</w:t>
      </w:r>
    </w:p>
    <w:p>
      <w:pPr>
        <w:spacing w:after="60" w:before="0"/>
        <w:jc w:val="both"/>
      </w:pPr>
      <w:r>
        <w:rPr>
          <w:rFonts w:ascii="Calibri" w:hAnsi="Calibri"/>
          <w:b/>
          <w:i w:val="0"/>
          <w:color w:val="0259A0"/>
          <w:sz w:val="18"/>
        </w:rPr>
        <w:t xml:space="preserve">7.  </w:t>
      </w:r>
      <w:r>
        <w:rPr>
          <w:rFonts w:ascii="Calibri" w:hAnsi="Calibri"/>
          <w:b/>
          <w:i w:val="0"/>
          <w:color w:val="064B84"/>
          <w:sz w:val="18"/>
        </w:rPr>
        <w:t xml:space="preserve">Payment.  </w:t>
      </w:r>
      <w:r>
        <w:rPr>
          <w:rFonts w:ascii="Calibri" w:hAnsi="Calibri"/>
          <w:b w:val="0"/>
          <w:i w:val="0"/>
          <w:color w:val="1A202C"/>
          <w:sz w:val="18"/>
        </w:rPr>
        <w:t>The Revenue Share is calculated and paid monthly in arrears, within fourteen (14) days after month-end, with a supporting statement from Poveon’s accounting records, which are final and conclusive save for manifest error. The Executive is responsible for the Executive’s own taxes.</w:t>
      </w:r>
    </w:p>
    <w:p>
      <w:pPr>
        <w:spacing w:after="60" w:before="0"/>
        <w:jc w:val="both"/>
      </w:pPr>
      <w:r>
        <w:rPr>
          <w:rFonts w:ascii="Calibri" w:hAnsi="Calibri"/>
          <w:b/>
          <w:i w:val="0"/>
          <w:color w:val="0259A0"/>
          <w:sz w:val="18"/>
        </w:rPr>
        <w:t xml:space="preserve">8.  </w:t>
      </w:r>
      <w:r>
        <w:rPr>
          <w:rFonts w:ascii="Calibri" w:hAnsi="Calibri"/>
          <w:b/>
          <w:i w:val="0"/>
          <w:color w:val="064B84"/>
          <w:sz w:val="18"/>
        </w:rPr>
        <w:t xml:space="preserve">Audit, Books &amp; Records.  </w:t>
      </w:r>
      <w:r>
        <w:rPr>
          <w:rFonts w:ascii="Calibri" w:hAnsi="Calibri"/>
          <w:b w:val="0"/>
          <w:i w:val="0"/>
          <w:color w:val="1A202C"/>
          <w:sz w:val="18"/>
        </w:rPr>
        <w:t>Poveon shall keep proper records of Confirmed Transactions and Net Commission Revenue; those records are final. The Executive may, on reasonable written notice and not more than quarterly, request supporting transaction summaries, but shall not conduct any independent audit without Poveon’s prior written approval. Poveon may audit the Executive’s introductions and conduct at any time.</w:t>
      </w:r>
    </w:p>
    <w:p>
      <w:pPr>
        <w:spacing w:after="60" w:before="0"/>
        <w:jc w:val="both"/>
      </w:pPr>
      <w:r>
        <w:rPr>
          <w:rFonts w:ascii="Calibri" w:hAnsi="Calibri"/>
          <w:b/>
          <w:i w:val="0"/>
          <w:color w:val="0259A0"/>
          <w:sz w:val="18"/>
        </w:rPr>
        <w:t xml:space="preserve">9.  </w:t>
      </w:r>
      <w:r>
        <w:rPr>
          <w:rFonts w:ascii="Calibri" w:hAnsi="Calibri"/>
          <w:b/>
          <w:i w:val="0"/>
          <w:color w:val="064B84"/>
          <w:sz w:val="18"/>
        </w:rPr>
        <w:t xml:space="preserve">Confidentiality, IP, Data &amp; Ownership.  </w:t>
      </w:r>
      <w:r>
        <w:rPr>
          <w:rFonts w:ascii="Calibri" w:hAnsi="Calibri"/>
          <w:b w:val="0"/>
          <w:i w:val="0"/>
          <w:color w:val="1A202C"/>
          <w:sz w:val="18"/>
        </w:rPr>
        <w:t xml:space="preserve">The Executive shall keep all Confidential Information strictly confidential (surviving termination without limit) and assigns to the Company, with full title guarantee, all intellectual property and work product created in connection with this Agreement. As between the Parties, the Company exclusively owns all customer, laboratory, provider and patient relationships, all data, all branding and all laboratories onboarded (including Introduced Laboratories). The Executive receives </w:t>
      </w:r>
      <w:r>
        <w:rPr>
          <w:rFonts w:ascii="Calibri" w:hAnsi="Calibri"/>
          <w:b/>
          <w:i w:val="0"/>
          <w:color w:val="1A202C"/>
          <w:sz w:val="18"/>
        </w:rPr>
        <w:t>no equity, no ownership, no shares, no voting rights and no board seat</w:t>
      </w:r>
      <w:r>
        <w:rPr>
          <w:rFonts w:ascii="Calibri" w:hAnsi="Calibri"/>
          <w:b w:val="0"/>
          <w:i w:val="0"/>
          <w:color w:val="1A202C"/>
          <w:sz w:val="18"/>
        </w:rPr>
        <w:t>, and no authority to sign contracts or bind Poveon financially.</w:t>
      </w:r>
    </w:p>
    <w:p>
      <w:pPr>
        <w:spacing w:after="60" w:before="0"/>
        <w:jc w:val="both"/>
      </w:pPr>
      <w:r>
        <w:rPr>
          <w:rFonts w:ascii="Calibri" w:hAnsi="Calibri"/>
          <w:b/>
          <w:i w:val="0"/>
          <w:color w:val="0259A0"/>
          <w:sz w:val="18"/>
        </w:rPr>
        <w:t xml:space="preserve">10.  </w:t>
      </w:r>
      <w:r>
        <w:rPr>
          <w:rFonts w:ascii="Calibri" w:hAnsi="Calibri"/>
          <w:b/>
          <w:i w:val="0"/>
          <w:color w:val="064B84"/>
          <w:sz w:val="18"/>
        </w:rPr>
        <w:t xml:space="preserve">Conflict, Exclusivity, Non-Circumvention &amp; Non-Solicitation.  </w:t>
      </w:r>
      <w:r>
        <w:rPr>
          <w:rFonts w:ascii="Calibri" w:hAnsi="Calibri"/>
          <w:b w:val="0"/>
          <w:i w:val="0"/>
          <w:color w:val="1A202C"/>
          <w:sz w:val="18"/>
        </w:rPr>
        <w:t>The Executive shall disclose and avoid conflicts of interest, shall not during the Term engage in any competing business without consent, and shall not accept any kickback or benefit from any laboratory or provider. The Executive shall not bypass Poveon, invoice laboratories directly, divert laboratories or transactions, or establish competing arrangements with Introduced Laboratories. For twelve (12) months after termination, the Executive shall not solicit the Company’s employees, onboarded laboratories or major provider partners. These restrictions are reasonable and necessary; if any is too wide to enforce, it applies with the minimum modification needed to be valid and enforceable under Nigerian law.</w:t>
      </w:r>
    </w:p>
    <w:p>
      <w:pPr>
        <w:spacing w:after="60" w:before="0"/>
        <w:jc w:val="both"/>
      </w:pPr>
      <w:r>
        <w:rPr>
          <w:rFonts w:ascii="Calibri" w:hAnsi="Calibri"/>
          <w:b/>
          <w:i w:val="0"/>
          <w:color w:val="0259A0"/>
          <w:sz w:val="18"/>
        </w:rPr>
        <w:t xml:space="preserve">11.  </w:t>
      </w:r>
      <w:r>
        <w:rPr>
          <w:rFonts w:ascii="Calibri" w:hAnsi="Calibri"/>
          <w:b/>
          <w:i w:val="0"/>
          <w:color w:val="064B84"/>
          <w:sz w:val="18"/>
        </w:rPr>
        <w:t xml:space="preserve">Compliance, Anti-Bribery &amp; Good Faith.  </w:t>
      </w:r>
      <w:r>
        <w:rPr>
          <w:rFonts w:ascii="Calibri" w:hAnsi="Calibri"/>
          <w:b w:val="0"/>
          <w:i w:val="0"/>
          <w:color w:val="1A202C"/>
          <w:sz w:val="18"/>
        </w:rPr>
        <w:t>The Executive shall comply with all applicable Nigerian laws (including data-protection and healthcare regulation) and all anti-bribery and anti-corruption laws, shall offer or accept no bribe or improper advantage, and shall commit no fraud, dishonesty or misrepresentation, including in the introduction or attribution of laboratories or the reporting of transactions.</w:t>
      </w:r>
    </w:p>
    <w:p>
      <w:pPr>
        <w:spacing w:after="60" w:before="0"/>
        <w:jc w:val="both"/>
      </w:pPr>
      <w:r>
        <w:rPr>
          <w:rFonts w:ascii="Calibri" w:hAnsi="Calibri"/>
          <w:b/>
          <w:i w:val="0"/>
          <w:color w:val="0259A0"/>
          <w:sz w:val="18"/>
        </w:rPr>
        <w:t xml:space="preserve">12.  </w:t>
      </w:r>
      <w:r>
        <w:rPr>
          <w:rFonts w:ascii="Calibri" w:hAnsi="Calibri"/>
          <w:b/>
          <w:i w:val="0"/>
          <w:color w:val="064B84"/>
          <w:sz w:val="18"/>
        </w:rPr>
        <w:t xml:space="preserve">Clawback &amp; Suspension.  </w:t>
      </w:r>
      <w:r>
        <w:rPr>
          <w:rFonts w:ascii="Calibri" w:hAnsi="Calibri"/>
          <w:b w:val="0"/>
          <w:i w:val="0"/>
          <w:color w:val="1A202C"/>
          <w:sz w:val="18"/>
        </w:rPr>
        <w:t>If any laboratory, transaction or Revenue Share was obtained through fraud, bribery, misrepresentation, kickbacks or illegal conduct, Poveon may recover all commissions already paid, and may recover or set off overpayments arising from later refunds, chargebacks or reversals; amounts are repayable within fourteen (14) days of demand. Poveon may suspend the Executive’s duties and Revenue Share pending investigation of suspected fraud, misconduct or material breach.</w:t>
      </w:r>
    </w:p>
    <w:p>
      <w:pPr>
        <w:spacing w:after="60" w:before="0"/>
        <w:jc w:val="both"/>
      </w:pPr>
      <w:r>
        <w:rPr>
          <w:rFonts w:ascii="Calibri" w:hAnsi="Calibri"/>
          <w:b/>
          <w:i w:val="0"/>
          <w:color w:val="0259A0"/>
          <w:sz w:val="18"/>
        </w:rPr>
        <w:t xml:space="preserve">13.  </w:t>
      </w:r>
      <w:r>
        <w:rPr>
          <w:rFonts w:ascii="Calibri" w:hAnsi="Calibri"/>
          <w:b/>
          <w:i w:val="0"/>
          <w:color w:val="064B84"/>
          <w:sz w:val="18"/>
        </w:rPr>
        <w:t xml:space="preserve">Term &amp; Termination.  </w:t>
      </w:r>
      <w:r>
        <w:rPr>
          <w:rFonts w:ascii="Calibri" w:hAnsi="Calibri"/>
          <w:b w:val="0"/>
          <w:i w:val="0"/>
          <w:color w:val="1A202C"/>
          <w:sz w:val="18"/>
        </w:rPr>
        <w:t>This Agreement runs for twelve (12) months from the Effective Date to 31 May 2027 with no automatic renewal; renewal requires Poveon’s prior written approval. Either Party may terminate on thirty (30) days’ written notice. The Company may terminate immediately for fraud, serious misconduct, gross negligence, breach of confidentiality, conflict of interest, competition, criminal conduct, or failure to meet minimum KPIs after written notice and a reasonable opportunity to improve.</w:t>
      </w:r>
    </w:p>
    <w:p>
      <w:pPr>
        <w:spacing w:after="60" w:before="0"/>
        <w:jc w:val="both"/>
      </w:pPr>
      <w:r>
        <w:rPr>
          <w:rFonts w:ascii="Calibri" w:hAnsi="Calibri"/>
          <w:b/>
          <w:i w:val="0"/>
          <w:color w:val="0259A0"/>
          <w:sz w:val="18"/>
        </w:rPr>
        <w:t xml:space="preserve">14.  </w:t>
      </w:r>
      <w:r>
        <w:rPr>
          <w:rFonts w:ascii="Calibri" w:hAnsi="Calibri"/>
          <w:b/>
          <w:i w:val="0"/>
          <w:color w:val="064B84"/>
          <w:sz w:val="18"/>
        </w:rPr>
        <w:t xml:space="preserve">Good Leaver / Bad Leaver.  </w:t>
      </w:r>
      <w:r>
        <w:rPr>
          <w:rFonts w:ascii="Calibri" w:hAnsi="Calibri"/>
          <w:b w:val="0"/>
          <w:i w:val="0"/>
          <w:color w:val="1A202C"/>
          <w:sz w:val="18"/>
        </w:rPr>
        <w:t>A “Good Leaver” (departure by expiry, termination without cause, mutual agreement, death or incapacity, with no material breach) retains Revenue Share accrued and payable on Confirmed Transactions up to termination, subject to reconciliation and clawback. A “Bad Leaver” (termination for cause or material breach, including clawback conduct) forfeits unpaid or unvested Revenue Share and remains liable to repay clawback amounts. No entitlement arises for transactions occurring after termination.</w:t>
      </w:r>
    </w:p>
    <w:p>
      <w:pPr>
        <w:spacing w:after="60" w:before="0"/>
        <w:jc w:val="both"/>
      </w:pPr>
      <w:r>
        <w:rPr>
          <w:rFonts w:ascii="Calibri" w:hAnsi="Calibri"/>
          <w:b/>
          <w:i w:val="0"/>
          <w:color w:val="0259A0"/>
          <w:sz w:val="18"/>
        </w:rPr>
        <w:t xml:space="preserve">15.  </w:t>
      </w:r>
      <w:r>
        <w:rPr>
          <w:rFonts w:ascii="Calibri" w:hAnsi="Calibri"/>
          <w:b/>
          <w:i w:val="0"/>
          <w:color w:val="064B84"/>
          <w:sz w:val="18"/>
        </w:rPr>
        <w:t xml:space="preserve">Survival, Force Majeure &amp; Assignment.  </w:t>
      </w:r>
      <w:r>
        <w:rPr>
          <w:rFonts w:ascii="Calibri" w:hAnsi="Calibri"/>
          <w:b w:val="0"/>
          <w:i w:val="0"/>
          <w:color w:val="1A202C"/>
          <w:sz w:val="18"/>
        </w:rPr>
        <w:t>Termination does not affect accrued rights; clauses on confidentiality, IP and ownership, restrictive covenants, clawback, leaver status, notices, governing law and dispute resolution survive. Neither Party is liable for delay caused by events beyond its reasonable control (and either may terminate if such an event continues over sixty (60) days). This Agreement is personal to the Executive and may not be assigned by the Executive; the Company may assign to a successor or acquirer.</w:t>
      </w:r>
    </w:p>
    <w:p>
      <w:pPr>
        <w:spacing w:after="60" w:before="0"/>
        <w:jc w:val="both"/>
      </w:pPr>
      <w:r>
        <w:rPr>
          <w:rFonts w:ascii="Calibri" w:hAnsi="Calibri"/>
          <w:b/>
          <w:i w:val="0"/>
          <w:color w:val="0259A0"/>
          <w:sz w:val="18"/>
        </w:rPr>
        <w:t xml:space="preserve">16.  </w:t>
      </w:r>
      <w:r>
        <w:rPr>
          <w:rFonts w:ascii="Calibri" w:hAnsi="Calibri"/>
          <w:b/>
          <w:i w:val="0"/>
          <w:color w:val="064B84"/>
          <w:sz w:val="18"/>
        </w:rPr>
        <w:t xml:space="preserve">General.  </w:t>
      </w:r>
      <w:r>
        <w:rPr>
          <w:rFonts w:ascii="Calibri" w:hAnsi="Calibri"/>
          <w:b w:val="0"/>
          <w:i w:val="0"/>
          <w:color w:val="1A202C"/>
          <w:sz w:val="18"/>
        </w:rPr>
        <w:t>This Agreement (with its scorecard and appendices) is the entire agreement and supersedes prior arrangements; it may be varied only in writing signed by both Parties; no failure to enforce is a waiver. Notices shall be in writing by hand, courier or email. If any provision is invalid it shall be modified to the minimum extent necessary or severed, without affecting the remainder.</w:t>
      </w:r>
    </w:p>
    <w:p>
      <w:pPr>
        <w:spacing w:after="60" w:before="0"/>
        <w:jc w:val="both"/>
      </w:pPr>
      <w:r>
        <w:rPr>
          <w:rFonts w:ascii="Calibri" w:hAnsi="Calibri"/>
          <w:b/>
          <w:i w:val="0"/>
          <w:color w:val="0259A0"/>
          <w:sz w:val="18"/>
        </w:rPr>
        <w:t xml:space="preserve">17.  </w:t>
      </w:r>
      <w:r>
        <w:rPr>
          <w:rFonts w:ascii="Calibri" w:hAnsi="Calibri"/>
          <w:b/>
          <w:i w:val="0"/>
          <w:color w:val="064B84"/>
          <w:sz w:val="18"/>
        </w:rPr>
        <w:t xml:space="preserve">Governing Law &amp; Dispute Resolution.  </w:t>
      </w:r>
      <w:r>
        <w:rPr>
          <w:rFonts w:ascii="Calibri" w:hAnsi="Calibri"/>
          <w:b w:val="0"/>
          <w:i w:val="0"/>
          <w:color w:val="1A202C"/>
          <w:sz w:val="18"/>
        </w:rPr>
        <w:t>This Agreement is governed by the laws of the Federal Republic of Nigeria. The Parties shall first negotiate in good faith for thirty (30) days; failing resolution, any dispute shall be finally resolved by arbitration under the Arbitration and Mediation Act 2023, seated in Lagos before a sole arbitrator, in English, the award being final and binding. Either Party may seek urgent injunctive relief from the courts.</w:t>
      </w:r>
    </w:p>
    <w:p>
      <w:pPr>
        <w:spacing w:after="80" w:before="0"/>
        <w:jc w:val="both"/>
      </w:pPr>
      <w:r>
        <w:rPr>
          <w:rFonts w:ascii="Calibri" w:hAnsi="Calibri"/>
          <w:b/>
          <w:i w:val="0"/>
          <w:color w:val="0259A0"/>
          <w:sz w:val="18"/>
        </w:rPr>
        <w:t xml:space="preserve">18.  </w:t>
      </w:r>
      <w:r>
        <w:rPr>
          <w:rFonts w:ascii="Calibri" w:hAnsi="Calibri"/>
          <w:b/>
          <w:i w:val="0"/>
          <w:color w:val="064B84"/>
          <w:sz w:val="18"/>
        </w:rPr>
        <w:t xml:space="preserve">Counterparts &amp; Electronic Signatures.  </w:t>
      </w:r>
      <w:r>
        <w:rPr>
          <w:rFonts w:ascii="Calibri" w:hAnsi="Calibri"/>
          <w:b w:val="0"/>
          <w:i w:val="0"/>
          <w:color w:val="1A202C"/>
          <w:sz w:val="18"/>
        </w:rPr>
        <w:t>This Agreement may be executed in counterparts and signed electronically, which signatures are valid and binding to the fullest extent permitted by law, including the Evidence Act 2011.</w:t>
      </w:r>
    </w:p>
    <w:p>
      <w:pPr>
        <w:spacing w:before="40" w:after="20"/>
      </w:pPr>
      <w:r>
        <w:rPr>
          <w:rFonts w:ascii="Calibri" w:hAnsi="Calibri"/>
          <w:b/>
          <w:i w:val="0"/>
          <w:color w:val="064B84"/>
          <w:sz w:val="22"/>
        </w:rPr>
        <w:t>EXECUTION</w:t>
      </w:r>
    </w:p>
    <w:p>
      <w:pPr>
        <w:pBdr>
          <w:bottom w:val="single" w:sz="10" w:space="1" w:color="059669"/>
        </w:pBdr>
        <w:spacing w:after="60"/>
      </w:pPr>
    </w:p>
    <w:p>
      <w:pPr>
        <w:spacing w:after="80"/>
      </w:pPr>
      <w:r>
        <w:rPr>
          <w:rFonts w:ascii="Calibri" w:hAnsi="Calibri"/>
          <w:b w:val="0"/>
          <w:i/>
          <w:color w:val="555F6D"/>
          <w:sz w:val="17"/>
        </w:rPr>
        <w:t>IN WITNESS WHEREOF the Parties have executed this Agreement as a deed with effect from the Effective Date.</w:t>
      </w:r>
    </w:p>
    <w:tbl>
      <w:tblPr>
        <w:tblW w:type="auto" w:w="0"/>
        <w:jc w:val="center"/>
        <w:tblLook w:firstColumn="1" w:firstRow="1" w:lastColumn="0" w:lastRow="0" w:noHBand="0" w:noVBand="1" w:val="04A0"/>
      </w:tblPr>
      <w:tblGrid>
        <w:gridCol w:w="5112"/>
        <w:gridCol w:w="5112"/>
      </w:tblGrid>
      <w:tr>
        <w:tc>
          <w:tcPr>
            <w:tcW w:type="dxa" w:w="5112"/>
            <w:tcMar>
              <w:top w:w="40" w:type="dxa"/>
              <w:bottom w:w="40" w:type="dxa"/>
              <w:start w:w="60" w:type="dxa"/>
              <w:end w:w="140" w:type="dxa"/>
              <w:left w:w="60" w:type="dxa"/>
              <w:right w:w="140" w:type="dxa"/>
            </w:tcMar>
          </w:tcPr>
          <w:p>
            <w:r/>
            <w:r>
              <w:rPr>
                <w:rFonts w:ascii="Calibri" w:hAnsi="Calibri"/>
                <w:b/>
                <w:i w:val="0"/>
                <w:color w:val="064B84"/>
                <w:sz w:val="19"/>
              </w:rPr>
              <w:t>FOR POVEON LTD</w:t>
            </w:r>
          </w:p>
          <w:p>
            <w:pPr>
              <w:spacing w:after="0"/>
            </w:pPr>
            <w:r>
              <w:rPr>
                <w:rFonts w:ascii="Calibri" w:hAnsi="Calibri"/>
                <w:b/>
                <w:i w:val="0"/>
                <w:color w:val="1A202C"/>
                <w:sz w:val="19"/>
              </w:rPr>
              <w:t>Dr. Manuwa Toluwalase</w:t>
            </w:r>
          </w:p>
          <w:p>
            <w:pPr>
              <w:spacing w:after="40"/>
            </w:pPr>
            <w:r>
              <w:rPr>
                <w:rFonts w:ascii="Calibri" w:hAnsi="Calibri"/>
                <w:b w:val="0"/>
                <w:i/>
                <w:color w:val="047857"/>
                <w:sz w:val="17"/>
              </w:rPr>
              <w:t>Founder &amp; Chief Executive Officer</w:t>
            </w:r>
          </w:p>
          <w:p>
            <w:pPr>
              <w:spacing w:after="0"/>
            </w:pPr>
            <w:r>
              <w:rPr>
                <w:rFonts w:ascii="Calibri" w:hAnsi="Calibri"/>
                <w:b/>
                <w:i w:val="0"/>
                <w:color w:val="1A202C"/>
                <w:sz w:val="17"/>
              </w:rPr>
              <w:t>Signature:</w:t>
            </w:r>
            <w:r>
              <w:drawing>
                <wp:inline xmlns:a="http://schemas.openxmlformats.org/drawingml/2006/main" xmlns:pic="http://schemas.openxmlformats.org/drawingml/2006/picture">
                  <wp:extent cx="1554480" cy="421930"/>
                  <wp:docPr id="2" name="Picture 2"/>
                  <wp:cNvGraphicFramePr>
                    <a:graphicFrameLocks noChangeAspect="1"/>
                  </wp:cNvGraphicFramePr>
                  <a:graphic>
                    <a:graphicData uri="http://schemas.openxmlformats.org/drawingml/2006/picture">
                      <pic:pic>
                        <pic:nvPicPr>
                          <pic:cNvPr id="0" name="signature.png"/>
                          <pic:cNvPicPr/>
                        </pic:nvPicPr>
                        <pic:blipFill>
                          <a:blip r:embed="rId11"/>
                          <a:stretch>
                            <a:fillRect/>
                          </a:stretch>
                        </pic:blipFill>
                        <pic:spPr>
                          <a:xfrm>
                            <a:off x="0" y="0"/>
                            <a:ext cx="1554480" cy="421930"/>
                          </a:xfrm>
                          <a:prstGeom prst="rect"/>
                        </pic:spPr>
                      </pic:pic>
                    </a:graphicData>
                  </a:graphic>
                </wp:inline>
              </w:drawing>
            </w:r>
          </w:p>
          <w:p>
            <w:pPr>
              <w:spacing w:after="40"/>
            </w:pPr>
            <w:r>
              <w:rPr>
                <w:rFonts w:ascii="Calibri" w:hAnsi="Calibri"/>
                <w:b w:val="0"/>
                <w:i w:val="0"/>
                <w:color w:val="1A202C"/>
                <w:sz w:val="17"/>
              </w:rPr>
              <w:t>Date: ______________________</w:t>
            </w:r>
          </w:p>
        </w:tc>
        <w:tc>
          <w:tcPr>
            <w:tcW w:type="dxa" w:w="5112"/>
            <w:tcMar>
              <w:top w:w="40" w:type="dxa"/>
              <w:bottom w:w="40" w:type="dxa"/>
              <w:start w:w="60" w:type="dxa"/>
              <w:end w:w="140" w:type="dxa"/>
              <w:left w:w="60" w:type="dxa"/>
              <w:right w:w="140" w:type="dxa"/>
            </w:tcMar>
          </w:tcPr>
          <w:p>
            <w:r/>
            <w:r>
              <w:rPr>
                <w:rFonts w:ascii="Calibri" w:hAnsi="Calibri"/>
                <w:b/>
                <w:i w:val="0"/>
                <w:color w:val="064B84"/>
                <w:sz w:val="19"/>
              </w:rPr>
              <w:t>THE EXECUTIVE</w:t>
            </w:r>
          </w:p>
          <w:p>
            <w:pPr>
              <w:spacing w:after="0"/>
            </w:pPr>
            <w:r>
              <w:rPr>
                <w:rFonts w:ascii="Calibri" w:hAnsi="Calibri"/>
                <w:b w:val="0"/>
                <w:i/>
                <w:color w:val="047857"/>
                <w:sz w:val="17"/>
              </w:rPr>
              <w:t>Chief Marketing Officer (CMO)</w:t>
            </w:r>
          </w:p>
          <w:p>
            <w:pPr>
              <w:spacing w:after="120"/>
            </w:pPr>
            <w:r>
              <w:rPr>
                <w:rFonts w:ascii="Calibri" w:hAnsi="Calibri"/>
                <w:b w:val="0"/>
                <w:i/>
                <w:color w:val="047857"/>
                <w:sz w:val="17"/>
              </w:rPr>
              <w:t>Chief Strategy Officer (CSO)</w:t>
            </w:r>
          </w:p>
          <w:p>
            <w:pPr>
              <w:spacing w:after="120"/>
            </w:pPr>
            <w:r>
              <w:rPr>
                <w:rFonts w:ascii="Calibri" w:hAnsi="Calibri"/>
                <w:b w:val="0"/>
                <w:i w:val="0"/>
                <w:color w:val="1A202C"/>
                <w:sz w:val="17"/>
              </w:rPr>
              <w:t>Name: ______________________</w:t>
            </w:r>
          </w:p>
          <w:p>
            <w:pPr>
              <w:spacing w:after="120"/>
            </w:pPr>
            <w:r>
              <w:rPr>
                <w:rFonts w:ascii="Calibri" w:hAnsi="Calibri"/>
                <w:b w:val="0"/>
                <w:i w:val="0"/>
                <w:color w:val="1A202C"/>
                <w:sz w:val="17"/>
              </w:rPr>
              <w:t>Signature: ______________________</w:t>
            </w:r>
          </w:p>
          <w:p>
            <w:pPr>
              <w:spacing w:after="120"/>
            </w:pPr>
            <w:r>
              <w:rPr>
                <w:rFonts w:ascii="Calibri" w:hAnsi="Calibri"/>
                <w:b w:val="0"/>
                <w:i w:val="0"/>
                <w:color w:val="1A202C"/>
                <w:sz w:val="17"/>
              </w:rPr>
              <w:t>Date: ______________________</w:t>
            </w:r>
          </w:p>
        </w:tc>
      </w:tr>
    </w:tbl>
    <w:p>
      <w:pPr>
        <w:spacing w:before="80" w:after="40"/>
      </w:pPr>
      <w:r>
        <w:rPr>
          <w:rFonts w:ascii="Calibri" w:hAnsi="Calibri"/>
          <w:b/>
          <w:i w:val="0"/>
          <w:color w:val="0259A0"/>
          <w:sz w:val="18"/>
        </w:rPr>
        <w:t>WITNESSES</w:t>
      </w:r>
    </w:p>
    <w:tbl>
      <w:tblPr>
        <w:tblW w:type="auto" w:w="0"/>
        <w:jc w:val="center"/>
        <w:tblLook w:firstColumn="1" w:firstRow="1" w:lastColumn="0" w:lastRow="0" w:noHBand="0" w:noVBand="1" w:val="04A0"/>
      </w:tblPr>
      <w:tblGrid>
        <w:gridCol w:w="5112"/>
        <w:gridCol w:w="5112"/>
      </w:tblGrid>
      <w:tr>
        <w:tc>
          <w:tcPr>
            <w:tcW w:type="dxa" w:w="5112"/>
            <w:tcMar>
              <w:top w:w="40" w:type="dxa"/>
              <w:bottom w:w="40" w:type="dxa"/>
              <w:start w:w="60" w:type="dxa"/>
              <w:end w:w="140" w:type="dxa"/>
              <w:left w:w="60" w:type="dxa"/>
              <w:right w:w="140" w:type="dxa"/>
            </w:tcMar>
          </w:tcPr>
          <w:p>
            <w:r/>
            <w:r>
              <w:rPr>
                <w:rFonts w:ascii="Calibri" w:hAnsi="Calibri"/>
                <w:b/>
                <w:i w:val="0"/>
                <w:color w:val="064B84"/>
                <w:sz w:val="17"/>
              </w:rPr>
              <w:t>Witness 1</w:t>
            </w:r>
          </w:p>
          <w:p>
            <w:pPr>
              <w:spacing w:after="100"/>
            </w:pPr>
            <w:r>
              <w:rPr>
                <w:rFonts w:ascii="Calibri" w:hAnsi="Calibri"/>
                <w:b w:val="0"/>
                <w:i w:val="0"/>
                <w:color w:val="1A202C"/>
                <w:sz w:val="17"/>
              </w:rPr>
              <w:t>Name: ____________________</w:t>
            </w:r>
          </w:p>
          <w:p>
            <w:pPr>
              <w:spacing w:after="100"/>
            </w:pPr>
            <w:r>
              <w:rPr>
                <w:rFonts w:ascii="Calibri" w:hAnsi="Calibri"/>
                <w:b w:val="0"/>
                <w:i w:val="0"/>
                <w:color w:val="1A202C"/>
                <w:sz w:val="17"/>
              </w:rPr>
              <w:t>Signature: ____________________</w:t>
            </w:r>
          </w:p>
          <w:p>
            <w:pPr>
              <w:spacing w:after="100"/>
            </w:pPr>
            <w:r>
              <w:rPr>
                <w:rFonts w:ascii="Calibri" w:hAnsi="Calibri"/>
                <w:b w:val="0"/>
                <w:i w:val="0"/>
                <w:color w:val="1A202C"/>
                <w:sz w:val="17"/>
              </w:rPr>
              <w:t>Date: ____________________</w:t>
            </w:r>
          </w:p>
        </w:tc>
        <w:tc>
          <w:tcPr>
            <w:tcW w:type="dxa" w:w="5112"/>
            <w:tcMar>
              <w:top w:w="40" w:type="dxa"/>
              <w:bottom w:w="40" w:type="dxa"/>
              <w:start w:w="60" w:type="dxa"/>
              <w:end w:w="140" w:type="dxa"/>
              <w:left w:w="60" w:type="dxa"/>
              <w:right w:w="140" w:type="dxa"/>
            </w:tcMar>
          </w:tcPr>
          <w:p>
            <w:r/>
            <w:r>
              <w:rPr>
                <w:rFonts w:ascii="Calibri" w:hAnsi="Calibri"/>
                <w:b/>
                <w:i w:val="0"/>
                <w:color w:val="064B84"/>
                <w:sz w:val="17"/>
              </w:rPr>
              <w:t>Witness 2</w:t>
            </w:r>
          </w:p>
          <w:p>
            <w:pPr>
              <w:spacing w:after="100"/>
            </w:pPr>
            <w:r>
              <w:rPr>
                <w:rFonts w:ascii="Calibri" w:hAnsi="Calibri"/>
                <w:b w:val="0"/>
                <w:i w:val="0"/>
                <w:color w:val="1A202C"/>
                <w:sz w:val="17"/>
              </w:rPr>
              <w:t>Name: ____________________</w:t>
            </w:r>
          </w:p>
          <w:p>
            <w:pPr>
              <w:spacing w:after="100"/>
            </w:pPr>
            <w:r>
              <w:rPr>
                <w:rFonts w:ascii="Calibri" w:hAnsi="Calibri"/>
                <w:b w:val="0"/>
                <w:i w:val="0"/>
                <w:color w:val="1A202C"/>
                <w:sz w:val="17"/>
              </w:rPr>
              <w:t>Signature: ____________________</w:t>
            </w:r>
          </w:p>
          <w:p>
            <w:pPr>
              <w:spacing w:after="100"/>
            </w:pPr>
            <w:r>
              <w:rPr>
                <w:rFonts w:ascii="Calibri" w:hAnsi="Calibri"/>
                <w:b w:val="0"/>
                <w:i w:val="0"/>
                <w:color w:val="1A202C"/>
                <w:sz w:val="17"/>
              </w:rPr>
              <w:t>Date: ____________________</w:t>
            </w:r>
          </w:p>
        </w:tc>
      </w:tr>
    </w:tbl>
    <w:sectPr w:rsidR="00FC693F" w:rsidRPr="0006063C" w:rsidSect="00034616">
      <w:footerReference w:type="default" r:id="rId9"/>
      <w:pgSz w:w="12240" w:h="15840"/>
      <w:pgMar w:top="792" w:right="1008" w:bottom="720" w:left="1008"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200"/>
      <w:gridCol w:w="3024"/>
    </w:tblGrid>
    <w:tr>
      <w:tc>
        <w:tcPr>
          <w:tcW w:type="dxa" w:w="5112"/>
        </w:tcPr>
        <w:p>
          <w:r/>
          <w:r>
            <w:rPr>
              <w:rFonts w:ascii="Calibri" w:hAnsi="Calibri"/>
              <w:b w:val="0"/>
              <w:i w:val="0"/>
              <w:color w:val="555F6D"/>
              <w:sz w:val="15"/>
            </w:rPr>
            <w:t>Poveon LTD  ·  Strictly Private &amp; Confidential</w:t>
          </w:r>
        </w:p>
      </w:tc>
      <w:tc>
        <w:tcPr>
          <w:tcW w:type="dxa" w:w="5112"/>
        </w:tcPr>
        <w:p>
          <w:pPr>
            <w:jc w:val="right"/>
          </w:pPr>
          <w:r/>
          <w:r>
            <w:rPr>
              <w:rFonts w:ascii="Calibri" w:hAnsi="Calibri"/>
              <w:b w:val="0"/>
              <w:i w:val="0"/>
              <w:color w:val="555F6D"/>
              <w:sz w:val="15"/>
            </w:rPr>
            <w:t xml:space="preserve">Page </w:t>
          </w:r>
          <w:r>
            <w:rPr>
              <w:sz w:val="15"/>
            </w:rPr>
            <w:fldChar w:fldCharType="begin"/>
            <w:instrText xml:space="preserve">PAGE</w:instrText>
            <w:fldChar w:fldCharType="separate"/>
            <w:t>1</w:t>
            <w:fldChar w:fldCharType="end"/>
          </w:r>
          <w:r>
            <w:rPr>
              <w:rFonts w:ascii="Calibri" w:hAnsi="Calibri"/>
              <w:b w:val="0"/>
              <w:i w:val="0"/>
              <w:color w:val="555F6D"/>
              <w:sz w:val="15"/>
            </w:rPr>
            <w:t xml:space="preserve"> of </w:t>
          </w:r>
          <w:r>
            <w:rPr>
              <w:sz w:val="15"/>
            </w:rPr>
            <w:fldChar w:fldCharType="begin"/>
            <w:instrText xml:space="preserve">NUMPAGES</w:instrText>
            <w:fldChar w:fldCharType="separate"/>
            <w:t>1</w: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50" w:after="60"/>
    </w:pPr>
    <w:rPr>
      <w:rFonts w:ascii="Calibri" w:hAnsi="Calibri"/>
      <w:color w:val="1A202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