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p>
    <w:p>
      <w:pPr>
        <w:spacing w:before="720" w:after="120"/>
        <w:jc w:val="center"/>
      </w:pPr>
      <w:r>
        <w:drawing>
          <wp:inline xmlns:a="http://schemas.openxmlformats.org/drawingml/2006/main" xmlns:pic="http://schemas.openxmlformats.org/drawingml/2006/picture">
            <wp:extent cx="1325880" cy="1312621"/>
            <wp:docPr id="1" name="Picture 1"/>
            <wp:cNvGraphicFramePr>
              <a:graphicFrameLocks noChangeAspect="1"/>
            </wp:cNvGraphicFramePr>
            <a:graphic>
              <a:graphicData uri="http://schemas.openxmlformats.org/drawingml/2006/picture">
                <pic:pic>
                  <pic:nvPicPr>
                    <pic:cNvPr id="0" name="logo_brand.png"/>
                    <pic:cNvPicPr/>
                  </pic:nvPicPr>
                  <pic:blipFill>
                    <a:blip r:embed="rId9"/>
                    <a:stretch>
                      <a:fillRect/>
                    </a:stretch>
                  </pic:blipFill>
                  <pic:spPr>
                    <a:xfrm>
                      <a:off x="0" y="0"/>
                      <a:ext cx="1325880" cy="1312621"/>
                    </a:xfrm>
                    <a:prstGeom prst="rect"/>
                  </pic:spPr>
                </pic:pic>
              </a:graphicData>
            </a:graphic>
          </wp:inline>
        </w:drawing>
      </w:r>
    </w:p>
    <w:p>
      <w:pPr>
        <w:spacing w:before="80" w:after="0" w:line="276" w:lineRule="auto"/>
        <w:jc w:val="center"/>
      </w:pPr>
      <w:r>
        <w:rPr>
          <w:rFonts w:ascii="Calibri" w:hAnsi="Calibri"/>
          <w:b/>
          <w:i w:val="0"/>
          <w:color w:val="064B84"/>
          <w:sz w:val="60"/>
        </w:rPr>
        <w:t>POVEON LTD</w:t>
      </w:r>
    </w:p>
    <w:p>
      <w:pPr>
        <w:spacing w:before="0" w:after="40" w:line="276" w:lineRule="auto"/>
        <w:jc w:val="center"/>
      </w:pPr>
      <w:r>
        <w:rPr>
          <w:rFonts w:ascii="Calibri" w:hAnsi="Calibri"/>
          <w:b w:val="0"/>
          <w:i/>
          <w:color w:val="047857"/>
          <w:sz w:val="22"/>
        </w:rPr>
        <w:t>Healthcare Technology  ·  Diagnostic Referral Platform</w:t>
      </w:r>
    </w:p>
    <w:p>
      <w:pPr>
        <w:spacing w:before="0" w:after="280" w:line="276" w:lineRule="auto"/>
        <w:jc w:val="center"/>
      </w:pPr>
      <w:r>
        <w:rPr>
          <w:rFonts w:ascii="Calibri" w:hAnsi="Calibri"/>
          <w:b w:val="0"/>
          <w:i w:val="0"/>
          <w:color w:val="555F6D"/>
          <w:sz w:val="20"/>
        </w:rPr>
        <w:t>https://poveon.com</w:t>
      </w:r>
    </w:p>
    <w:p>
      <w:pPr>
        <w:pBdr>
          <w:bottom w:val="single" w:sz="18" w:space="1" w:color="059669"/>
        </w:pBdr>
        <w:spacing w:after="400"/>
        <w:jc w:val="center"/>
      </w:pPr>
    </w:p>
    <w:p>
      <w:pPr>
        <w:spacing w:before="0" w:after="0" w:line="276" w:lineRule="auto"/>
        <w:jc w:val="center"/>
      </w:pPr>
      <w:r>
        <w:rPr>
          <w:rFonts w:ascii="Calibri" w:hAnsi="Calibri"/>
          <w:b/>
          <w:i w:val="0"/>
          <w:color w:val="0259A0"/>
          <w:sz w:val="46"/>
        </w:rPr>
        <w:t>EXECUTIVE REVENUE SHARING</w:t>
      </w:r>
    </w:p>
    <w:p>
      <w:pPr>
        <w:spacing w:before="0" w:after="280" w:line="276" w:lineRule="auto"/>
        <w:jc w:val="center"/>
      </w:pPr>
      <w:r>
        <w:rPr>
          <w:rFonts w:ascii="Calibri" w:hAnsi="Calibri"/>
          <w:b/>
          <w:i w:val="0"/>
          <w:color w:val="0259A0"/>
          <w:sz w:val="46"/>
        </w:rPr>
        <w:t>&amp; PERFORMANCE AGREEMENT</w:t>
      </w:r>
    </w:p>
    <w:p>
      <w:pPr>
        <w:spacing w:before="0" w:after="120" w:line="276" w:lineRule="auto"/>
        <w:jc w:val="center"/>
      </w:pPr>
      <w:r>
        <w:rPr>
          <w:rFonts w:ascii="Calibri" w:hAnsi="Calibri"/>
          <w:b/>
          <w:i w:val="0"/>
          <w:color w:val="555F6D"/>
          <w:sz w:val="21"/>
        </w:rPr>
        <w:t>RELATING TO THE APPOINTMENT OF AN EXECUTIVE AS</w:t>
      </w:r>
    </w:p>
    <w:p>
      <w:pPr>
        <w:spacing w:before="0" w:after="0" w:line="276" w:lineRule="auto"/>
        <w:jc w:val="center"/>
      </w:pPr>
      <w:r>
        <w:rPr>
          <w:rFonts w:ascii="Calibri" w:hAnsi="Calibri"/>
          <w:b/>
          <w:i w:val="0"/>
          <w:color w:val="047857"/>
          <w:sz w:val="28"/>
        </w:rPr>
        <w:t>Chief Marketing Officer (CMO)</w:t>
      </w:r>
    </w:p>
    <w:p>
      <w:pPr>
        <w:spacing w:before="0" w:after="440" w:line="276" w:lineRule="auto"/>
        <w:jc w:val="center"/>
      </w:pPr>
      <w:r>
        <w:rPr>
          <w:rFonts w:ascii="Calibri" w:hAnsi="Calibri"/>
          <w:b/>
          <w:i w:val="0"/>
          <w:color w:val="047857"/>
          <w:sz w:val="28"/>
        </w:rPr>
        <w:t>and Chief Strategy Officer (CSO)</w:t>
      </w:r>
    </w:p>
    <w:tbl>
      <w:tblPr>
        <w:tblW w:type="auto" w:w="0"/>
        <w:jc w:val="center"/>
        <w:tblLook w:firstColumn="1" w:firstRow="1" w:lastColumn="0" w:lastRow="0" w:noHBand="0" w:noVBand="1" w:val="04A0"/>
      </w:tblPr>
      <w:tblGrid>
        <w:gridCol w:w="9360"/>
      </w:tblGrid>
      <w:tr>
        <w:tc>
          <w:tcPr>
            <w:tcW w:type="dxa" w:w="9360"/>
            <w:shd w:val="clear" w:color="auto" w:fill="EAF3FB"/>
            <w:tcMar>
              <w:top w:w="160" w:type="dxa"/>
              <w:bottom w:w="160" w:type="dxa"/>
              <w:start w:w="260" w:type="dxa"/>
              <w:end w:w="260" w:type="dxa"/>
              <w:left w:w="260" w:type="dxa"/>
              <w:right w:w="260" w:type="dxa"/>
            </w:tcMar>
          </w:tcPr>
          <w:p>
            <w:pPr>
              <w:spacing w:after="40"/>
              <w:jc w:val="center"/>
            </w:pPr>
            <w:r/>
            <w:r>
              <w:rPr>
                <w:rFonts w:ascii="Calibri" w:hAnsi="Calibri"/>
                <w:b/>
                <w:color w:val="047857"/>
                <w:sz w:val="18"/>
              </w:rPr>
              <w:t xml:space="preserve">PARTY (1)   </w:t>
            </w:r>
            <w:r>
              <w:rPr>
                <w:rFonts w:ascii="Calibri" w:hAnsi="Calibri"/>
                <w:b/>
                <w:color w:val="1A202C"/>
                <w:sz w:val="21"/>
              </w:rPr>
              <w:t>Poveon LTD</w:t>
            </w:r>
          </w:p>
          <w:p>
            <w:pPr>
              <w:spacing w:after="40"/>
              <w:jc w:val="center"/>
            </w:pPr>
            <w:r>
              <w:rPr>
                <w:rFonts w:ascii="Calibri" w:hAnsi="Calibri"/>
                <w:b/>
                <w:color w:val="047857"/>
                <w:sz w:val="18"/>
              </w:rPr>
              <w:t xml:space="preserve">PARTY (2)   </w:t>
            </w:r>
            <w:r>
              <w:rPr>
                <w:rFonts w:ascii="Calibri" w:hAnsi="Calibri"/>
                <w:b/>
                <w:color w:val="1A202C"/>
                <w:sz w:val="21"/>
              </w:rPr>
              <w:t>The Executive (Chief Marketing Officer &amp; Chief Strategy Officer)</w:t>
            </w:r>
          </w:p>
          <w:p>
            <w:pPr>
              <w:spacing w:after="40"/>
              <w:jc w:val="center"/>
            </w:pPr>
            <w:r>
              <w:rPr>
                <w:rFonts w:ascii="Calibri" w:hAnsi="Calibri"/>
                <w:b/>
                <w:color w:val="047857"/>
                <w:sz w:val="18"/>
              </w:rPr>
              <w:t xml:space="preserve">EFFECTIVE DATE   </w:t>
            </w:r>
            <w:r>
              <w:rPr>
                <w:rFonts w:ascii="Calibri" w:hAnsi="Calibri"/>
                <w:b/>
                <w:color w:val="1A202C"/>
                <w:sz w:val="21"/>
              </w:rPr>
              <w:t>1 June 2026</w:t>
            </w:r>
          </w:p>
          <w:p>
            <w:pPr>
              <w:spacing w:after="40"/>
              <w:jc w:val="center"/>
            </w:pPr>
            <w:r>
              <w:rPr>
                <w:rFonts w:ascii="Calibri" w:hAnsi="Calibri"/>
                <w:b/>
                <w:color w:val="047857"/>
                <w:sz w:val="18"/>
              </w:rPr>
              <w:t xml:space="preserve">TERM   </w:t>
            </w:r>
            <w:r>
              <w:rPr>
                <w:rFonts w:ascii="Calibri" w:hAnsi="Calibri"/>
                <w:b/>
                <w:color w:val="1A202C"/>
                <w:sz w:val="21"/>
              </w:rPr>
              <w:t>12 months, ending 31 May 2027</w:t>
            </w:r>
          </w:p>
        </w:tc>
      </w:tr>
    </w:tbl>
    <w:p>
      <w:pPr>
        <w:spacing w:before="0" w:after="400" w:line="276" w:lineRule="auto"/>
      </w:pPr>
    </w:p>
    <w:p>
      <w:pPr>
        <w:spacing w:before="0" w:after="40" w:line="276" w:lineRule="auto"/>
        <w:jc w:val="center"/>
      </w:pPr>
      <w:r>
        <w:rPr>
          <w:rFonts w:ascii="Calibri" w:hAnsi="Calibri"/>
          <w:b/>
          <w:i w:val="0"/>
          <w:color w:val="064B84"/>
          <w:sz w:val="20"/>
        </w:rPr>
        <w:t>STRICTLY PRIVATE &amp; CONFIDENTIAL</w:t>
      </w:r>
    </w:p>
    <w:p>
      <w:pPr>
        <w:spacing w:before="0" w:after="0" w:line="276" w:lineRule="auto"/>
        <w:jc w:val="center"/>
      </w:pPr>
      <w:r>
        <w:rPr>
          <w:rFonts w:ascii="Calibri" w:hAnsi="Calibri"/>
          <w:b w:val="0"/>
          <w:i w:val="0"/>
          <w:color w:val="555F6D"/>
          <w:sz w:val="17"/>
        </w:rPr>
        <w:t>Prepared for execution by Poveon LTD. This document is confidential and intended solely for the named parties, the Board of Directors, and their professional advisers.</w:t>
      </w:r>
    </w:p>
    <w:p>
      <w:pPr>
        <w:sectPr>
          <w:pgSz w:w="12240" w:h="15840"/>
          <w:pgMar w:top="1152" w:right="1440" w:bottom="1152" w:left="1440" w:header="720" w:footer="720" w:gutter="0"/>
          <w:cols w:space="720"/>
          <w:docGrid w:linePitch="360"/>
        </w:sectPr>
      </w:pPr>
    </w:p>
    <w:p>
      <w:pPr>
        <w:spacing w:before="0" w:after="80" w:line="276" w:lineRule="auto"/>
      </w:pPr>
      <w:r>
        <w:rPr>
          <w:rFonts w:ascii="Calibri" w:hAnsi="Calibri"/>
          <w:b/>
          <w:i w:val="0"/>
          <w:color w:val="064B84"/>
          <w:sz w:val="36"/>
        </w:rPr>
        <w:t>Table of Contents</w:t>
      </w:r>
    </w:p>
    <w:p>
      <w:pPr>
        <w:pBdr>
          <w:bottom w:val="single" w:sz="12" w:space="1" w:color="059669"/>
        </w:pBdr>
        <w:spacing w:after="200"/>
      </w:pPr>
    </w:p>
    <w:p>
      <w:r>
        <w:fldChar w:fldCharType="begin"/>
        <w:instrText xml:space="preserve">TOC \o "1-1" \h \z \u</w:instrText>
        <w:fldChar w:fldCharType="separate"/>
        <w:t>Right-click here and choose “Update Field” to build the Table of Contents.</w:t>
        <w:fldChar w:fldCharType="end"/>
      </w:r>
    </w:p>
    <w:p>
      <w:pPr>
        <w:sectPr>
          <w:pgSz w:w="12240" w:h="15840"/>
          <w:pgMar w:top="1152" w:right="1440" w:bottom="1152" w:left="1440" w:header="720" w:footer="720" w:gutter="0"/>
          <w:cols w:space="720"/>
          <w:docGrid w:linePitch="360"/>
        </w:sectPr>
      </w:pPr>
    </w:p>
    <w:p>
      <w:pPr>
        <w:spacing w:before="0" w:after="160" w:line="276" w:lineRule="auto"/>
        <w:jc w:val="center"/>
      </w:pPr>
      <w:r>
        <w:rPr>
          <w:rFonts w:ascii="Calibri" w:hAnsi="Calibri"/>
          <w:b/>
          <w:i w:val="0"/>
          <w:color w:val="064B84"/>
          <w:sz w:val="30"/>
        </w:rPr>
        <w:t>EXECUTIVE REVENUE SHARING &amp; PERFORMANCE AGREEMENT</w:t>
      </w:r>
    </w:p>
    <w:p>
      <w:pPr>
        <w:spacing w:after="160"/>
        <w:jc w:val="both"/>
      </w:pPr>
      <w:r>
        <w:rPr>
          <w:rFonts w:ascii="Calibri" w:hAnsi="Calibri"/>
          <w:b/>
          <w:color w:val="1A202C"/>
          <w:sz w:val="21"/>
        </w:rPr>
        <w:t>THIS EXECUTIVE REVENUE SHARING &amp; PERFORMANCE AGREEMENT</w:t>
      </w:r>
      <w:r>
        <w:rPr>
          <w:rFonts w:ascii="Calibri" w:hAnsi="Calibri"/>
          <w:sz w:val="21"/>
        </w:rPr>
        <w:t xml:space="preserve"> (this “Agreement”) is made and entered into with effect from </w:t>
      </w:r>
      <w:r>
        <w:rPr>
          <w:rFonts w:ascii="Calibri" w:hAnsi="Calibri"/>
          <w:b/>
          <w:color w:val="0259A0"/>
          <w:sz w:val="21"/>
        </w:rPr>
        <w:t>1 June 2026</w:t>
      </w:r>
      <w:r>
        <w:rPr>
          <w:rFonts w:ascii="Calibri" w:hAnsi="Calibri"/>
          <w:sz w:val="21"/>
        </w:rPr>
        <w:t xml:space="preserve"> (the “Effective Date”).</w:t>
      </w:r>
    </w:p>
    <w:p>
      <w:pPr>
        <w:spacing w:before="200" w:after="80"/>
      </w:pPr>
      <w:r>
        <w:rPr>
          <w:rFonts w:ascii="Calibri" w:hAnsi="Calibri"/>
          <w:b/>
          <w:color w:val="047857"/>
          <w:sz w:val="21"/>
          <w:spacing w:val="20"/>
        </w:rPr>
        <w:t>BETWEEN</w:t>
      </w:r>
    </w:p>
    <w:p>
      <w:pPr>
        <w:spacing w:after="80"/>
        <w:ind w:left="288"/>
      </w:pPr>
      <w:r>
        <w:rPr>
          <w:rFonts w:ascii="Calibri" w:hAnsi="Calibri"/>
          <w:b/>
          <w:color w:val="064B84"/>
          <w:sz w:val="21"/>
        </w:rPr>
        <w:t>(1)  POVEON LTD</w:t>
      </w:r>
      <w:r>
        <w:rPr>
          <w:rFonts w:ascii="Calibri" w:hAnsi="Calibri"/>
          <w:sz w:val="21"/>
        </w:rPr>
        <w:t>, a private limited liability company incorporated under the laws of the Federal Republic of Nigeria, operating the Poveon healthcare technology platform at https://poveon.com (the “Company” or “Poveon”); and</w:t>
      </w:r>
    </w:p>
    <w:p>
      <w:pPr>
        <w:spacing w:after="120"/>
        <w:ind w:left="288"/>
      </w:pPr>
      <w:r>
        <w:rPr>
          <w:rFonts w:ascii="Calibri" w:hAnsi="Calibri"/>
          <w:b/>
          <w:color w:val="064B84"/>
          <w:sz w:val="21"/>
        </w:rPr>
        <w:t>(2)  THE EXECUTIVE</w:t>
      </w:r>
      <w:r>
        <w:rPr>
          <w:rFonts w:ascii="Calibri" w:hAnsi="Calibri"/>
          <w:sz w:val="21"/>
        </w:rPr>
        <w:t>, the individual named and identified on the signature page of this Agreement, who is appointed to serve as the Company’s Chief Marketing Officer (CMO) and Chief Strategy Officer (CSO) (the “Executive”).</w:t>
      </w:r>
    </w:p>
    <w:p>
      <w:pPr>
        <w:spacing w:before="0" w:after="160" w:line="276" w:lineRule="auto"/>
      </w:pPr>
      <w:r>
        <w:rPr>
          <w:rFonts w:ascii="Calibri" w:hAnsi="Calibri"/>
          <w:b w:val="0"/>
          <w:i w:val="0"/>
          <w:color w:val="1A202C"/>
          <w:sz w:val="21"/>
        </w:rPr>
        <w:t>Poveon and the Executive are each referred to as a “Party” and together as the “Parties”.</w:t>
      </w:r>
    </w:p>
    <w:p>
      <w:pPr>
        <w:spacing w:before="200" w:after="80"/>
      </w:pPr>
      <w:r>
        <w:rPr>
          <w:rFonts w:ascii="Calibri" w:hAnsi="Calibri"/>
          <w:b/>
          <w:color w:val="047857"/>
          <w:sz w:val="21"/>
          <w:spacing w:val="20"/>
        </w:rPr>
        <w:t>BACKGROUND AND RECITALS</w:t>
      </w:r>
    </w:p>
    <w:p>
      <w:pPr>
        <w:tabs>
          <w:tab w:pos="720" w:val="left"/>
        </w:tabs>
        <w:spacing w:after="80"/>
        <w:ind w:left="720" w:hanging="432"/>
        <w:jc w:val="both"/>
      </w:pPr>
      <w:r>
        <w:rPr>
          <w:rFonts w:ascii="Calibri" w:hAnsi="Calibri"/>
          <w:b/>
          <w:color w:val="0259A0"/>
          <w:sz w:val="21"/>
        </w:rPr>
        <w:t>(A)</w:t>
        <w:tab/>
      </w:r>
      <w:r>
        <w:rPr>
          <w:rFonts w:ascii="Calibri" w:hAnsi="Calibri"/>
          <w:sz w:val="21"/>
        </w:rPr>
        <w:t>Poveon operates a healthcare technology platform that connects healthcare providers with diagnostic laboratories through a digital referral and laboratory request system. Healthcare providers submit laboratory requests through Poveon, patients attend the relevant laboratories, and the laboratories deliver the requested diagnostic services.</w:t>
      </w:r>
    </w:p>
    <w:p>
      <w:pPr>
        <w:tabs>
          <w:tab w:pos="720" w:val="left"/>
        </w:tabs>
        <w:spacing w:after="80"/>
        <w:ind w:left="720" w:hanging="432"/>
        <w:jc w:val="both"/>
      </w:pPr>
      <w:r>
        <w:rPr>
          <w:rFonts w:ascii="Calibri" w:hAnsi="Calibri"/>
          <w:b/>
          <w:color w:val="0259A0"/>
          <w:sz w:val="21"/>
        </w:rPr>
        <w:t>(B)</w:t>
        <w:tab/>
      </w:r>
      <w:r>
        <w:rPr>
          <w:rFonts w:ascii="Calibri" w:hAnsi="Calibri"/>
          <w:sz w:val="21"/>
        </w:rPr>
        <w:t>Poveon earns a commission equal to two per cent (2%) of the value of every completed laboratory transaction facilitated through, or attributable to, the Poveon platform.</w:t>
      </w:r>
    </w:p>
    <w:p>
      <w:pPr>
        <w:tabs>
          <w:tab w:pos="720" w:val="left"/>
        </w:tabs>
        <w:spacing w:after="80"/>
        <w:ind w:left="720" w:hanging="432"/>
        <w:jc w:val="both"/>
      </w:pPr>
      <w:r>
        <w:rPr>
          <w:rFonts w:ascii="Calibri" w:hAnsi="Calibri"/>
          <w:b/>
          <w:color w:val="0259A0"/>
          <w:sz w:val="21"/>
        </w:rPr>
        <w:t>(C)</w:t>
        <w:tab/>
      </w:r>
      <w:r>
        <w:rPr>
          <w:rFonts w:ascii="Calibri" w:hAnsi="Calibri"/>
          <w:sz w:val="21"/>
        </w:rPr>
        <w:t>Because patient payments may, in practice, be made directly to laboratories and outside the platform, Poveon cannot always directly verify the moment of patient payment. Poveon can, however, reliably verify patient arrival, completion of the diagnostic service, and laboratory confirmation, and records such matters in its official accounting system.</w:t>
      </w:r>
    </w:p>
    <w:p>
      <w:pPr>
        <w:tabs>
          <w:tab w:pos="720" w:val="left"/>
        </w:tabs>
        <w:spacing w:after="80"/>
        <w:ind w:left="720" w:hanging="432"/>
        <w:jc w:val="both"/>
      </w:pPr>
      <w:r>
        <w:rPr>
          <w:rFonts w:ascii="Calibri" w:hAnsi="Calibri"/>
          <w:b/>
          <w:color w:val="0259A0"/>
          <w:sz w:val="21"/>
        </w:rPr>
        <w:t>(D)</w:t>
        <w:tab/>
      </w:r>
      <w:r>
        <w:rPr>
          <w:rFonts w:ascii="Calibri" w:hAnsi="Calibri"/>
          <w:sz w:val="21"/>
        </w:rPr>
        <w:t>The Parties therefore intend that the Executive’s compensation under this Agreement shall be tied exclusively to revenue that Poveon has officially confirmed, in order to motivate laboratory acquisition and growth while protecting Poveon from disputes over commission calculations.</w:t>
      </w:r>
    </w:p>
    <w:p>
      <w:pPr>
        <w:tabs>
          <w:tab w:pos="720" w:val="left"/>
        </w:tabs>
        <w:spacing w:after="80"/>
        <w:ind w:left="720" w:hanging="432"/>
        <w:jc w:val="both"/>
      </w:pPr>
      <w:r>
        <w:rPr>
          <w:rFonts w:ascii="Calibri" w:hAnsi="Calibri"/>
          <w:b/>
          <w:color w:val="0259A0"/>
          <w:sz w:val="21"/>
        </w:rPr>
        <w:t>(E)</w:t>
        <w:tab/>
      </w:r>
      <w:r>
        <w:rPr>
          <w:rFonts w:ascii="Calibri" w:hAnsi="Calibri"/>
          <w:sz w:val="21"/>
        </w:rPr>
        <w:t>The Executive has the experience and capability to lead the Company’s marketing, commercial and strategy functions, and is willing to be appointed on a wholly performance-based, revenue-sharing basis on the terms set out in this Agreement.</w:t>
      </w:r>
    </w:p>
    <w:p>
      <w:pPr>
        <w:spacing w:before="120" w:after="80"/>
      </w:pPr>
      <w:r>
        <w:rPr>
          <w:rFonts w:ascii="Calibri" w:hAnsi="Calibri"/>
          <w:b/>
          <w:color w:val="064B84"/>
          <w:sz w:val="21"/>
        </w:rPr>
        <w:t>NOW, THEREFORE,</w:t>
      </w:r>
      <w:r>
        <w:rPr>
          <w:rFonts w:ascii="Calibri" w:hAnsi="Calibri"/>
          <w:sz w:val="21"/>
        </w:rPr>
        <w:t xml:space="preserve"> in consideration of the mutual covenants and undertakings set out below, and intending to be legally bound, the Parties agree as follows:</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w:t>
      </w:r>
      <w:r>
        <w:tab/>
      </w:r>
      <w:r>
        <w:rPr>
          <w:rFonts w:ascii="Calibri" w:hAnsi="Calibri"/>
          <w:b/>
          <w:color w:val="064B84"/>
          <w:sz w:val="26"/>
        </w:rPr>
        <w:t>DEFINITIONS</w:t>
      </w:r>
    </w:p>
    <w:p>
      <w:pPr>
        <w:tabs>
          <w:tab w:pos="605" w:val="left"/>
        </w:tabs>
        <w:spacing w:before="40" w:after="120" w:line="276" w:lineRule="auto"/>
        <w:ind w:left="605" w:hanging="605"/>
      </w:pPr>
      <w:r>
        <w:rPr>
          <w:rFonts w:ascii="Calibri" w:hAnsi="Calibri"/>
          <w:b/>
          <w:color w:val="0259A0"/>
          <w:sz w:val="21"/>
        </w:rPr>
        <w:t>1.1</w:t>
      </w:r>
      <w:r>
        <w:tab/>
      </w:r>
      <w:r>
        <w:rPr>
          <w:rFonts w:ascii="Calibri" w:hAnsi="Calibri"/>
          <w:color w:val="1A202C"/>
          <w:sz w:val="21"/>
        </w:rPr>
        <w:t>In this Agreement, unless the context otherwise requires, the following words and expressions shall have the meanings set out below:</w:t>
      </w:r>
    </w:p>
    <w:p>
      <w:pPr>
        <w:spacing w:before="0" w:after="120" w:line="276" w:lineRule="auto"/>
        <w:ind w:left="605"/>
      </w:pPr>
      <w:r>
        <w:rPr>
          <w:rFonts w:ascii="Calibri" w:hAnsi="Calibri"/>
          <w:b/>
          <w:color w:val="064B84"/>
          <w:sz w:val="21"/>
        </w:rPr>
        <w:t xml:space="preserve">“Activated Laboratory” </w:t>
      </w:r>
      <w:r>
        <w:rPr>
          <w:rFonts w:ascii="Calibri" w:hAnsi="Calibri"/>
          <w:i/>
          <w:color w:val="555F6D"/>
          <w:sz w:val="21"/>
        </w:rPr>
        <w:t xml:space="preserve">means </w:t>
      </w:r>
      <w:r>
        <w:rPr>
          <w:rFonts w:ascii="Calibri" w:hAnsi="Calibri"/>
          <w:color w:val="1A202C"/>
          <w:sz w:val="21"/>
        </w:rPr>
        <w:t>a laboratory that has been onboarded, has executed a partnership or services agreement with Poveon, has been technically and operationally enabled on the Poveon platform, and is capable of receiving and fulfilling laboratory requests.</w:t>
      </w:r>
    </w:p>
    <w:p>
      <w:pPr>
        <w:spacing w:before="0" w:after="120" w:line="276" w:lineRule="auto"/>
        <w:ind w:left="605"/>
      </w:pPr>
      <w:r>
        <w:rPr>
          <w:rFonts w:ascii="Calibri" w:hAnsi="Calibri"/>
          <w:b/>
          <w:color w:val="064B84"/>
          <w:sz w:val="21"/>
        </w:rPr>
        <w:t xml:space="preserve">“Agreement” </w:t>
      </w:r>
      <w:r>
        <w:rPr>
          <w:rFonts w:ascii="Calibri" w:hAnsi="Calibri"/>
          <w:i/>
          <w:color w:val="555F6D"/>
          <w:sz w:val="21"/>
        </w:rPr>
        <w:t xml:space="preserve">means </w:t>
      </w:r>
      <w:r>
        <w:rPr>
          <w:rFonts w:ascii="Calibri" w:hAnsi="Calibri"/>
          <w:color w:val="1A202C"/>
          <w:sz w:val="21"/>
        </w:rPr>
        <w:t>this Executive Revenue Sharing &amp; Performance Agreement, together with all Schedules and Appendices, as varied in accordance with its terms.</w:t>
      </w:r>
    </w:p>
    <w:p>
      <w:pPr>
        <w:spacing w:before="0" w:after="120" w:line="276" w:lineRule="auto"/>
        <w:ind w:left="605"/>
      </w:pPr>
      <w:r>
        <w:rPr>
          <w:rFonts w:ascii="Calibri" w:hAnsi="Calibri"/>
          <w:b/>
          <w:color w:val="064B84"/>
          <w:sz w:val="21"/>
        </w:rPr>
        <w:t xml:space="preserve">“Business Day” </w:t>
      </w:r>
      <w:r>
        <w:rPr>
          <w:rFonts w:ascii="Calibri" w:hAnsi="Calibri"/>
          <w:i/>
          <w:color w:val="555F6D"/>
          <w:sz w:val="21"/>
        </w:rPr>
        <w:t xml:space="preserve">means </w:t>
      </w:r>
      <w:r>
        <w:rPr>
          <w:rFonts w:ascii="Calibri" w:hAnsi="Calibri"/>
          <w:color w:val="1A202C"/>
          <w:sz w:val="21"/>
        </w:rPr>
        <w:t>any day other than a Saturday, Sunday or public holiday on which licensed banks are open for general business in Lagos, Nigeria.</w:t>
      </w:r>
    </w:p>
    <w:p>
      <w:pPr>
        <w:spacing w:before="0" w:after="120" w:line="276" w:lineRule="auto"/>
        <w:ind w:left="605"/>
      </w:pPr>
      <w:r>
        <w:rPr>
          <w:rFonts w:ascii="Calibri" w:hAnsi="Calibri"/>
          <w:b/>
          <w:color w:val="064B84"/>
          <w:sz w:val="21"/>
        </w:rPr>
        <w:t xml:space="preserve">“Commission” </w:t>
      </w:r>
      <w:r>
        <w:rPr>
          <w:rFonts w:ascii="Calibri" w:hAnsi="Calibri"/>
          <w:i/>
          <w:color w:val="555F6D"/>
          <w:sz w:val="21"/>
        </w:rPr>
        <w:t xml:space="preserve">means </w:t>
      </w:r>
      <w:r>
        <w:rPr>
          <w:rFonts w:ascii="Calibri" w:hAnsi="Calibri"/>
          <w:color w:val="1A202C"/>
          <w:sz w:val="21"/>
        </w:rPr>
        <w:t>the two per cent (2%) commission earned by Poveon on the value of a completed laboratory transaction facilitated through or attributable to the Poveon platform.</w:t>
      </w:r>
    </w:p>
    <w:p>
      <w:pPr>
        <w:spacing w:before="0" w:after="120" w:line="276" w:lineRule="auto"/>
        <w:ind w:left="605"/>
      </w:pPr>
      <w:r>
        <w:rPr>
          <w:rFonts w:ascii="Calibri" w:hAnsi="Calibri"/>
          <w:b/>
          <w:color w:val="064B84"/>
          <w:sz w:val="21"/>
        </w:rPr>
        <w:t xml:space="preserve">“Confidential Information” </w:t>
      </w:r>
      <w:r>
        <w:rPr>
          <w:rFonts w:ascii="Calibri" w:hAnsi="Calibri"/>
          <w:i/>
          <w:color w:val="555F6D"/>
          <w:sz w:val="21"/>
        </w:rPr>
        <w:t xml:space="preserve">means </w:t>
      </w:r>
      <w:r>
        <w:rPr>
          <w:rFonts w:ascii="Calibri" w:hAnsi="Calibri"/>
          <w:color w:val="1A202C"/>
          <w:sz w:val="21"/>
        </w:rPr>
        <w:t>all information of a confidential or proprietary nature relating to the Company, its business, platform, technology, finances, laboratories, providers, patients, pricing, strategy and affairs, in whatever form, disclosed to or accessed by the Executive.</w:t>
      </w:r>
    </w:p>
    <w:p>
      <w:pPr>
        <w:spacing w:before="0" w:after="120" w:line="276" w:lineRule="auto"/>
        <w:ind w:left="605"/>
      </w:pPr>
      <w:r>
        <w:rPr>
          <w:rFonts w:ascii="Calibri" w:hAnsi="Calibri"/>
          <w:b/>
          <w:color w:val="064B84"/>
          <w:sz w:val="21"/>
        </w:rPr>
        <w:t xml:space="preserve">“Confirmed Transaction” </w:t>
      </w:r>
      <w:r>
        <w:rPr>
          <w:rFonts w:ascii="Calibri" w:hAnsi="Calibri"/>
          <w:i/>
          <w:color w:val="555F6D"/>
          <w:sz w:val="21"/>
        </w:rPr>
        <w:t xml:space="preserve">means </w:t>
      </w:r>
      <w:r>
        <w:rPr>
          <w:rFonts w:ascii="Calibri" w:hAnsi="Calibri"/>
          <w:color w:val="1A202C"/>
          <w:sz w:val="21"/>
        </w:rPr>
        <w:t>a laboratory transaction that satisfies each of the conditions set out in Clause 8 (Confirmed Transactions) and is recorded as commission-payable in Poveon’s official accounting system.</w:t>
      </w:r>
    </w:p>
    <w:p>
      <w:pPr>
        <w:spacing w:before="0" w:after="120" w:line="276" w:lineRule="auto"/>
        <w:ind w:left="605"/>
      </w:pPr>
      <w:r>
        <w:rPr>
          <w:rFonts w:ascii="Calibri" w:hAnsi="Calibri"/>
          <w:b/>
          <w:color w:val="064B84"/>
          <w:sz w:val="21"/>
        </w:rPr>
        <w:t xml:space="preserve">“Effective Date” </w:t>
      </w:r>
      <w:r>
        <w:rPr>
          <w:rFonts w:ascii="Calibri" w:hAnsi="Calibri"/>
          <w:i/>
          <w:color w:val="555F6D"/>
          <w:sz w:val="21"/>
        </w:rPr>
        <w:t xml:space="preserve">means </w:t>
      </w:r>
      <w:r>
        <w:rPr>
          <w:rFonts w:ascii="Calibri" w:hAnsi="Calibri"/>
          <w:color w:val="1A202C"/>
          <w:sz w:val="21"/>
        </w:rPr>
        <w:t>1 June 2026.</w:t>
      </w:r>
    </w:p>
    <w:p>
      <w:pPr>
        <w:spacing w:before="0" w:after="120" w:line="276" w:lineRule="auto"/>
        <w:ind w:left="605"/>
      </w:pPr>
      <w:r>
        <w:rPr>
          <w:rFonts w:ascii="Calibri" w:hAnsi="Calibri"/>
          <w:b/>
          <w:color w:val="064B84"/>
          <w:sz w:val="21"/>
        </w:rPr>
        <w:t xml:space="preserve">“Introduced Laboratory” </w:t>
      </w:r>
      <w:r>
        <w:rPr>
          <w:rFonts w:ascii="Calibri" w:hAnsi="Calibri"/>
          <w:i/>
          <w:color w:val="555F6D"/>
          <w:sz w:val="21"/>
        </w:rPr>
        <w:t xml:space="preserve">means </w:t>
      </w:r>
      <w:r>
        <w:rPr>
          <w:rFonts w:ascii="Calibri" w:hAnsi="Calibri"/>
          <w:color w:val="1A202C"/>
          <w:sz w:val="21"/>
        </w:rPr>
        <w:t>a laboratory that qualifies as such under Clause 7 (Introduced Laboratories), being a laboratory personally and first introduced to Poveon by the Executive and recorded by Poveon as having the Executive as its acquisition source.</w:t>
      </w:r>
    </w:p>
    <w:p>
      <w:pPr>
        <w:spacing w:before="0" w:after="120" w:line="276" w:lineRule="auto"/>
        <w:ind w:left="605"/>
      </w:pPr>
      <w:r>
        <w:rPr>
          <w:rFonts w:ascii="Calibri" w:hAnsi="Calibri"/>
          <w:b/>
          <w:color w:val="064B84"/>
          <w:sz w:val="21"/>
        </w:rPr>
        <w:t xml:space="preserve">“Intellectual Property” </w:t>
      </w:r>
      <w:r>
        <w:rPr>
          <w:rFonts w:ascii="Calibri" w:hAnsi="Calibri"/>
          <w:i/>
          <w:color w:val="555F6D"/>
          <w:sz w:val="21"/>
        </w:rPr>
        <w:t xml:space="preserve">means </w:t>
      </w:r>
      <w:r>
        <w:rPr>
          <w:rFonts w:ascii="Calibri" w:hAnsi="Calibri"/>
          <w:color w:val="1A202C"/>
          <w:sz w:val="21"/>
        </w:rPr>
        <w:t>all patents, trademarks, service marks, trade names, domain names, get-up, logos, designs, copyrights, database rights, know-how, trade secrets and all other intellectual property rights, whether registered or unregistered, and all applications for the same, anywhere in the world.</w:t>
      </w:r>
    </w:p>
    <w:p>
      <w:pPr>
        <w:spacing w:before="0" w:after="120" w:line="276" w:lineRule="auto"/>
        <w:ind w:left="605"/>
      </w:pPr>
      <w:r>
        <w:rPr>
          <w:rFonts w:ascii="Calibri" w:hAnsi="Calibri"/>
          <w:b/>
          <w:color w:val="064B84"/>
          <w:sz w:val="21"/>
        </w:rPr>
        <w:t xml:space="preserve">“KPIs” </w:t>
      </w:r>
      <w:r>
        <w:rPr>
          <w:rFonts w:ascii="Calibri" w:hAnsi="Calibri"/>
          <w:i/>
          <w:color w:val="555F6D"/>
          <w:sz w:val="21"/>
        </w:rPr>
        <w:t xml:space="preserve">means </w:t>
      </w:r>
      <w:r>
        <w:rPr>
          <w:rFonts w:ascii="Calibri" w:hAnsi="Calibri"/>
          <w:color w:val="1A202C"/>
          <w:sz w:val="21"/>
        </w:rPr>
        <w:t>the key performance indicators and targets set out in Clause 6 (Performance Standards) and Appendix C (Quarterly KPI Scorecard).</w:t>
      </w:r>
    </w:p>
    <w:p>
      <w:pPr>
        <w:spacing w:before="0" w:after="120" w:line="276" w:lineRule="auto"/>
        <w:ind w:left="605"/>
      </w:pPr>
      <w:r>
        <w:rPr>
          <w:rFonts w:ascii="Calibri" w:hAnsi="Calibri"/>
          <w:b/>
          <w:color w:val="064B84"/>
          <w:sz w:val="21"/>
        </w:rPr>
        <w:t xml:space="preserve">“Net Commission Revenue” </w:t>
      </w:r>
      <w:r>
        <w:rPr>
          <w:rFonts w:ascii="Calibri" w:hAnsi="Calibri"/>
          <w:i/>
          <w:color w:val="555F6D"/>
          <w:sz w:val="21"/>
        </w:rPr>
        <w:t xml:space="preserve">means </w:t>
      </w:r>
      <w:r>
        <w:rPr>
          <w:rFonts w:ascii="Calibri" w:hAnsi="Calibri"/>
          <w:color w:val="1A202C"/>
          <w:sz w:val="21"/>
        </w:rPr>
        <w:t>the amount calculated in accordance with Clause 9 (Net Commission Revenue), being Poveon’s 2% Commission actually received and confirmed, less the permitted deductions.</w:t>
      </w:r>
    </w:p>
    <w:p>
      <w:pPr>
        <w:spacing w:before="0" w:after="120" w:line="276" w:lineRule="auto"/>
        <w:ind w:left="605"/>
      </w:pPr>
      <w:r>
        <w:rPr>
          <w:rFonts w:ascii="Calibri" w:hAnsi="Calibri"/>
          <w:b/>
          <w:color w:val="064B84"/>
          <w:sz w:val="21"/>
        </w:rPr>
        <w:t xml:space="preserve">“Revenue Share” </w:t>
      </w:r>
      <w:r>
        <w:rPr>
          <w:rFonts w:ascii="Calibri" w:hAnsi="Calibri"/>
          <w:i/>
          <w:color w:val="555F6D"/>
          <w:sz w:val="21"/>
        </w:rPr>
        <w:t xml:space="preserve">means </w:t>
      </w:r>
      <w:r>
        <w:rPr>
          <w:rFonts w:ascii="Calibri" w:hAnsi="Calibri"/>
          <w:color w:val="1A202C"/>
          <w:sz w:val="21"/>
        </w:rPr>
        <w:t>the thirty per cent (30%) share of Net Commission Revenue payable to the Executive in respect of Introduced Laboratories, calculated and paid in accordance with Clauses 10 and 11.</w:t>
      </w:r>
    </w:p>
    <w:p>
      <w:pPr>
        <w:spacing w:before="0" w:after="120" w:line="276" w:lineRule="auto"/>
        <w:ind w:left="605"/>
      </w:pPr>
      <w:r>
        <w:rPr>
          <w:rFonts w:ascii="Calibri" w:hAnsi="Calibri"/>
          <w:b/>
          <w:color w:val="064B84"/>
          <w:sz w:val="21"/>
        </w:rPr>
        <w:t xml:space="preserve">“Term” </w:t>
      </w:r>
      <w:r>
        <w:rPr>
          <w:rFonts w:ascii="Calibri" w:hAnsi="Calibri"/>
          <w:i/>
          <w:color w:val="555F6D"/>
          <w:sz w:val="21"/>
        </w:rPr>
        <w:t xml:space="preserve">means </w:t>
      </w:r>
      <w:r>
        <w:rPr>
          <w:rFonts w:ascii="Calibri" w:hAnsi="Calibri"/>
          <w:color w:val="1A202C"/>
          <w:sz w:val="21"/>
        </w:rPr>
        <w:t>the period commencing on the Effective Date and ending on 31 May 2027, unless terminated earlier or renewed in accordance with this Agreement.</w:t>
      </w:r>
    </w:p>
    <w:p>
      <w:pPr>
        <w:spacing w:before="0" w:after="120" w:line="276" w:lineRule="auto"/>
        <w:ind w:left="605"/>
      </w:pPr>
      <w:r>
        <w:rPr>
          <w:rFonts w:ascii="Calibri" w:hAnsi="Calibri"/>
          <w:b/>
          <w:color w:val="064B84"/>
          <w:sz w:val="21"/>
        </w:rPr>
        <w:t xml:space="preserve">“Work Product” </w:t>
      </w:r>
      <w:r>
        <w:rPr>
          <w:rFonts w:ascii="Calibri" w:hAnsi="Calibri"/>
          <w:i/>
          <w:color w:val="555F6D"/>
          <w:sz w:val="21"/>
        </w:rPr>
        <w:t xml:space="preserve">means </w:t>
      </w:r>
      <w:r>
        <w:rPr>
          <w:rFonts w:ascii="Calibri" w:hAnsi="Calibri"/>
          <w:color w:val="1A202C"/>
          <w:sz w:val="21"/>
        </w:rPr>
        <w:t>all materials, deliverables, strategies, plans, content, data, designs and other work produced by the Executive in connection with this Agreement.</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w:t>
      </w:r>
      <w:r>
        <w:tab/>
      </w:r>
      <w:r>
        <w:rPr>
          <w:rFonts w:ascii="Calibri" w:hAnsi="Calibri"/>
          <w:b/>
          <w:color w:val="064B84"/>
          <w:sz w:val="26"/>
        </w:rPr>
        <w:t>INTERPRETATION</w:t>
      </w:r>
    </w:p>
    <w:p>
      <w:pPr>
        <w:tabs>
          <w:tab w:pos="605" w:val="left"/>
        </w:tabs>
        <w:spacing w:before="40" w:after="120" w:line="276" w:lineRule="auto"/>
        <w:ind w:left="605" w:hanging="605"/>
      </w:pPr>
      <w:r>
        <w:rPr>
          <w:rFonts w:ascii="Calibri" w:hAnsi="Calibri"/>
          <w:b/>
          <w:color w:val="0259A0"/>
          <w:sz w:val="21"/>
        </w:rPr>
        <w:t>2.1</w:t>
      </w:r>
      <w:r>
        <w:tab/>
      </w:r>
      <w:r>
        <w:rPr>
          <w:rFonts w:ascii="Calibri" w:hAnsi="Calibri"/>
          <w:color w:val="1A202C"/>
          <w:sz w:val="21"/>
        </w:rPr>
        <w:t>Clause and Schedule headings do not affect the interpretation of this Agreement.</w:t>
      </w:r>
    </w:p>
    <w:p>
      <w:pPr>
        <w:tabs>
          <w:tab w:pos="605" w:val="left"/>
        </w:tabs>
        <w:spacing w:before="40" w:after="120" w:line="276" w:lineRule="auto"/>
        <w:ind w:left="605" w:hanging="605"/>
      </w:pPr>
      <w:r>
        <w:rPr>
          <w:rFonts w:ascii="Calibri" w:hAnsi="Calibri"/>
          <w:b/>
          <w:color w:val="0259A0"/>
          <w:sz w:val="21"/>
        </w:rPr>
        <w:t>2.2</w:t>
      </w:r>
      <w:r>
        <w:tab/>
      </w:r>
      <w:r>
        <w:rPr>
          <w:rFonts w:ascii="Calibri" w:hAnsi="Calibri"/>
          <w:color w:val="1A202C"/>
          <w:sz w:val="21"/>
        </w:rPr>
        <w:t>A reference to a Clause, Schedule or Appendix is to a Clause of, or Schedule or Appendix to, this Agreement.</w:t>
      </w:r>
    </w:p>
    <w:p>
      <w:pPr>
        <w:tabs>
          <w:tab w:pos="605" w:val="left"/>
        </w:tabs>
        <w:spacing w:before="40" w:after="120" w:line="276" w:lineRule="auto"/>
        <w:ind w:left="605" w:hanging="605"/>
      </w:pPr>
      <w:r>
        <w:rPr>
          <w:rFonts w:ascii="Calibri" w:hAnsi="Calibri"/>
          <w:b/>
          <w:color w:val="0259A0"/>
          <w:sz w:val="21"/>
        </w:rPr>
        <w:t>2.3</w:t>
      </w:r>
      <w:r>
        <w:tab/>
      </w:r>
      <w:r>
        <w:rPr>
          <w:rFonts w:ascii="Calibri" w:hAnsi="Calibri"/>
          <w:color w:val="1A202C"/>
          <w:sz w:val="21"/>
        </w:rPr>
        <w:t>Words in the singular include the plural and vice versa, and a reference to one gender includes a reference to the other genders.</w:t>
      </w:r>
    </w:p>
    <w:p>
      <w:pPr>
        <w:tabs>
          <w:tab w:pos="605" w:val="left"/>
        </w:tabs>
        <w:spacing w:before="40" w:after="120" w:line="276" w:lineRule="auto"/>
        <w:ind w:left="605" w:hanging="605"/>
      </w:pPr>
      <w:r>
        <w:rPr>
          <w:rFonts w:ascii="Calibri" w:hAnsi="Calibri"/>
          <w:b/>
          <w:color w:val="0259A0"/>
          <w:sz w:val="21"/>
        </w:rPr>
        <w:t>2.4</w:t>
      </w:r>
      <w:r>
        <w:tab/>
      </w:r>
      <w:r>
        <w:rPr>
          <w:rFonts w:ascii="Calibri" w:hAnsi="Calibri"/>
          <w:color w:val="1A202C"/>
          <w:sz w:val="21"/>
        </w:rPr>
        <w:t>A reference to a statute or statutory provision is a reference to it as amended, extended or re-enacted from time to time, and includes all subordinate legislation made under it.</w:t>
      </w:r>
    </w:p>
    <w:p>
      <w:pPr>
        <w:tabs>
          <w:tab w:pos="605" w:val="left"/>
        </w:tabs>
        <w:spacing w:before="40" w:after="120" w:line="276" w:lineRule="auto"/>
        <w:ind w:left="605" w:hanging="605"/>
      </w:pPr>
      <w:r>
        <w:rPr>
          <w:rFonts w:ascii="Calibri" w:hAnsi="Calibri"/>
          <w:b/>
          <w:color w:val="0259A0"/>
          <w:sz w:val="21"/>
        </w:rPr>
        <w:t>2.5</w:t>
      </w:r>
      <w:r>
        <w:tab/>
      </w:r>
      <w:r>
        <w:rPr>
          <w:rFonts w:ascii="Calibri" w:hAnsi="Calibri"/>
          <w:color w:val="1A202C"/>
          <w:sz w:val="21"/>
        </w:rPr>
        <w:t>Any words following the terms “including”, “include”, “in particular” or “for example” are illustrative and do not limit the words preceding them.</w:t>
      </w:r>
    </w:p>
    <w:p>
      <w:pPr>
        <w:tabs>
          <w:tab w:pos="605" w:val="left"/>
        </w:tabs>
        <w:spacing w:before="40" w:after="120" w:line="276" w:lineRule="auto"/>
        <w:ind w:left="605" w:hanging="605"/>
      </w:pPr>
      <w:r>
        <w:rPr>
          <w:rFonts w:ascii="Calibri" w:hAnsi="Calibri"/>
          <w:b/>
          <w:color w:val="0259A0"/>
          <w:sz w:val="21"/>
        </w:rPr>
        <w:t>2.6</w:t>
      </w:r>
      <w:r>
        <w:tab/>
      </w:r>
      <w:r>
        <w:rPr>
          <w:rFonts w:ascii="Calibri" w:hAnsi="Calibri"/>
          <w:color w:val="1A202C"/>
          <w:sz w:val="21"/>
        </w:rPr>
        <w:t>References to “₦”, “Naira” or “NGN” are to the lawful currency of the Federal Republic of Nigeria.</w:t>
      </w:r>
    </w:p>
    <w:p>
      <w:pPr>
        <w:tabs>
          <w:tab w:pos="605" w:val="left"/>
        </w:tabs>
        <w:spacing w:before="40" w:after="120" w:line="276" w:lineRule="auto"/>
        <w:ind w:left="605" w:hanging="605"/>
      </w:pPr>
      <w:r>
        <w:rPr>
          <w:rFonts w:ascii="Calibri" w:hAnsi="Calibri"/>
          <w:b/>
          <w:color w:val="0259A0"/>
          <w:sz w:val="21"/>
        </w:rPr>
        <w:t>2.7</w:t>
      </w:r>
      <w:r>
        <w:tab/>
      </w:r>
      <w:r>
        <w:rPr>
          <w:rFonts w:ascii="Calibri" w:hAnsi="Calibri"/>
          <w:color w:val="1A202C"/>
          <w:sz w:val="21"/>
        </w:rPr>
        <w:t>A reference to “writing” or “written” includes email and other electronic communications recorded in a durable form.</w:t>
      </w:r>
    </w:p>
    <w:p>
      <w:pPr>
        <w:tabs>
          <w:tab w:pos="605" w:val="left"/>
        </w:tabs>
        <w:spacing w:before="40" w:after="120" w:line="276" w:lineRule="auto"/>
        <w:ind w:left="605" w:hanging="605"/>
      </w:pPr>
      <w:r>
        <w:rPr>
          <w:rFonts w:ascii="Calibri" w:hAnsi="Calibri"/>
          <w:b/>
          <w:color w:val="0259A0"/>
          <w:sz w:val="21"/>
        </w:rPr>
        <w:t>2.8</w:t>
      </w:r>
      <w:r>
        <w:tab/>
      </w:r>
      <w:r>
        <w:rPr>
          <w:rFonts w:ascii="Calibri" w:hAnsi="Calibri"/>
          <w:color w:val="1A202C"/>
          <w:sz w:val="21"/>
        </w:rPr>
        <w:t>In the event of any conflict between the body of this Agreement and a Schedule or Appendix, the body of this Agreement shall prevail.</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3.</w:t>
      </w:r>
      <w:r>
        <w:tab/>
      </w:r>
      <w:r>
        <w:rPr>
          <w:rFonts w:ascii="Calibri" w:hAnsi="Calibri"/>
          <w:b/>
          <w:color w:val="064B84"/>
          <w:sz w:val="26"/>
        </w:rPr>
        <w:t>APPOINTMENT AND CAPACITY</w:t>
      </w:r>
    </w:p>
    <w:p>
      <w:pPr>
        <w:tabs>
          <w:tab w:pos="605" w:val="left"/>
        </w:tabs>
        <w:spacing w:before="40" w:after="120" w:line="276" w:lineRule="auto"/>
        <w:ind w:left="605" w:hanging="605"/>
      </w:pPr>
      <w:r>
        <w:rPr>
          <w:rFonts w:ascii="Calibri" w:hAnsi="Calibri"/>
          <w:b/>
          <w:color w:val="0259A0"/>
          <w:sz w:val="21"/>
        </w:rPr>
        <w:t>3.1</w:t>
      </w:r>
      <w:r>
        <w:tab/>
      </w:r>
      <w:r>
        <w:rPr>
          <w:rFonts w:ascii="Calibri" w:hAnsi="Calibri"/>
          <w:color w:val="1A202C"/>
          <w:sz w:val="21"/>
        </w:rPr>
        <w:t>With effect from the Effective Date, the Company appoints the Executive, and the Executive accepts appointment, to serve concurrently in the dual capacities of Chief Marketing Officer (CMO) and Chief Strategy Officer (CSO) of the Company.</w:t>
      </w:r>
    </w:p>
    <w:p>
      <w:pPr>
        <w:tabs>
          <w:tab w:pos="605" w:val="left"/>
        </w:tabs>
        <w:spacing w:before="40" w:after="120" w:line="276" w:lineRule="auto"/>
        <w:ind w:left="605" w:hanging="605"/>
      </w:pPr>
      <w:r>
        <w:rPr>
          <w:rFonts w:ascii="Calibri" w:hAnsi="Calibri"/>
          <w:b/>
          <w:color w:val="0259A0"/>
          <w:sz w:val="21"/>
        </w:rPr>
        <w:t>3.2</w:t>
      </w:r>
      <w:r>
        <w:tab/>
      </w:r>
      <w:r>
        <w:rPr>
          <w:rFonts w:ascii="Calibri" w:hAnsi="Calibri"/>
          <w:color w:val="1A202C"/>
          <w:sz w:val="21"/>
        </w:rPr>
        <w:t>The appointment is that of a senior officer engaged on a performance-based, revenue-sharing basis. Nothing in this Agreement creates a partnership, joint venture, or (save where the Parties expressly agree otherwise in a separate written instrument) a relationship of employer and employee for any purpose, and the Executive shall not be entitled to any salaried employment benefits.</w:t>
      </w:r>
    </w:p>
    <w:p>
      <w:pPr>
        <w:tabs>
          <w:tab w:pos="605" w:val="left"/>
        </w:tabs>
        <w:spacing w:before="40" w:after="120" w:line="276" w:lineRule="auto"/>
        <w:ind w:left="605" w:hanging="605"/>
      </w:pPr>
      <w:r>
        <w:rPr>
          <w:rFonts w:ascii="Calibri" w:hAnsi="Calibri"/>
          <w:b/>
          <w:color w:val="0259A0"/>
          <w:sz w:val="21"/>
        </w:rPr>
        <w:t>3.3</w:t>
      </w:r>
      <w:r>
        <w:tab/>
      </w:r>
      <w:r>
        <w:rPr>
          <w:rFonts w:ascii="Calibri" w:hAnsi="Calibri"/>
          <w:color w:val="1A202C"/>
          <w:sz w:val="21"/>
        </w:rPr>
        <w:t>The Executive shall report directly to the Founder &amp; Chief Executive Officer of Poveon and to the Board of Directors, and shall comply with all lawful and reasonable directions, policies and procedures of the Company.</w:t>
      </w:r>
    </w:p>
    <w:p>
      <w:pPr>
        <w:tabs>
          <w:tab w:pos="605" w:val="left"/>
        </w:tabs>
        <w:spacing w:before="40" w:after="120" w:line="276" w:lineRule="auto"/>
        <w:ind w:left="605" w:hanging="605"/>
      </w:pPr>
      <w:r>
        <w:rPr>
          <w:rFonts w:ascii="Calibri" w:hAnsi="Calibri"/>
          <w:b/>
          <w:color w:val="0259A0"/>
          <w:sz w:val="21"/>
        </w:rPr>
        <w:t>3.4</w:t>
      </w:r>
      <w:r>
        <w:tab/>
      </w:r>
      <w:r>
        <w:rPr>
          <w:rFonts w:ascii="Calibri" w:hAnsi="Calibri"/>
          <w:color w:val="1A202C"/>
          <w:sz w:val="21"/>
        </w:rPr>
        <w:t>The Executive shall devote such time, attention and skill to the affairs of the Company as is reasonably necessary for the proper discharge of the duties under this Agreement, and shall act in good faith and in the best interests of the Company at all times.</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4.</w:t>
      </w:r>
      <w:r>
        <w:tab/>
      </w:r>
      <w:r>
        <w:rPr>
          <w:rFonts w:ascii="Calibri" w:hAnsi="Calibri"/>
          <w:b/>
          <w:color w:val="064B84"/>
          <w:sz w:val="26"/>
        </w:rPr>
        <w:t>AUTHORITY AND NO AUTHORITY TO BIND THE COMPANY</w:t>
      </w:r>
    </w:p>
    <w:p>
      <w:pPr>
        <w:tabs>
          <w:tab w:pos="605" w:val="left"/>
        </w:tabs>
        <w:spacing w:before="40" w:after="120" w:line="276" w:lineRule="auto"/>
        <w:ind w:left="605" w:hanging="605"/>
      </w:pPr>
      <w:r>
        <w:rPr>
          <w:rFonts w:ascii="Calibri" w:hAnsi="Calibri"/>
          <w:b/>
          <w:color w:val="0259A0"/>
          <w:sz w:val="21"/>
        </w:rPr>
        <w:t>4.1</w:t>
      </w:r>
      <w:r>
        <w:tab/>
      </w:r>
      <w:r>
        <w:rPr>
          <w:rFonts w:ascii="Calibri" w:hAnsi="Calibri"/>
          <w:color w:val="1A202C"/>
          <w:sz w:val="21"/>
        </w:rPr>
        <w:t>The Executive is authorised to carry out the duties set out in Clause 5 and to represent the Company in commercial discussions, subject always to the limitations in this Clause and to any written delegated authority issued by the Company.</w:t>
      </w:r>
    </w:p>
    <w:p>
      <w:pPr>
        <w:tabs>
          <w:tab w:pos="605" w:val="left"/>
        </w:tabs>
        <w:spacing w:before="40" w:after="120" w:line="276" w:lineRule="auto"/>
        <w:ind w:left="605" w:hanging="605"/>
      </w:pPr>
      <w:r>
        <w:rPr>
          <w:rFonts w:ascii="Calibri" w:hAnsi="Calibri"/>
          <w:b/>
          <w:color w:val="0259A0"/>
          <w:sz w:val="21"/>
        </w:rPr>
        <w:t>4.2</w:t>
      </w:r>
      <w:r>
        <w:tab/>
      </w:r>
      <w:r>
        <w:rPr>
          <w:rFonts w:ascii="Calibri" w:hAnsi="Calibri"/>
          <w:color w:val="1A202C"/>
          <w:sz w:val="21"/>
        </w:rPr>
        <w:t>Notwithstanding the Executive’s titles, the Executive shall NOT, without the prior written authorisation of the Founder &amp; CEO or the Board, have authority to:</w:t>
      </w:r>
    </w:p>
    <w:p>
      <w:pPr>
        <w:tabs>
          <w:tab w:pos="1224" w:val="left"/>
        </w:tabs>
        <w:spacing w:before="0" w:after="60" w:line="269" w:lineRule="auto"/>
        <w:ind w:left="1224" w:hanging="475"/>
      </w:pPr>
      <w:r>
        <w:rPr>
          <w:rFonts w:ascii="Calibri" w:hAnsi="Calibri"/>
          <w:color w:val="0259A0"/>
          <w:sz w:val="21"/>
        </w:rPr>
        <w:t>(a)</w:t>
      </w:r>
      <w:r>
        <w:tab/>
      </w:r>
      <w:r>
        <w:rPr>
          <w:rFonts w:ascii="Calibri" w:hAnsi="Calibri"/>
          <w:color w:val="1A202C"/>
          <w:sz w:val="21"/>
        </w:rPr>
        <w:t>execute, sign or enter into any contract, agreement or binding commitment on behalf of the Company;</w:t>
      </w:r>
    </w:p>
    <w:p>
      <w:pPr>
        <w:tabs>
          <w:tab w:pos="1224" w:val="left"/>
        </w:tabs>
        <w:spacing w:before="0" w:after="60" w:line="269" w:lineRule="auto"/>
        <w:ind w:left="1224" w:hanging="475"/>
      </w:pPr>
      <w:r>
        <w:rPr>
          <w:rFonts w:ascii="Calibri" w:hAnsi="Calibri"/>
          <w:color w:val="0259A0"/>
          <w:sz w:val="21"/>
        </w:rPr>
        <w:t>(b)</w:t>
      </w:r>
      <w:r>
        <w:tab/>
      </w:r>
      <w:r>
        <w:rPr>
          <w:rFonts w:ascii="Calibri" w:hAnsi="Calibri"/>
          <w:color w:val="1A202C"/>
          <w:sz w:val="21"/>
        </w:rPr>
        <w:t>bind the Company financially, incur liabilities, or make any payment or financial commitment in the name of the Company;</w:t>
      </w:r>
    </w:p>
    <w:p>
      <w:pPr>
        <w:tabs>
          <w:tab w:pos="1224" w:val="left"/>
        </w:tabs>
        <w:spacing w:before="0" w:after="60" w:line="269" w:lineRule="auto"/>
        <w:ind w:left="1224" w:hanging="475"/>
      </w:pPr>
      <w:r>
        <w:rPr>
          <w:rFonts w:ascii="Calibri" w:hAnsi="Calibri"/>
          <w:color w:val="0259A0"/>
          <w:sz w:val="21"/>
        </w:rPr>
        <w:t>(c)</w:t>
      </w:r>
      <w:r>
        <w:tab/>
      </w:r>
      <w:r>
        <w:rPr>
          <w:rFonts w:ascii="Calibri" w:hAnsi="Calibri"/>
          <w:color w:val="1A202C"/>
          <w:sz w:val="21"/>
        </w:rPr>
        <w:t>open, operate or vary any bank account of the Company;</w:t>
      </w:r>
    </w:p>
    <w:p>
      <w:pPr>
        <w:tabs>
          <w:tab w:pos="1224" w:val="left"/>
        </w:tabs>
        <w:spacing w:before="0" w:after="60" w:line="269" w:lineRule="auto"/>
        <w:ind w:left="1224" w:hanging="475"/>
      </w:pPr>
      <w:r>
        <w:rPr>
          <w:rFonts w:ascii="Calibri" w:hAnsi="Calibri"/>
          <w:color w:val="0259A0"/>
          <w:sz w:val="21"/>
        </w:rPr>
        <w:t>(d)</w:t>
      </w:r>
      <w:r>
        <w:tab/>
      </w:r>
      <w:r>
        <w:rPr>
          <w:rFonts w:ascii="Calibri" w:hAnsi="Calibri"/>
          <w:color w:val="1A202C"/>
          <w:sz w:val="21"/>
        </w:rPr>
        <w:t>vary the Company’s commission rates, pricing, or contractual terms with any laboratory or provider;</w:t>
      </w:r>
    </w:p>
    <w:p>
      <w:pPr>
        <w:tabs>
          <w:tab w:pos="1224" w:val="left"/>
        </w:tabs>
        <w:spacing w:before="0" w:after="60" w:line="269" w:lineRule="auto"/>
        <w:ind w:left="1224" w:hanging="475"/>
      </w:pPr>
      <w:r>
        <w:rPr>
          <w:rFonts w:ascii="Calibri" w:hAnsi="Calibri"/>
          <w:color w:val="0259A0"/>
          <w:sz w:val="21"/>
        </w:rPr>
        <w:t>(e)</w:t>
      </w:r>
      <w:r>
        <w:tab/>
      </w:r>
      <w:r>
        <w:rPr>
          <w:rFonts w:ascii="Calibri" w:hAnsi="Calibri"/>
          <w:color w:val="1A202C"/>
          <w:sz w:val="21"/>
        </w:rPr>
        <w:t>make any representation, warranty or promise on behalf of the Company beyond approved materials; or</w:t>
      </w:r>
    </w:p>
    <w:p>
      <w:pPr>
        <w:tabs>
          <w:tab w:pos="1224" w:val="left"/>
        </w:tabs>
        <w:spacing w:before="0" w:after="60" w:line="269" w:lineRule="auto"/>
        <w:ind w:left="1224" w:hanging="475"/>
      </w:pPr>
      <w:r>
        <w:rPr>
          <w:rFonts w:ascii="Calibri" w:hAnsi="Calibri"/>
          <w:color w:val="0259A0"/>
          <w:sz w:val="21"/>
        </w:rPr>
        <w:t>(f)</w:t>
      </w:r>
      <w:r>
        <w:tab/>
      </w:r>
      <w:r>
        <w:rPr>
          <w:rFonts w:ascii="Calibri" w:hAnsi="Calibri"/>
          <w:color w:val="1A202C"/>
          <w:sz w:val="21"/>
        </w:rPr>
        <w:t>engage, dismiss, or vary the terms of any employee, contractor or agent of the Company.</w:t>
      </w:r>
    </w:p>
    <w:p>
      <w:pPr>
        <w:tabs>
          <w:tab w:pos="605" w:val="left"/>
        </w:tabs>
        <w:spacing w:before="40" w:after="120" w:line="276" w:lineRule="auto"/>
        <w:ind w:left="605" w:hanging="605"/>
      </w:pPr>
      <w:r>
        <w:rPr>
          <w:rFonts w:ascii="Calibri" w:hAnsi="Calibri"/>
          <w:b/>
          <w:color w:val="0259A0"/>
          <w:sz w:val="21"/>
        </w:rPr>
        <w:t>4.3</w:t>
      </w:r>
      <w:r>
        <w:tab/>
      </w:r>
      <w:r>
        <w:rPr>
          <w:rFonts w:ascii="Calibri" w:hAnsi="Calibri"/>
          <w:color w:val="1A202C"/>
          <w:sz w:val="21"/>
        </w:rPr>
        <w:t>Any commitment purportedly made by the Executive in breach of this Clause shall not bind the Company, and the Executive shall indemnify the Company against any loss, liability or cost arising from such unauthorised act.</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5.</w:t>
      </w:r>
      <w:r>
        <w:tab/>
      </w:r>
      <w:r>
        <w:rPr>
          <w:rFonts w:ascii="Calibri" w:hAnsi="Calibri"/>
          <w:b/>
          <w:color w:val="064B84"/>
          <w:sz w:val="26"/>
        </w:rPr>
        <w:t>DUTIES AND RESPONSIBILITIES</w:t>
      </w:r>
    </w:p>
    <w:p>
      <w:pPr>
        <w:tabs>
          <w:tab w:pos="605" w:val="left"/>
        </w:tabs>
        <w:spacing w:before="40" w:after="120" w:line="276" w:lineRule="auto"/>
        <w:ind w:left="605" w:hanging="605"/>
      </w:pPr>
      <w:r>
        <w:rPr>
          <w:rFonts w:ascii="Calibri" w:hAnsi="Calibri"/>
          <w:b/>
          <w:color w:val="0259A0"/>
          <w:sz w:val="21"/>
        </w:rPr>
        <w:t>5.1</w:t>
      </w:r>
      <w:r>
        <w:tab/>
      </w:r>
      <w:r>
        <w:rPr>
          <w:rFonts w:ascii="Calibri" w:hAnsi="Calibri"/>
          <w:color w:val="1A202C"/>
          <w:sz w:val="21"/>
        </w:rPr>
        <w:t>During the Term, the Executive shall be responsible for the following functions, which the Parties acknowledge are central to the growth objectives of the Company:</w:t>
      </w:r>
    </w:p>
    <w:tbl>
      <w:tblPr>
        <w:tblStyle w:val="TableGrid"/>
        <w:tblW w:type="auto" w:w="0"/>
        <w:jc w:val="center"/>
        <w:tblLook w:firstColumn="1" w:firstRow="1" w:lastColumn="0" w:lastRow="0" w:noHBand="0" w:noVBand="1" w:val="04A0"/>
      </w:tblPr>
      <w:tblGrid>
        <w:gridCol w:w="2880"/>
        <w:gridCol w:w="6480"/>
      </w:tblGrid>
      <w:tr>
        <w:tc>
          <w:tcPr>
            <w:tcW w:type="dxa" w:w="4680"/>
            <w:shd w:val="clear" w:color="auto" w:fill="0259A0"/>
            <w:tcMar>
              <w:top w:w="60" w:type="dxa"/>
              <w:bottom w:w="60" w:type="dxa"/>
              <w:start w:w="100" w:type="dxa"/>
              <w:end w:w="100" w:type="dxa"/>
              <w:left w:w="100" w:type="dxa"/>
              <w:right w:w="100" w:type="dxa"/>
            </w:tcMar>
          </w:tcPr>
          <w:p>
            <w:r/>
            <w:r>
              <w:rPr>
                <w:rFonts w:ascii="Calibri" w:hAnsi="Calibri"/>
                <w:b/>
                <w:color w:val="FFFFFF"/>
                <w:sz w:val="20"/>
              </w:rPr>
              <w:t>Function</w:t>
            </w:r>
          </w:p>
        </w:tc>
        <w:tc>
          <w:tcPr>
            <w:tcW w:type="dxa" w:w="4680"/>
            <w:shd w:val="clear" w:color="auto" w:fill="0259A0"/>
            <w:tcMar>
              <w:top w:w="60" w:type="dxa"/>
              <w:bottom w:w="60" w:type="dxa"/>
              <w:start w:w="100" w:type="dxa"/>
              <w:end w:w="100" w:type="dxa"/>
              <w:left w:w="100" w:type="dxa"/>
              <w:right w:w="100" w:type="dxa"/>
            </w:tcMar>
          </w:tcPr>
          <w:p>
            <w:r/>
            <w:r>
              <w:rPr>
                <w:rFonts w:ascii="Calibri" w:hAnsi="Calibri"/>
                <w:b/>
                <w:color w:val="FFFFFF"/>
                <w:sz w:val="20"/>
              </w:rPr>
              <w:t>Description</w:t>
            </w:r>
          </w:p>
        </w:tc>
      </w:tr>
      <w:tr>
        <w:tc>
          <w:tcPr>
            <w:tcW w:type="dxa" w:w="2880"/>
            <w:tcMar>
              <w:top w:w="60" w:type="dxa"/>
              <w:bottom w:w="60" w:type="dxa"/>
              <w:start w:w="100" w:type="dxa"/>
              <w:end w:w="100" w:type="dxa"/>
              <w:left w:w="100" w:type="dxa"/>
              <w:right w:w="100" w:type="dxa"/>
            </w:tcMar>
          </w:tcPr>
          <w:p>
            <w:r/>
            <w:r>
              <w:rPr>
                <w:rFonts w:ascii="Calibri" w:hAnsi="Calibri"/>
                <w:b/>
                <w:color w:val="064B84"/>
                <w:sz w:val="19"/>
              </w:rPr>
              <w:t>Marketing &amp; Brand</w:t>
            </w:r>
          </w:p>
        </w:tc>
        <w:tc>
          <w:tcPr>
            <w:tcW w:type="dxa" w:w="6480"/>
            <w:tcMar>
              <w:top w:w="60" w:type="dxa"/>
              <w:bottom w:w="60" w:type="dxa"/>
              <w:start w:w="100" w:type="dxa"/>
              <w:end w:w="100" w:type="dxa"/>
              <w:left w:w="100" w:type="dxa"/>
              <w:right w:w="100" w:type="dxa"/>
            </w:tcMar>
          </w:tcPr>
          <w:p>
            <w:r/>
            <w:r>
              <w:rPr>
                <w:rFonts w:ascii="Calibri" w:hAnsi="Calibri"/>
                <w:sz w:val="19"/>
              </w:rPr>
              <w:t>Develop and execute the Company’s marketing strategy and brand positioning across the healthcare technology market.</w:t>
            </w:r>
          </w:p>
        </w:tc>
      </w:tr>
      <w:tr>
        <w:tc>
          <w:tcPr>
            <w:tcW w:type="dxa" w:w="2880"/>
            <w:shd w:val="clear" w:color="auto" w:fill="F2F4F7"/>
            <w:tcMar>
              <w:top w:w="60" w:type="dxa"/>
              <w:bottom w:w="60" w:type="dxa"/>
              <w:start w:w="100" w:type="dxa"/>
              <w:end w:w="100" w:type="dxa"/>
              <w:left w:w="100" w:type="dxa"/>
              <w:right w:w="100" w:type="dxa"/>
            </w:tcMar>
          </w:tcPr>
          <w:p>
            <w:r/>
            <w:r>
              <w:rPr>
                <w:rFonts w:ascii="Calibri" w:hAnsi="Calibri"/>
                <w:b/>
                <w:color w:val="064B84"/>
                <w:sz w:val="19"/>
              </w:rPr>
              <w:t>Growth Strategy</w:t>
            </w:r>
          </w:p>
        </w:tc>
        <w:tc>
          <w:tcPr>
            <w:tcW w:type="dxa" w:w="6480"/>
            <w:shd w:val="clear" w:color="auto" w:fill="F2F4F7"/>
            <w:tcMar>
              <w:top w:w="60" w:type="dxa"/>
              <w:bottom w:w="60" w:type="dxa"/>
              <w:start w:w="100" w:type="dxa"/>
              <w:end w:w="100" w:type="dxa"/>
              <w:left w:w="100" w:type="dxa"/>
              <w:right w:w="100" w:type="dxa"/>
            </w:tcMar>
          </w:tcPr>
          <w:p>
            <w:r/>
            <w:r>
              <w:rPr>
                <w:rFonts w:ascii="Calibri" w:hAnsi="Calibri"/>
                <w:sz w:val="19"/>
              </w:rPr>
              <w:t>Design and implement growth and go-to-market strategies to expand laboratory and provider adoption.</w:t>
            </w:r>
          </w:p>
        </w:tc>
      </w:tr>
      <w:tr>
        <w:tc>
          <w:tcPr>
            <w:tcW w:type="dxa" w:w="2880"/>
            <w:tcMar>
              <w:top w:w="60" w:type="dxa"/>
              <w:bottom w:w="60" w:type="dxa"/>
              <w:start w:w="100" w:type="dxa"/>
              <w:end w:w="100" w:type="dxa"/>
              <w:left w:w="100" w:type="dxa"/>
              <w:right w:w="100" w:type="dxa"/>
            </w:tcMar>
          </w:tcPr>
          <w:p>
            <w:r/>
            <w:r>
              <w:rPr>
                <w:rFonts w:ascii="Calibri" w:hAnsi="Calibri"/>
                <w:b/>
                <w:color w:val="064B84"/>
                <w:sz w:val="19"/>
              </w:rPr>
              <w:t>Business Development</w:t>
            </w:r>
          </w:p>
        </w:tc>
        <w:tc>
          <w:tcPr>
            <w:tcW w:type="dxa" w:w="6480"/>
            <w:tcMar>
              <w:top w:w="60" w:type="dxa"/>
              <w:bottom w:w="60" w:type="dxa"/>
              <w:start w:w="100" w:type="dxa"/>
              <w:end w:w="100" w:type="dxa"/>
              <w:left w:w="100" w:type="dxa"/>
              <w:right w:w="100" w:type="dxa"/>
            </w:tcMar>
          </w:tcPr>
          <w:p>
            <w:r/>
            <w:r>
              <w:rPr>
                <w:rFonts w:ascii="Calibri" w:hAnsi="Calibri"/>
                <w:sz w:val="19"/>
              </w:rPr>
              <w:t>Lead business development, partnerships and commercial negotiations consistent with Company policy.</w:t>
            </w:r>
          </w:p>
        </w:tc>
      </w:tr>
      <w:tr>
        <w:tc>
          <w:tcPr>
            <w:tcW w:type="dxa" w:w="2880"/>
            <w:shd w:val="clear" w:color="auto" w:fill="F2F4F7"/>
            <w:tcMar>
              <w:top w:w="60" w:type="dxa"/>
              <w:bottom w:w="60" w:type="dxa"/>
              <w:start w:w="100" w:type="dxa"/>
              <w:end w:w="100" w:type="dxa"/>
              <w:left w:w="100" w:type="dxa"/>
              <w:right w:w="100" w:type="dxa"/>
            </w:tcMar>
          </w:tcPr>
          <w:p>
            <w:r/>
            <w:r>
              <w:rPr>
                <w:rFonts w:ascii="Calibri" w:hAnsi="Calibri"/>
                <w:b/>
                <w:color w:val="064B84"/>
                <w:sz w:val="19"/>
              </w:rPr>
              <w:t>Laboratory Acquisition</w:t>
            </w:r>
          </w:p>
        </w:tc>
        <w:tc>
          <w:tcPr>
            <w:tcW w:type="dxa" w:w="6480"/>
            <w:shd w:val="clear" w:color="auto" w:fill="F2F4F7"/>
            <w:tcMar>
              <w:top w:w="60" w:type="dxa"/>
              <w:bottom w:w="60" w:type="dxa"/>
              <w:start w:w="100" w:type="dxa"/>
              <w:end w:w="100" w:type="dxa"/>
              <w:left w:w="100" w:type="dxa"/>
              <w:right w:w="100" w:type="dxa"/>
            </w:tcMar>
          </w:tcPr>
          <w:p>
            <w:r/>
            <w:r>
              <w:rPr>
                <w:rFonts w:ascii="Calibri" w:hAnsi="Calibri"/>
                <w:sz w:val="19"/>
              </w:rPr>
              <w:t>Identify, approach, introduce and onboard diagnostic laboratories onto the Poveon platform.</w:t>
            </w:r>
          </w:p>
        </w:tc>
      </w:tr>
      <w:tr>
        <w:tc>
          <w:tcPr>
            <w:tcW w:type="dxa" w:w="2880"/>
            <w:tcMar>
              <w:top w:w="60" w:type="dxa"/>
              <w:bottom w:w="60" w:type="dxa"/>
              <w:start w:w="100" w:type="dxa"/>
              <w:end w:w="100" w:type="dxa"/>
              <w:left w:w="100" w:type="dxa"/>
              <w:right w:w="100" w:type="dxa"/>
            </w:tcMar>
          </w:tcPr>
          <w:p>
            <w:r/>
            <w:r>
              <w:rPr>
                <w:rFonts w:ascii="Calibri" w:hAnsi="Calibri"/>
                <w:b/>
                <w:color w:val="064B84"/>
                <w:sz w:val="19"/>
              </w:rPr>
              <w:t>Provider Acquisition</w:t>
            </w:r>
          </w:p>
        </w:tc>
        <w:tc>
          <w:tcPr>
            <w:tcW w:type="dxa" w:w="6480"/>
            <w:tcMar>
              <w:top w:w="60" w:type="dxa"/>
              <w:bottom w:w="60" w:type="dxa"/>
              <w:start w:w="100" w:type="dxa"/>
              <w:end w:w="100" w:type="dxa"/>
              <w:left w:w="100" w:type="dxa"/>
              <w:right w:w="100" w:type="dxa"/>
            </w:tcMar>
          </w:tcPr>
          <w:p>
            <w:r/>
            <w:r>
              <w:rPr>
                <w:rFonts w:ascii="Calibri" w:hAnsi="Calibri"/>
                <w:sz w:val="19"/>
              </w:rPr>
              <w:t>Recruit and support healthcare providers to submit laboratory requests through Poveon.</w:t>
            </w:r>
          </w:p>
        </w:tc>
      </w:tr>
      <w:tr>
        <w:tc>
          <w:tcPr>
            <w:tcW w:type="dxa" w:w="2880"/>
            <w:shd w:val="clear" w:color="auto" w:fill="F2F4F7"/>
            <w:tcMar>
              <w:top w:w="60" w:type="dxa"/>
              <w:bottom w:w="60" w:type="dxa"/>
              <w:start w:w="100" w:type="dxa"/>
              <w:end w:w="100" w:type="dxa"/>
              <w:left w:w="100" w:type="dxa"/>
              <w:right w:w="100" w:type="dxa"/>
            </w:tcMar>
          </w:tcPr>
          <w:p>
            <w:r/>
            <w:r>
              <w:rPr>
                <w:rFonts w:ascii="Calibri" w:hAnsi="Calibri"/>
                <w:b/>
                <w:color w:val="064B84"/>
                <w:sz w:val="19"/>
              </w:rPr>
              <w:t>Partnerships</w:t>
            </w:r>
          </w:p>
        </w:tc>
        <w:tc>
          <w:tcPr>
            <w:tcW w:type="dxa" w:w="6480"/>
            <w:shd w:val="clear" w:color="auto" w:fill="F2F4F7"/>
            <w:tcMar>
              <w:top w:w="60" w:type="dxa"/>
              <w:bottom w:w="60" w:type="dxa"/>
              <w:start w:w="100" w:type="dxa"/>
              <w:end w:w="100" w:type="dxa"/>
              <w:left w:w="100" w:type="dxa"/>
              <w:right w:w="100" w:type="dxa"/>
            </w:tcMar>
          </w:tcPr>
          <w:p>
            <w:r/>
            <w:r>
              <w:rPr>
                <w:rFonts w:ascii="Calibri" w:hAnsi="Calibri"/>
                <w:sz w:val="19"/>
              </w:rPr>
              <w:t>Cultivate strategic partnerships that strengthen the Company’s market position.</w:t>
            </w:r>
          </w:p>
        </w:tc>
      </w:tr>
      <w:tr>
        <w:tc>
          <w:tcPr>
            <w:tcW w:type="dxa" w:w="2880"/>
            <w:tcMar>
              <w:top w:w="60" w:type="dxa"/>
              <w:bottom w:w="60" w:type="dxa"/>
              <w:start w:w="100" w:type="dxa"/>
              <w:end w:w="100" w:type="dxa"/>
              <w:left w:w="100" w:type="dxa"/>
              <w:right w:w="100" w:type="dxa"/>
            </w:tcMar>
          </w:tcPr>
          <w:p>
            <w:r/>
            <w:r>
              <w:rPr>
                <w:rFonts w:ascii="Calibri" w:hAnsi="Calibri"/>
                <w:b/>
                <w:color w:val="064B84"/>
                <w:sz w:val="19"/>
              </w:rPr>
              <w:t>Commercial Negotiations</w:t>
            </w:r>
          </w:p>
        </w:tc>
        <w:tc>
          <w:tcPr>
            <w:tcW w:type="dxa" w:w="6480"/>
            <w:tcMar>
              <w:top w:w="60" w:type="dxa"/>
              <w:bottom w:w="60" w:type="dxa"/>
              <w:start w:w="100" w:type="dxa"/>
              <w:end w:w="100" w:type="dxa"/>
              <w:left w:w="100" w:type="dxa"/>
              <w:right w:w="100" w:type="dxa"/>
            </w:tcMar>
          </w:tcPr>
          <w:p>
            <w:r/>
            <w:r>
              <w:rPr>
                <w:rFonts w:ascii="Calibri" w:hAnsi="Calibri"/>
                <w:sz w:val="19"/>
              </w:rPr>
              <w:t>Conduct commercial discussions within approved parameters, subject to Clause 4.</w:t>
            </w:r>
          </w:p>
        </w:tc>
      </w:tr>
      <w:tr>
        <w:tc>
          <w:tcPr>
            <w:tcW w:type="dxa" w:w="2880"/>
            <w:shd w:val="clear" w:color="auto" w:fill="F2F4F7"/>
            <w:tcMar>
              <w:top w:w="60" w:type="dxa"/>
              <w:bottom w:w="60" w:type="dxa"/>
              <w:start w:w="100" w:type="dxa"/>
              <w:end w:w="100" w:type="dxa"/>
              <w:left w:w="100" w:type="dxa"/>
              <w:right w:w="100" w:type="dxa"/>
            </w:tcMar>
          </w:tcPr>
          <w:p>
            <w:r/>
            <w:r>
              <w:rPr>
                <w:rFonts w:ascii="Calibri" w:hAnsi="Calibri"/>
                <w:b/>
                <w:color w:val="064B84"/>
                <w:sz w:val="19"/>
              </w:rPr>
              <w:t>Market Expansion</w:t>
            </w:r>
          </w:p>
        </w:tc>
        <w:tc>
          <w:tcPr>
            <w:tcW w:type="dxa" w:w="6480"/>
            <w:shd w:val="clear" w:color="auto" w:fill="F2F4F7"/>
            <w:tcMar>
              <w:top w:w="60" w:type="dxa"/>
              <w:bottom w:w="60" w:type="dxa"/>
              <w:start w:w="100" w:type="dxa"/>
              <w:end w:w="100" w:type="dxa"/>
              <w:left w:w="100" w:type="dxa"/>
              <w:right w:w="100" w:type="dxa"/>
            </w:tcMar>
          </w:tcPr>
          <w:p>
            <w:r/>
            <w:r>
              <w:rPr>
                <w:rFonts w:ascii="Calibri" w:hAnsi="Calibri"/>
                <w:sz w:val="19"/>
              </w:rPr>
              <w:t>Drive national and multi-state expansion across the Federal Republic of Nigeria.</w:t>
            </w:r>
          </w:p>
        </w:tc>
      </w:tr>
      <w:tr>
        <w:tc>
          <w:tcPr>
            <w:tcW w:type="dxa" w:w="2880"/>
            <w:tcMar>
              <w:top w:w="60" w:type="dxa"/>
              <w:bottom w:w="60" w:type="dxa"/>
              <w:start w:w="100" w:type="dxa"/>
              <w:end w:w="100" w:type="dxa"/>
              <w:left w:w="100" w:type="dxa"/>
              <w:right w:w="100" w:type="dxa"/>
            </w:tcMar>
          </w:tcPr>
          <w:p>
            <w:r/>
            <w:r>
              <w:rPr>
                <w:rFonts w:ascii="Calibri" w:hAnsi="Calibri"/>
                <w:b/>
                <w:color w:val="064B84"/>
                <w:sz w:val="19"/>
              </w:rPr>
              <w:t>Strategic Planning</w:t>
            </w:r>
          </w:p>
        </w:tc>
        <w:tc>
          <w:tcPr>
            <w:tcW w:type="dxa" w:w="6480"/>
            <w:tcMar>
              <w:top w:w="60" w:type="dxa"/>
              <w:bottom w:w="60" w:type="dxa"/>
              <w:start w:w="100" w:type="dxa"/>
              <w:end w:w="100" w:type="dxa"/>
              <w:left w:w="100" w:type="dxa"/>
              <w:right w:w="100" w:type="dxa"/>
            </w:tcMar>
          </w:tcPr>
          <w:p>
            <w:r/>
            <w:r>
              <w:rPr>
                <w:rFonts w:ascii="Calibri" w:hAnsi="Calibri"/>
                <w:sz w:val="19"/>
              </w:rPr>
              <w:t>Contribute to corporate strategy, planning and executive decision-making.</w:t>
            </w:r>
          </w:p>
        </w:tc>
      </w:tr>
      <w:tr>
        <w:tc>
          <w:tcPr>
            <w:tcW w:type="dxa" w:w="2880"/>
            <w:shd w:val="clear" w:color="auto" w:fill="F2F4F7"/>
            <w:tcMar>
              <w:top w:w="60" w:type="dxa"/>
              <w:bottom w:w="60" w:type="dxa"/>
              <w:start w:w="100" w:type="dxa"/>
              <w:end w:w="100" w:type="dxa"/>
              <w:left w:w="100" w:type="dxa"/>
              <w:right w:w="100" w:type="dxa"/>
            </w:tcMar>
          </w:tcPr>
          <w:p>
            <w:r/>
            <w:r>
              <w:rPr>
                <w:rFonts w:ascii="Calibri" w:hAnsi="Calibri"/>
                <w:b/>
                <w:color w:val="064B84"/>
                <w:sz w:val="19"/>
              </w:rPr>
              <w:t>Executive &amp; Investor Reporting</w:t>
            </w:r>
          </w:p>
        </w:tc>
        <w:tc>
          <w:tcPr>
            <w:tcW w:type="dxa" w:w="6480"/>
            <w:shd w:val="clear" w:color="auto" w:fill="F2F4F7"/>
            <w:tcMar>
              <w:top w:w="60" w:type="dxa"/>
              <w:bottom w:w="60" w:type="dxa"/>
              <w:start w:w="100" w:type="dxa"/>
              <w:end w:w="100" w:type="dxa"/>
              <w:left w:w="100" w:type="dxa"/>
              <w:right w:w="100" w:type="dxa"/>
            </w:tcMar>
          </w:tcPr>
          <w:p>
            <w:r/>
            <w:r>
              <w:rPr>
                <w:rFonts w:ascii="Calibri" w:hAnsi="Calibri"/>
                <w:sz w:val="19"/>
              </w:rPr>
              <w:t>Prepare executive reports and provide reasonable support to investor relations and fundraising activities.</w:t>
            </w:r>
          </w:p>
        </w:tc>
      </w:tr>
    </w:tbl>
    <w:p>
      <w:pPr>
        <w:spacing w:before="0" w:after="80" w:line="276" w:lineRule="auto"/>
      </w:pPr>
    </w:p>
    <w:p>
      <w:pPr>
        <w:tabs>
          <w:tab w:pos="605" w:val="left"/>
        </w:tabs>
        <w:spacing w:before="40" w:after="120" w:line="276" w:lineRule="auto"/>
        <w:ind w:left="605" w:hanging="605"/>
      </w:pPr>
      <w:r>
        <w:rPr>
          <w:rFonts w:ascii="Calibri" w:hAnsi="Calibri"/>
          <w:b/>
          <w:color w:val="0259A0"/>
          <w:sz w:val="21"/>
        </w:rPr>
        <w:t>5.2</w:t>
      </w:r>
      <w:r>
        <w:tab/>
      </w:r>
      <w:r>
        <w:rPr>
          <w:rFonts w:ascii="Calibri" w:hAnsi="Calibri"/>
          <w:color w:val="1A202C"/>
          <w:sz w:val="21"/>
        </w:rPr>
        <w:t>The Executive shall perform the duties with the care, skill and diligence reasonably expected of a senior executive holding the offices of Chief Marketing Officer and Chief Strategy Officer.</w:t>
      </w:r>
    </w:p>
    <w:p>
      <w:pPr>
        <w:tabs>
          <w:tab w:pos="605" w:val="left"/>
        </w:tabs>
        <w:spacing w:before="40" w:after="120" w:line="276" w:lineRule="auto"/>
        <w:ind w:left="605" w:hanging="605"/>
      </w:pPr>
      <w:r>
        <w:rPr>
          <w:rFonts w:ascii="Calibri" w:hAnsi="Calibri"/>
          <w:b/>
          <w:color w:val="0259A0"/>
          <w:sz w:val="21"/>
        </w:rPr>
        <w:t>5.3</w:t>
      </w:r>
      <w:r>
        <w:tab/>
      </w:r>
      <w:r>
        <w:rPr>
          <w:rFonts w:ascii="Calibri" w:hAnsi="Calibri"/>
          <w:color w:val="1A202C"/>
          <w:sz w:val="21"/>
        </w:rPr>
        <w:t>The Executive shall keep the Company promptly and fully informed of all material developments relating to the duties, and shall provide the reports described in Clause 13 (Reporting).</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6.</w:t>
      </w:r>
      <w:r>
        <w:tab/>
      </w:r>
      <w:r>
        <w:rPr>
          <w:rFonts w:ascii="Calibri" w:hAnsi="Calibri"/>
          <w:b/>
          <w:color w:val="064B84"/>
          <w:sz w:val="26"/>
        </w:rPr>
        <w:t>PERFORMANCE STANDARDS AND KEY PERFORMANCE INDICATORS</w:t>
      </w:r>
    </w:p>
    <w:p>
      <w:pPr>
        <w:tabs>
          <w:tab w:pos="605" w:val="left"/>
        </w:tabs>
        <w:spacing w:before="40" w:after="120" w:line="276" w:lineRule="auto"/>
        <w:ind w:left="605" w:hanging="605"/>
      </w:pPr>
      <w:r>
        <w:rPr>
          <w:rFonts w:ascii="Calibri" w:hAnsi="Calibri"/>
          <w:b/>
          <w:color w:val="0259A0"/>
          <w:sz w:val="21"/>
        </w:rPr>
        <w:t>6.1</w:t>
      </w:r>
      <w:r>
        <w:tab/>
      </w:r>
      <w:r>
        <w:rPr>
          <w:rFonts w:ascii="Calibri" w:hAnsi="Calibri"/>
          <w:color w:val="1A202C"/>
          <w:sz w:val="21"/>
        </w:rPr>
        <w:t>The Executive’s engagement is performance-driven. The Executive shall use all reasonable endeavours to achieve the quarterly KPIs set out below and detailed in Appendix C.</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47857"/>
            <w:tcMar>
              <w:top w:w="60" w:type="dxa"/>
              <w:bottom w:w="60" w:type="dxa"/>
              <w:start w:w="100" w:type="dxa"/>
              <w:end w:w="100" w:type="dxa"/>
              <w:left w:w="100" w:type="dxa"/>
              <w:right w:w="100" w:type="dxa"/>
            </w:tcMar>
          </w:tcPr>
          <w:p>
            <w:r/>
            <w:r>
              <w:rPr>
                <w:rFonts w:ascii="Calibri" w:hAnsi="Calibri"/>
                <w:b/>
                <w:color w:val="FFFFFF"/>
                <w:sz w:val="19"/>
              </w:rPr>
              <w:t>Quarter</w:t>
            </w:r>
          </w:p>
        </w:tc>
        <w:tc>
          <w:tcPr>
            <w:tcW w:type="dxa" w:w="1872"/>
            <w:shd w:val="clear" w:color="auto" w:fill="047857"/>
            <w:tcMar>
              <w:top w:w="60" w:type="dxa"/>
              <w:bottom w:w="60" w:type="dxa"/>
              <w:start w:w="100" w:type="dxa"/>
              <w:end w:w="100" w:type="dxa"/>
              <w:left w:w="100" w:type="dxa"/>
              <w:right w:w="100" w:type="dxa"/>
            </w:tcMar>
          </w:tcPr>
          <w:p>
            <w:r/>
            <w:r>
              <w:rPr>
                <w:rFonts w:ascii="Calibri" w:hAnsi="Calibri"/>
                <w:b/>
                <w:color w:val="FFFFFF"/>
                <w:sz w:val="19"/>
              </w:rPr>
              <w:t>Period</w:t>
            </w:r>
          </w:p>
        </w:tc>
        <w:tc>
          <w:tcPr>
            <w:tcW w:type="dxa" w:w="4320"/>
            <w:shd w:val="clear" w:color="auto" w:fill="047857"/>
            <w:tcMar>
              <w:top w:w="60" w:type="dxa"/>
              <w:bottom w:w="60" w:type="dxa"/>
              <w:start w:w="100" w:type="dxa"/>
              <w:end w:w="100" w:type="dxa"/>
              <w:left w:w="100" w:type="dxa"/>
              <w:right w:w="100" w:type="dxa"/>
            </w:tcMar>
          </w:tcPr>
          <w:p>
            <w:r/>
            <w:r>
              <w:rPr>
                <w:rFonts w:ascii="Calibri" w:hAnsi="Calibri"/>
                <w:b/>
                <w:color w:val="FFFFFF"/>
                <w:sz w:val="19"/>
              </w:rPr>
              <w:t>Primary Objective</w:t>
            </w:r>
          </w:p>
        </w:tc>
        <w:tc>
          <w:tcPr>
            <w:tcW w:type="dxa" w:w="1728"/>
            <w:shd w:val="clear" w:color="auto" w:fill="047857"/>
            <w:tcMar>
              <w:top w:w="60" w:type="dxa"/>
              <w:bottom w:w="60" w:type="dxa"/>
              <w:start w:w="100" w:type="dxa"/>
              <w:end w:w="100" w:type="dxa"/>
              <w:left w:w="100" w:type="dxa"/>
              <w:right w:w="100" w:type="dxa"/>
            </w:tcMar>
          </w:tcPr>
          <w:p>
            <w:r/>
            <w:r>
              <w:rPr>
                <w:rFonts w:ascii="Calibri" w:hAnsi="Calibri"/>
                <w:b/>
                <w:color w:val="FFFFFF"/>
                <w:sz w:val="19"/>
              </w:rPr>
              <w:t>Target</w:t>
            </w:r>
          </w:p>
        </w:tc>
      </w:tr>
      <w:tr>
        <w:tc>
          <w:tcPr>
            <w:tcW w:type="dxa" w:w="1440"/>
            <w:tcMar>
              <w:top w:w="60" w:type="dxa"/>
              <w:bottom w:w="60" w:type="dxa"/>
              <w:start w:w="100" w:type="dxa"/>
              <w:end w:w="100" w:type="dxa"/>
              <w:left w:w="100" w:type="dxa"/>
              <w:right w:w="100" w:type="dxa"/>
            </w:tcMar>
          </w:tcPr>
          <w:p>
            <w:r/>
            <w:r>
              <w:rPr>
                <w:rFonts w:ascii="Calibri" w:hAnsi="Calibri"/>
                <w:b/>
                <w:color w:val="047857"/>
                <w:sz w:val="18"/>
              </w:rPr>
              <w:t>Quarter 1</w:t>
            </w:r>
          </w:p>
        </w:tc>
        <w:tc>
          <w:tcPr>
            <w:tcW w:type="dxa" w:w="1872"/>
            <w:tcMar>
              <w:top w:w="60" w:type="dxa"/>
              <w:bottom w:w="60" w:type="dxa"/>
              <w:start w:w="100" w:type="dxa"/>
              <w:end w:w="100" w:type="dxa"/>
              <w:left w:w="100" w:type="dxa"/>
              <w:right w:w="100" w:type="dxa"/>
            </w:tcMar>
          </w:tcPr>
          <w:p>
            <w:r/>
            <w:r>
              <w:rPr>
                <w:rFonts w:ascii="Calibri" w:hAnsi="Calibri"/>
                <w:sz w:val="18"/>
              </w:rPr>
              <w:t>Jun – Aug 2026</w:t>
            </w:r>
          </w:p>
        </w:tc>
        <w:tc>
          <w:tcPr>
            <w:tcW w:type="dxa" w:w="4320"/>
            <w:tcMar>
              <w:top w:w="60" w:type="dxa"/>
              <w:bottom w:w="60" w:type="dxa"/>
              <w:start w:w="100" w:type="dxa"/>
              <w:end w:w="100" w:type="dxa"/>
              <w:left w:w="100" w:type="dxa"/>
              <w:right w:w="100" w:type="dxa"/>
            </w:tcMar>
          </w:tcPr>
          <w:p>
            <w:r/>
            <w:r>
              <w:rPr>
                <w:rFonts w:ascii="Calibri" w:hAnsi="Calibri"/>
                <w:sz w:val="18"/>
              </w:rPr>
              <w:t>Acquire at least five (5) Activated Laboratories and establish the acquisition pipeline.</w:t>
            </w:r>
          </w:p>
        </w:tc>
        <w:tc>
          <w:tcPr>
            <w:tcW w:type="dxa" w:w="1728"/>
            <w:tcMar>
              <w:top w:w="60" w:type="dxa"/>
              <w:bottom w:w="60" w:type="dxa"/>
              <w:start w:w="100" w:type="dxa"/>
              <w:end w:w="100" w:type="dxa"/>
              <w:left w:w="100" w:type="dxa"/>
              <w:right w:w="100" w:type="dxa"/>
            </w:tcMar>
          </w:tcPr>
          <w:p>
            <w:r/>
            <w:r>
              <w:rPr>
                <w:rFonts w:ascii="Calibri" w:hAnsi="Calibri"/>
                <w:b/>
                <w:color w:val="064B84"/>
                <w:sz w:val="18"/>
              </w:rPr>
              <w:t>5 active labs</w:t>
            </w:r>
          </w:p>
        </w:tc>
      </w:tr>
      <w:tr>
        <w:tc>
          <w:tcPr>
            <w:tcW w:type="dxa" w:w="1440"/>
            <w:shd w:val="clear" w:color="auto" w:fill="E7F6F0"/>
            <w:tcMar>
              <w:top w:w="60" w:type="dxa"/>
              <w:bottom w:w="60" w:type="dxa"/>
              <w:start w:w="100" w:type="dxa"/>
              <w:end w:w="100" w:type="dxa"/>
              <w:left w:w="100" w:type="dxa"/>
              <w:right w:w="100" w:type="dxa"/>
            </w:tcMar>
          </w:tcPr>
          <w:p>
            <w:r/>
            <w:r>
              <w:rPr>
                <w:rFonts w:ascii="Calibri" w:hAnsi="Calibri"/>
                <w:b/>
                <w:color w:val="047857"/>
                <w:sz w:val="18"/>
              </w:rPr>
              <w:t>Quarter 2</w:t>
            </w:r>
          </w:p>
        </w:tc>
        <w:tc>
          <w:tcPr>
            <w:tcW w:type="dxa" w:w="1872"/>
            <w:shd w:val="clear" w:color="auto" w:fill="E7F6F0"/>
            <w:tcMar>
              <w:top w:w="60" w:type="dxa"/>
              <w:bottom w:w="60" w:type="dxa"/>
              <w:start w:w="100" w:type="dxa"/>
              <w:end w:w="100" w:type="dxa"/>
              <w:left w:w="100" w:type="dxa"/>
              <w:right w:w="100" w:type="dxa"/>
            </w:tcMar>
          </w:tcPr>
          <w:p>
            <w:r/>
            <w:r>
              <w:rPr>
                <w:rFonts w:ascii="Calibri" w:hAnsi="Calibri"/>
                <w:sz w:val="18"/>
              </w:rPr>
              <w:t>Sep – Nov 2026</w:t>
            </w:r>
          </w:p>
        </w:tc>
        <w:tc>
          <w:tcPr>
            <w:tcW w:type="dxa" w:w="4320"/>
            <w:shd w:val="clear" w:color="auto" w:fill="E7F6F0"/>
            <w:tcMar>
              <w:top w:w="60" w:type="dxa"/>
              <w:bottom w:w="60" w:type="dxa"/>
              <w:start w:w="100" w:type="dxa"/>
              <w:end w:w="100" w:type="dxa"/>
              <w:left w:w="100" w:type="dxa"/>
              <w:right w:w="100" w:type="dxa"/>
            </w:tcMar>
          </w:tcPr>
          <w:p>
            <w:r/>
            <w:r>
              <w:rPr>
                <w:rFonts w:ascii="Calibri" w:hAnsi="Calibri"/>
                <w:sz w:val="18"/>
              </w:rPr>
              <w:t>Reach a cumulative total of fifteen (15) Activated Laboratories and meet the minimum Confirmed Transaction target.</w:t>
            </w:r>
          </w:p>
        </w:tc>
        <w:tc>
          <w:tcPr>
            <w:tcW w:type="dxa" w:w="1728"/>
            <w:shd w:val="clear" w:color="auto" w:fill="E7F6F0"/>
            <w:tcMar>
              <w:top w:w="60" w:type="dxa"/>
              <w:bottom w:w="60" w:type="dxa"/>
              <w:start w:w="100" w:type="dxa"/>
              <w:end w:w="100" w:type="dxa"/>
              <w:left w:w="100" w:type="dxa"/>
              <w:right w:w="100" w:type="dxa"/>
            </w:tcMar>
          </w:tcPr>
          <w:p>
            <w:r/>
            <w:r>
              <w:rPr>
                <w:rFonts w:ascii="Calibri" w:hAnsi="Calibri"/>
                <w:b/>
                <w:color w:val="064B84"/>
                <w:sz w:val="18"/>
              </w:rPr>
              <w:t>15 active labs</w:t>
            </w:r>
          </w:p>
        </w:tc>
      </w:tr>
      <w:tr>
        <w:tc>
          <w:tcPr>
            <w:tcW w:type="dxa" w:w="1440"/>
            <w:tcMar>
              <w:top w:w="60" w:type="dxa"/>
              <w:bottom w:w="60" w:type="dxa"/>
              <w:start w:w="100" w:type="dxa"/>
              <w:end w:w="100" w:type="dxa"/>
              <w:left w:w="100" w:type="dxa"/>
              <w:right w:w="100" w:type="dxa"/>
            </w:tcMar>
          </w:tcPr>
          <w:p>
            <w:r/>
            <w:r>
              <w:rPr>
                <w:rFonts w:ascii="Calibri" w:hAnsi="Calibri"/>
                <w:b/>
                <w:color w:val="047857"/>
                <w:sz w:val="18"/>
              </w:rPr>
              <w:t>Quarter 3</w:t>
            </w:r>
          </w:p>
        </w:tc>
        <w:tc>
          <w:tcPr>
            <w:tcW w:type="dxa" w:w="1872"/>
            <w:tcMar>
              <w:top w:w="60" w:type="dxa"/>
              <w:bottom w:w="60" w:type="dxa"/>
              <w:start w:w="100" w:type="dxa"/>
              <w:end w:w="100" w:type="dxa"/>
              <w:left w:w="100" w:type="dxa"/>
              <w:right w:w="100" w:type="dxa"/>
            </w:tcMar>
          </w:tcPr>
          <w:p>
            <w:r/>
            <w:r>
              <w:rPr>
                <w:rFonts w:ascii="Calibri" w:hAnsi="Calibri"/>
                <w:sz w:val="18"/>
              </w:rPr>
              <w:t>Dec 2026 – Feb 2027</w:t>
            </w:r>
          </w:p>
        </w:tc>
        <w:tc>
          <w:tcPr>
            <w:tcW w:type="dxa" w:w="4320"/>
            <w:tcMar>
              <w:top w:w="60" w:type="dxa"/>
              <w:bottom w:w="60" w:type="dxa"/>
              <w:start w:w="100" w:type="dxa"/>
              <w:end w:w="100" w:type="dxa"/>
              <w:left w:w="100" w:type="dxa"/>
              <w:right w:w="100" w:type="dxa"/>
            </w:tcMar>
          </w:tcPr>
          <w:p>
            <w:r/>
            <w:r>
              <w:rPr>
                <w:rFonts w:ascii="Calibri" w:hAnsi="Calibri"/>
                <w:sz w:val="18"/>
              </w:rPr>
              <w:t>Expand operations into additional Nigerian states and sustain transaction growth from existing laboratories.</w:t>
            </w:r>
          </w:p>
        </w:tc>
        <w:tc>
          <w:tcPr>
            <w:tcW w:type="dxa" w:w="1728"/>
            <w:tcMar>
              <w:top w:w="60" w:type="dxa"/>
              <w:bottom w:w="60" w:type="dxa"/>
              <w:start w:w="100" w:type="dxa"/>
              <w:end w:w="100" w:type="dxa"/>
              <w:left w:w="100" w:type="dxa"/>
              <w:right w:w="100" w:type="dxa"/>
            </w:tcMar>
          </w:tcPr>
          <w:p>
            <w:r/>
            <w:r>
              <w:rPr>
                <w:rFonts w:ascii="Calibri" w:hAnsi="Calibri"/>
                <w:b/>
                <w:color w:val="064B84"/>
                <w:sz w:val="18"/>
              </w:rPr>
              <w:t>Multi-state</w:t>
            </w:r>
          </w:p>
        </w:tc>
      </w:tr>
      <w:tr>
        <w:tc>
          <w:tcPr>
            <w:tcW w:type="dxa" w:w="1440"/>
            <w:shd w:val="clear" w:color="auto" w:fill="E7F6F0"/>
            <w:tcMar>
              <w:top w:w="60" w:type="dxa"/>
              <w:bottom w:w="60" w:type="dxa"/>
              <w:start w:w="100" w:type="dxa"/>
              <w:end w:w="100" w:type="dxa"/>
              <w:left w:w="100" w:type="dxa"/>
              <w:right w:w="100" w:type="dxa"/>
            </w:tcMar>
          </w:tcPr>
          <w:p>
            <w:r/>
            <w:r>
              <w:rPr>
                <w:rFonts w:ascii="Calibri" w:hAnsi="Calibri"/>
                <w:b/>
                <w:color w:val="047857"/>
                <w:sz w:val="18"/>
              </w:rPr>
              <w:t>Quarter 4</w:t>
            </w:r>
          </w:p>
        </w:tc>
        <w:tc>
          <w:tcPr>
            <w:tcW w:type="dxa" w:w="1872"/>
            <w:shd w:val="clear" w:color="auto" w:fill="E7F6F0"/>
            <w:tcMar>
              <w:top w:w="60" w:type="dxa"/>
              <w:bottom w:w="60" w:type="dxa"/>
              <w:start w:w="100" w:type="dxa"/>
              <w:end w:w="100" w:type="dxa"/>
              <w:left w:w="100" w:type="dxa"/>
              <w:right w:w="100" w:type="dxa"/>
            </w:tcMar>
          </w:tcPr>
          <w:p>
            <w:r/>
            <w:r>
              <w:rPr>
                <w:rFonts w:ascii="Calibri" w:hAnsi="Calibri"/>
                <w:sz w:val="18"/>
              </w:rPr>
              <w:t>Mar – May 2027</w:t>
            </w:r>
          </w:p>
        </w:tc>
        <w:tc>
          <w:tcPr>
            <w:tcW w:type="dxa" w:w="4320"/>
            <w:shd w:val="clear" w:color="auto" w:fill="E7F6F0"/>
            <w:tcMar>
              <w:top w:w="60" w:type="dxa"/>
              <w:bottom w:w="60" w:type="dxa"/>
              <w:start w:w="100" w:type="dxa"/>
              <w:end w:w="100" w:type="dxa"/>
              <w:left w:w="100" w:type="dxa"/>
              <w:right w:w="100" w:type="dxa"/>
            </w:tcMar>
          </w:tcPr>
          <w:p>
            <w:r/>
            <w:r>
              <w:rPr>
                <w:rFonts w:ascii="Calibri" w:hAnsi="Calibri"/>
                <w:sz w:val="18"/>
              </w:rPr>
              <w:t>Reach a cumulative total of thirty (30) Activated Laboratories and establish recurring monthly Commission revenue.</w:t>
            </w:r>
          </w:p>
        </w:tc>
        <w:tc>
          <w:tcPr>
            <w:tcW w:type="dxa" w:w="1728"/>
            <w:shd w:val="clear" w:color="auto" w:fill="E7F6F0"/>
            <w:tcMar>
              <w:top w:w="60" w:type="dxa"/>
              <w:bottom w:w="60" w:type="dxa"/>
              <w:start w:w="100" w:type="dxa"/>
              <w:end w:w="100" w:type="dxa"/>
              <w:left w:w="100" w:type="dxa"/>
              <w:right w:w="100" w:type="dxa"/>
            </w:tcMar>
          </w:tcPr>
          <w:p>
            <w:r/>
            <w:r>
              <w:rPr>
                <w:rFonts w:ascii="Calibri" w:hAnsi="Calibri"/>
                <w:b/>
                <w:color w:val="064B84"/>
                <w:sz w:val="18"/>
              </w:rPr>
              <w:t>30 active labs</w:t>
            </w:r>
          </w:p>
        </w:tc>
      </w:tr>
    </w:tbl>
    <w:p>
      <w:pPr>
        <w:spacing w:before="0" w:after="80" w:line="276" w:lineRule="auto"/>
      </w:pPr>
    </w:p>
    <w:p>
      <w:pPr>
        <w:tabs>
          <w:tab w:pos="605" w:val="left"/>
        </w:tabs>
        <w:spacing w:before="40" w:after="120" w:line="276" w:lineRule="auto"/>
        <w:ind w:left="605" w:hanging="605"/>
      </w:pPr>
      <w:r>
        <w:rPr>
          <w:rFonts w:ascii="Calibri" w:hAnsi="Calibri"/>
          <w:b/>
          <w:color w:val="0259A0"/>
          <w:sz w:val="21"/>
        </w:rPr>
        <w:t>6.2</w:t>
      </w:r>
      <w:r>
        <w:tab/>
      </w:r>
      <w:r>
        <w:rPr>
          <w:rFonts w:ascii="Calibri" w:hAnsi="Calibri"/>
          <w:color w:val="1A202C"/>
          <w:sz w:val="21"/>
        </w:rPr>
        <w:t>“Minimum confirmed transaction targets” means the minimum number and value of Confirmed Transactions per quarter as agreed and recorded in Appendix C, measured solely by reference to Poveon’s official accounting system.</w:t>
      </w:r>
    </w:p>
    <w:p>
      <w:pPr>
        <w:tabs>
          <w:tab w:pos="605" w:val="left"/>
        </w:tabs>
        <w:spacing w:before="40" w:after="120" w:line="276" w:lineRule="auto"/>
        <w:ind w:left="605" w:hanging="605"/>
      </w:pPr>
      <w:r>
        <w:rPr>
          <w:rFonts w:ascii="Calibri" w:hAnsi="Calibri"/>
          <w:b/>
          <w:color w:val="0259A0"/>
          <w:sz w:val="21"/>
        </w:rPr>
        <w:t>6.3</w:t>
      </w:r>
      <w:r>
        <w:tab/>
      </w:r>
      <w:r>
        <w:rPr>
          <w:rFonts w:ascii="Calibri" w:hAnsi="Calibri"/>
          <w:color w:val="1A202C"/>
          <w:sz w:val="21"/>
        </w:rPr>
        <w:t>KPIs shall be assessed at the end of each quarter using the Quarterly KPI Scorecard (Appendix C). The Company shall act reasonably and in good faith in assessing performance and shall take into account market conditions outside the Executive’s reasonable control.</w:t>
      </w:r>
    </w:p>
    <w:p>
      <w:pPr>
        <w:tabs>
          <w:tab w:pos="605" w:val="left"/>
        </w:tabs>
        <w:spacing w:before="40" w:after="120" w:line="276" w:lineRule="auto"/>
        <w:ind w:left="605" w:hanging="605"/>
      </w:pPr>
      <w:r>
        <w:rPr>
          <w:rFonts w:ascii="Calibri" w:hAnsi="Calibri"/>
          <w:b/>
          <w:color w:val="0259A0"/>
          <w:sz w:val="21"/>
        </w:rPr>
        <w:t>6.4</w:t>
      </w:r>
      <w:r>
        <w:tab/>
      </w:r>
      <w:r>
        <w:rPr>
          <w:rFonts w:ascii="Calibri" w:hAnsi="Calibri"/>
          <w:color w:val="1A202C"/>
          <w:sz w:val="21"/>
        </w:rPr>
        <w:t>Sustained failure to meet the minimum KPIs, following written notice and a reasonable opportunity to improve in accordance with Clause 21, may constitute grounds for termination.</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7.</w:t>
      </w:r>
      <w:r>
        <w:tab/>
      </w:r>
      <w:r>
        <w:rPr>
          <w:rFonts w:ascii="Calibri" w:hAnsi="Calibri"/>
          <w:b/>
          <w:color w:val="064B84"/>
          <w:sz w:val="26"/>
        </w:rPr>
        <w:t>INTRODUCED LABORATORIES</w:t>
      </w:r>
    </w:p>
    <w:p>
      <w:pPr>
        <w:tabs>
          <w:tab w:pos="605" w:val="left"/>
        </w:tabs>
        <w:spacing w:before="40" w:after="120" w:line="276" w:lineRule="auto"/>
        <w:ind w:left="605" w:hanging="605"/>
      </w:pPr>
      <w:r>
        <w:rPr>
          <w:rFonts w:ascii="Calibri" w:hAnsi="Calibri"/>
          <w:b/>
          <w:color w:val="0259A0"/>
          <w:sz w:val="21"/>
        </w:rPr>
        <w:t>7.1</w:t>
      </w:r>
      <w:r>
        <w:tab/>
      </w:r>
      <w:r>
        <w:rPr>
          <w:rFonts w:ascii="Calibri" w:hAnsi="Calibri"/>
          <w:color w:val="1A202C"/>
          <w:sz w:val="21"/>
        </w:rPr>
        <w:t>A laboratory shall qualify as an “Introduced Laboratory” in respect of the Executive, and thereby generate a Revenue Share entitlement, ONLY where each of the following conditions is satisfied:</w:t>
      </w:r>
    </w:p>
    <w:p>
      <w:pPr>
        <w:tabs>
          <w:tab w:pos="1224" w:val="left"/>
        </w:tabs>
        <w:spacing w:before="0" w:after="60" w:line="269" w:lineRule="auto"/>
        <w:ind w:left="1224" w:hanging="475"/>
      </w:pPr>
      <w:r>
        <w:rPr>
          <w:rFonts w:ascii="Calibri" w:hAnsi="Calibri"/>
          <w:color w:val="0259A0"/>
          <w:sz w:val="21"/>
        </w:rPr>
        <w:t>(a)</w:t>
      </w:r>
      <w:r>
        <w:tab/>
      </w:r>
      <w:r>
        <w:rPr>
          <w:rFonts w:ascii="Calibri" w:hAnsi="Calibri"/>
          <w:color w:val="1A202C"/>
          <w:sz w:val="21"/>
        </w:rPr>
        <w:t>the Executive made the first introduction of the laboratory to Poveon (being the original and verifiable source of contact);</w:t>
      </w:r>
    </w:p>
    <w:p>
      <w:pPr>
        <w:tabs>
          <w:tab w:pos="1224" w:val="left"/>
        </w:tabs>
        <w:spacing w:before="0" w:after="60" w:line="269" w:lineRule="auto"/>
        <w:ind w:left="1224" w:hanging="475"/>
      </w:pPr>
      <w:r>
        <w:rPr>
          <w:rFonts w:ascii="Calibri" w:hAnsi="Calibri"/>
          <w:color w:val="0259A0"/>
          <w:sz w:val="21"/>
        </w:rPr>
        <w:t>(b)</w:t>
      </w:r>
      <w:r>
        <w:tab/>
      </w:r>
      <w:r>
        <w:rPr>
          <w:rFonts w:ascii="Calibri" w:hAnsi="Calibri"/>
          <w:color w:val="1A202C"/>
          <w:sz w:val="21"/>
        </w:rPr>
        <w:t>the laboratory subsequently signs or enters into a partnership or services arrangement with Poveon;</w:t>
      </w:r>
    </w:p>
    <w:p>
      <w:pPr>
        <w:tabs>
          <w:tab w:pos="1224" w:val="left"/>
        </w:tabs>
        <w:spacing w:before="0" w:after="60" w:line="269" w:lineRule="auto"/>
        <w:ind w:left="1224" w:hanging="475"/>
      </w:pPr>
      <w:r>
        <w:rPr>
          <w:rFonts w:ascii="Calibri" w:hAnsi="Calibri"/>
          <w:color w:val="0259A0"/>
          <w:sz w:val="21"/>
        </w:rPr>
        <w:t>(c)</w:t>
      </w:r>
      <w:r>
        <w:tab/>
      </w:r>
      <w:r>
        <w:rPr>
          <w:rFonts w:ascii="Calibri" w:hAnsi="Calibri"/>
          <w:color w:val="1A202C"/>
          <w:sz w:val="21"/>
        </w:rPr>
        <w:t>the laboratory becomes an Activated Laboratory on the Poveon platform;</w:t>
      </w:r>
    </w:p>
    <w:p>
      <w:pPr>
        <w:tabs>
          <w:tab w:pos="1224" w:val="left"/>
        </w:tabs>
        <w:spacing w:before="0" w:after="60" w:line="269" w:lineRule="auto"/>
        <w:ind w:left="1224" w:hanging="475"/>
      </w:pPr>
      <w:r>
        <w:rPr>
          <w:rFonts w:ascii="Calibri" w:hAnsi="Calibri"/>
          <w:color w:val="0259A0"/>
          <w:sz w:val="21"/>
        </w:rPr>
        <w:t>(d)</w:t>
      </w:r>
      <w:r>
        <w:tab/>
      </w:r>
      <w:r>
        <w:rPr>
          <w:rFonts w:ascii="Calibri" w:hAnsi="Calibri"/>
          <w:color w:val="1A202C"/>
          <w:sz w:val="21"/>
        </w:rPr>
        <w:t>Poveon records and attributes the Executive as the acquisition source for that laboratory in its records; and</w:t>
      </w:r>
    </w:p>
    <w:p>
      <w:pPr>
        <w:tabs>
          <w:tab w:pos="1224" w:val="left"/>
        </w:tabs>
        <w:spacing w:before="0" w:after="60" w:line="269" w:lineRule="auto"/>
        <w:ind w:left="1224" w:hanging="475"/>
      </w:pPr>
      <w:r>
        <w:rPr>
          <w:rFonts w:ascii="Calibri" w:hAnsi="Calibri"/>
          <w:color w:val="0259A0"/>
          <w:sz w:val="21"/>
        </w:rPr>
        <w:t>(e)</w:t>
      </w:r>
      <w:r>
        <w:tab/>
      </w:r>
      <w:r>
        <w:rPr>
          <w:rFonts w:ascii="Calibri" w:hAnsi="Calibri"/>
          <w:color w:val="1A202C"/>
          <w:sz w:val="21"/>
        </w:rPr>
        <w:t>the laboratory begins generating Confirmed Transactions and therefore confirmed revenue for Poveon.</w:t>
      </w:r>
    </w:p>
    <w:p>
      <w:pPr>
        <w:tabs>
          <w:tab w:pos="605" w:val="left"/>
        </w:tabs>
        <w:spacing w:before="40" w:after="120" w:line="276" w:lineRule="auto"/>
        <w:ind w:left="605" w:hanging="605"/>
      </w:pPr>
      <w:r>
        <w:rPr>
          <w:rFonts w:ascii="Calibri" w:hAnsi="Calibri"/>
          <w:b/>
          <w:color w:val="0259A0"/>
          <w:sz w:val="21"/>
        </w:rPr>
        <w:t>7.2</w:t>
      </w:r>
      <w:r>
        <w:tab/>
      </w:r>
      <w:r>
        <w:rPr>
          <w:rFonts w:ascii="Calibri" w:hAnsi="Calibri"/>
          <w:color w:val="1A202C"/>
          <w:sz w:val="21"/>
        </w:rPr>
        <w:t>Where two or more persons claim to have introduced the same laboratory, Poveon’s records of first introduction shall be conclusive, and Poveon shall act reasonably and in good faith in attributing the acquisition source.</w:t>
      </w:r>
    </w:p>
    <w:p>
      <w:pPr>
        <w:tabs>
          <w:tab w:pos="605" w:val="left"/>
        </w:tabs>
        <w:spacing w:before="40" w:after="120" w:line="276" w:lineRule="auto"/>
        <w:ind w:left="605" w:hanging="605"/>
      </w:pPr>
      <w:r>
        <w:rPr>
          <w:rFonts w:ascii="Calibri" w:hAnsi="Calibri"/>
          <w:b/>
          <w:color w:val="0259A0"/>
          <w:sz w:val="21"/>
        </w:rPr>
        <w:t>7.3</w:t>
      </w:r>
      <w:r>
        <w:tab/>
      </w:r>
      <w:r>
        <w:rPr>
          <w:rFonts w:ascii="Calibri" w:hAnsi="Calibri"/>
          <w:color w:val="1A202C"/>
          <w:sz w:val="21"/>
        </w:rPr>
        <w:t>Attribution of a laboratory as an Introduced Laboratory does not confer on the Executive any ownership of, or proprietary interest in, the laboratory relationship, which at all times belongs exclusively to Poveon in accordance with Clause 15.</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8.</w:t>
      </w:r>
      <w:r>
        <w:tab/>
      </w:r>
      <w:r>
        <w:rPr>
          <w:rFonts w:ascii="Calibri" w:hAnsi="Calibri"/>
          <w:b/>
          <w:color w:val="064B84"/>
          <w:sz w:val="26"/>
        </w:rPr>
        <w:t>CONFIRMED TRANSACTIONS</w:t>
      </w:r>
    </w:p>
    <w:p>
      <w:pPr>
        <w:tabs>
          <w:tab w:pos="605" w:val="left"/>
        </w:tabs>
        <w:spacing w:before="40" w:after="120" w:line="276" w:lineRule="auto"/>
        <w:ind w:left="605" w:hanging="605"/>
      </w:pPr>
      <w:r>
        <w:rPr>
          <w:rFonts w:ascii="Calibri" w:hAnsi="Calibri"/>
          <w:b/>
          <w:color w:val="0259A0"/>
          <w:sz w:val="21"/>
        </w:rPr>
        <w:t>8.1</w:t>
      </w:r>
      <w:r>
        <w:tab/>
      </w:r>
      <w:r>
        <w:rPr>
          <w:rFonts w:ascii="Calibri" w:hAnsi="Calibri"/>
          <w:color w:val="1A202C"/>
          <w:sz w:val="21"/>
        </w:rPr>
        <w:t>A laboratory transaction shall be treated as a “Confirmed Transaction”, and shall count towards Net Commission Revenue, ONLY when ALL of the following are satisfied:</w:t>
      </w:r>
    </w:p>
    <w:p>
      <w:pPr>
        <w:tabs>
          <w:tab w:pos="1224" w:val="left"/>
        </w:tabs>
        <w:spacing w:before="0" w:after="60" w:line="269" w:lineRule="auto"/>
        <w:ind w:left="1224" w:hanging="475"/>
      </w:pPr>
      <w:r>
        <w:rPr>
          <w:rFonts w:ascii="Calibri" w:hAnsi="Calibri"/>
          <w:color w:val="0259A0"/>
          <w:sz w:val="21"/>
        </w:rPr>
        <w:t>(a)</w:t>
      </w:r>
      <w:r>
        <w:tab/>
      </w:r>
      <w:r>
        <w:rPr>
          <w:rFonts w:ascii="Calibri" w:hAnsi="Calibri"/>
          <w:color w:val="1A202C"/>
          <w:sz w:val="21"/>
        </w:rPr>
        <w:t>the patient has attended the laboratory and completed the relevant diagnostic service;</w:t>
      </w:r>
    </w:p>
    <w:p>
      <w:pPr>
        <w:tabs>
          <w:tab w:pos="1224" w:val="left"/>
        </w:tabs>
        <w:spacing w:before="0" w:after="60" w:line="269" w:lineRule="auto"/>
        <w:ind w:left="1224" w:hanging="475"/>
      </w:pPr>
      <w:r>
        <w:rPr>
          <w:rFonts w:ascii="Calibri" w:hAnsi="Calibri"/>
          <w:color w:val="0259A0"/>
          <w:sz w:val="21"/>
        </w:rPr>
        <w:t>(b)</w:t>
      </w:r>
      <w:r>
        <w:tab/>
      </w:r>
      <w:r>
        <w:rPr>
          <w:rFonts w:ascii="Calibri" w:hAnsi="Calibri"/>
          <w:color w:val="1A202C"/>
          <w:sz w:val="21"/>
        </w:rPr>
        <w:t>the laboratory has confirmed completion of the service;</w:t>
      </w:r>
    </w:p>
    <w:p>
      <w:pPr>
        <w:tabs>
          <w:tab w:pos="1224" w:val="left"/>
        </w:tabs>
        <w:spacing w:before="0" w:after="60" w:line="269" w:lineRule="auto"/>
        <w:ind w:left="1224" w:hanging="475"/>
      </w:pPr>
      <w:r>
        <w:rPr>
          <w:rFonts w:ascii="Calibri" w:hAnsi="Calibri"/>
          <w:color w:val="0259A0"/>
          <w:sz w:val="21"/>
        </w:rPr>
        <w:t>(c)</w:t>
      </w:r>
      <w:r>
        <w:tab/>
      </w:r>
      <w:r>
        <w:rPr>
          <w:rFonts w:ascii="Calibri" w:hAnsi="Calibri"/>
          <w:color w:val="1A202C"/>
          <w:sz w:val="21"/>
        </w:rPr>
        <w:t>Poveon has confirmed that Commission is payable in respect of the transaction;</w:t>
      </w:r>
    </w:p>
    <w:p>
      <w:pPr>
        <w:tabs>
          <w:tab w:pos="1224" w:val="left"/>
        </w:tabs>
        <w:spacing w:before="0" w:after="60" w:line="269" w:lineRule="auto"/>
        <w:ind w:left="1224" w:hanging="475"/>
      </w:pPr>
      <w:r>
        <w:rPr>
          <w:rFonts w:ascii="Calibri" w:hAnsi="Calibri"/>
          <w:color w:val="0259A0"/>
          <w:sz w:val="21"/>
        </w:rPr>
        <w:t>(d)</w:t>
      </w:r>
      <w:r>
        <w:tab/>
      </w:r>
      <w:r>
        <w:rPr>
          <w:rFonts w:ascii="Calibri" w:hAnsi="Calibri"/>
          <w:color w:val="1A202C"/>
          <w:sz w:val="21"/>
        </w:rPr>
        <w:t>there is no outstanding dispute in respect of the transaction;</w:t>
      </w:r>
    </w:p>
    <w:p>
      <w:pPr>
        <w:tabs>
          <w:tab w:pos="1224" w:val="left"/>
        </w:tabs>
        <w:spacing w:before="0" w:after="60" w:line="269" w:lineRule="auto"/>
        <w:ind w:left="1224" w:hanging="475"/>
      </w:pPr>
      <w:r>
        <w:rPr>
          <w:rFonts w:ascii="Calibri" w:hAnsi="Calibri"/>
          <w:color w:val="0259A0"/>
          <w:sz w:val="21"/>
        </w:rPr>
        <w:t>(e)</w:t>
      </w:r>
      <w:r>
        <w:tab/>
      </w:r>
      <w:r>
        <w:rPr>
          <w:rFonts w:ascii="Calibri" w:hAnsi="Calibri"/>
          <w:color w:val="1A202C"/>
          <w:sz w:val="21"/>
        </w:rPr>
        <w:t>there has been no refund, reversal or chargeback in respect of the transaction; and</w:t>
      </w:r>
    </w:p>
    <w:p>
      <w:pPr>
        <w:tabs>
          <w:tab w:pos="1224" w:val="left"/>
        </w:tabs>
        <w:spacing w:before="0" w:after="60" w:line="269" w:lineRule="auto"/>
        <w:ind w:left="1224" w:hanging="475"/>
      </w:pPr>
      <w:r>
        <w:rPr>
          <w:rFonts w:ascii="Calibri" w:hAnsi="Calibri"/>
          <w:color w:val="0259A0"/>
          <w:sz w:val="21"/>
        </w:rPr>
        <w:t>(f)</w:t>
      </w:r>
      <w:r>
        <w:tab/>
      </w:r>
      <w:r>
        <w:rPr>
          <w:rFonts w:ascii="Calibri" w:hAnsi="Calibri"/>
          <w:color w:val="1A202C"/>
          <w:sz w:val="21"/>
        </w:rPr>
        <w:t>Poveon has recorded the transaction in its official accounting system as commission-payable.</w:t>
      </w:r>
    </w:p>
    <w:p>
      <w:pPr>
        <w:tabs>
          <w:tab w:pos="605" w:val="left"/>
        </w:tabs>
        <w:spacing w:before="40" w:after="120" w:line="276" w:lineRule="auto"/>
        <w:ind w:left="605" w:hanging="605"/>
      </w:pPr>
      <w:r>
        <w:rPr>
          <w:rFonts w:ascii="Calibri" w:hAnsi="Calibri"/>
          <w:b/>
          <w:color w:val="0259A0"/>
          <w:sz w:val="21"/>
        </w:rPr>
        <w:t>8.2</w:t>
      </w:r>
      <w:r>
        <w:tab/>
      </w:r>
      <w:r>
        <w:rPr>
          <w:rFonts w:ascii="Calibri" w:hAnsi="Calibri"/>
          <w:color w:val="1A202C"/>
          <w:sz w:val="21"/>
        </w:rPr>
        <w:t>For the avoidance of doubt, and consistent with Recital (C), the Executive acknowledges that Poveon may be unable to directly verify the moment of patient payment. Accordingly, only Confirmed Transactions — verified by patient arrival, completed service, and laboratory confirmation, and recorded by Poveon — shall count for the purpose of calculating the Revenue Share.</w:t>
      </w:r>
    </w:p>
    <w:tbl>
      <w:tblPr>
        <w:tblW w:type="auto" w:w="0"/>
        <w:jc w:val="center"/>
        <w:tblLook w:firstColumn="1" w:firstRow="1" w:lastColumn="0" w:lastRow="0" w:noHBand="0" w:noVBand="1" w:val="04A0"/>
      </w:tblPr>
      <w:tblGrid>
        <w:gridCol w:w="9360"/>
      </w:tblGrid>
      <w:tr>
        <w:tc>
          <w:tcPr>
            <w:tcW w:type="dxa" w:w="9360"/>
            <w:tcBorders>
              <w:left w:val="single" w:sz="24" w:space="0" w:color="047857"/>
            </w:tcBorders>
            <w:shd w:val="clear" w:color="auto" w:fill="E7F6F0"/>
            <w:tcMar>
              <w:top w:w="120" w:type="dxa"/>
              <w:bottom w:w="120" w:type="dxa"/>
              <w:start w:w="200" w:type="dxa"/>
              <w:end w:w="200" w:type="dxa"/>
              <w:left w:w="200" w:type="dxa"/>
              <w:right w:w="200" w:type="dxa"/>
            </w:tcMar>
          </w:tcPr>
          <w:p>
            <w:pPr>
              <w:spacing w:after="40"/>
            </w:pPr>
            <w:r/>
            <w:r>
              <w:rPr>
                <w:rFonts w:ascii="Calibri" w:hAnsi="Calibri"/>
                <w:b/>
                <w:color w:val="064B84"/>
                <w:sz w:val="19"/>
              </w:rPr>
              <w:t>CORE PRINCIPLE</w:t>
            </w:r>
          </w:p>
          <w:p>
            <w:pPr>
              <w:spacing w:after="0"/>
            </w:pPr>
            <w:r>
              <w:rPr>
                <w:rFonts w:ascii="Calibri" w:hAnsi="Calibri"/>
                <w:color w:val="1A202C"/>
                <w:sz w:val="20"/>
              </w:rPr>
              <w:t>Only Confirmed Transactions count. Pending, disputed, refunded, reversed or unverified transactions generate no Revenue Share entitlement unless and until they become Confirmed Transactions recorded in Poveon’s official accounting system.</w:t>
            </w:r>
          </w:p>
        </w:tc>
      </w:tr>
    </w:tbl>
    <w:p>
      <w:pPr>
        <w:spacing w:after="40"/>
      </w:pPr>
    </w:p>
    <w:p>
      <w:pPr>
        <w:pStyle w:val="Heading1"/>
        <w:keepNext/>
        <w:pBdr>
          <w:bottom w:val="single" w:sz="4" w:space="2" w:color="059669"/>
        </w:pBdr>
        <w:tabs>
          <w:tab w:pos="605" w:val="left"/>
        </w:tabs>
        <w:spacing w:before="320" w:after="120"/>
        <w:ind w:left="605" w:hanging="605"/>
      </w:pPr>
      <w:r>
        <w:rPr>
          <w:rFonts w:ascii="Calibri" w:hAnsi="Calibri"/>
          <w:b/>
          <w:color w:val="064B84"/>
          <w:sz w:val="26"/>
        </w:rPr>
        <w:t>9.</w:t>
      </w:r>
      <w:r>
        <w:tab/>
      </w:r>
      <w:r>
        <w:rPr>
          <w:rFonts w:ascii="Calibri" w:hAnsi="Calibri"/>
          <w:b/>
          <w:color w:val="064B84"/>
          <w:sz w:val="26"/>
        </w:rPr>
        <w:t>NET COMMISSION REVENUE</w:t>
      </w:r>
    </w:p>
    <w:p>
      <w:pPr>
        <w:tabs>
          <w:tab w:pos="605" w:val="left"/>
        </w:tabs>
        <w:spacing w:before="40" w:after="120" w:line="276" w:lineRule="auto"/>
        <w:ind w:left="605" w:hanging="605"/>
      </w:pPr>
      <w:r>
        <w:rPr>
          <w:rFonts w:ascii="Calibri" w:hAnsi="Calibri"/>
          <w:b/>
          <w:color w:val="0259A0"/>
          <w:sz w:val="21"/>
        </w:rPr>
        <w:t>9.1</w:t>
      </w:r>
      <w:r>
        <w:tab/>
      </w:r>
      <w:r>
        <w:rPr>
          <w:rFonts w:ascii="Calibri" w:hAnsi="Calibri"/>
          <w:color w:val="1A202C"/>
          <w:sz w:val="21"/>
        </w:rPr>
        <w:t>“Net Commission Revenue” in respect of an Introduced Laboratory means Poveon’s 2% Commission on Confirmed Transactions for that laboratory which has actually been received by Poveon, LESS the following deductions to the extent attributable to those transactions:</w:t>
      </w:r>
    </w:p>
    <w:p>
      <w:pPr>
        <w:tabs>
          <w:tab w:pos="1224" w:val="left"/>
        </w:tabs>
        <w:spacing w:before="0" w:after="60" w:line="269" w:lineRule="auto"/>
        <w:ind w:left="1224" w:hanging="475"/>
      </w:pPr>
      <w:r>
        <w:rPr>
          <w:rFonts w:ascii="Calibri" w:hAnsi="Calibri"/>
          <w:color w:val="0259A0"/>
          <w:sz w:val="21"/>
        </w:rPr>
        <w:t>(–)</w:t>
      </w:r>
      <w:r>
        <w:tab/>
      </w:r>
      <w:r>
        <w:rPr>
          <w:rFonts w:ascii="Calibri" w:hAnsi="Calibri"/>
          <w:color w:val="1A202C"/>
          <w:sz w:val="21"/>
        </w:rPr>
        <w:t>refunds</w:t>
      </w:r>
    </w:p>
    <w:p>
      <w:pPr>
        <w:tabs>
          <w:tab w:pos="1224" w:val="left"/>
        </w:tabs>
        <w:spacing w:before="0" w:after="60" w:line="269" w:lineRule="auto"/>
        <w:ind w:left="1224" w:hanging="475"/>
      </w:pPr>
      <w:r>
        <w:rPr>
          <w:rFonts w:ascii="Calibri" w:hAnsi="Calibri"/>
          <w:color w:val="0259A0"/>
          <w:sz w:val="21"/>
        </w:rPr>
        <w:t>(–)</w:t>
      </w:r>
      <w:r>
        <w:tab/>
      </w:r>
      <w:r>
        <w:rPr>
          <w:rFonts w:ascii="Calibri" w:hAnsi="Calibri"/>
          <w:color w:val="1A202C"/>
          <w:sz w:val="21"/>
        </w:rPr>
        <w:t>chargebacks</w:t>
      </w:r>
    </w:p>
    <w:p>
      <w:pPr>
        <w:tabs>
          <w:tab w:pos="1224" w:val="left"/>
        </w:tabs>
        <w:spacing w:before="0" w:after="60" w:line="269" w:lineRule="auto"/>
        <w:ind w:left="1224" w:hanging="475"/>
      </w:pPr>
      <w:r>
        <w:rPr>
          <w:rFonts w:ascii="Calibri" w:hAnsi="Calibri"/>
          <w:color w:val="0259A0"/>
          <w:sz w:val="21"/>
        </w:rPr>
        <w:t>(–)</w:t>
      </w:r>
      <w:r>
        <w:tab/>
      </w:r>
      <w:r>
        <w:rPr>
          <w:rFonts w:ascii="Calibri" w:hAnsi="Calibri"/>
          <w:color w:val="1A202C"/>
          <w:sz w:val="21"/>
        </w:rPr>
        <w:t>bank charges</w:t>
      </w:r>
    </w:p>
    <w:p>
      <w:pPr>
        <w:tabs>
          <w:tab w:pos="1224" w:val="left"/>
        </w:tabs>
        <w:spacing w:before="0" w:after="60" w:line="269" w:lineRule="auto"/>
        <w:ind w:left="1224" w:hanging="475"/>
      </w:pPr>
      <w:r>
        <w:rPr>
          <w:rFonts w:ascii="Calibri" w:hAnsi="Calibri"/>
          <w:color w:val="0259A0"/>
          <w:sz w:val="21"/>
        </w:rPr>
        <w:t>(–)</w:t>
      </w:r>
      <w:r>
        <w:tab/>
      </w:r>
      <w:r>
        <w:rPr>
          <w:rFonts w:ascii="Calibri" w:hAnsi="Calibri"/>
          <w:color w:val="1A202C"/>
          <w:sz w:val="21"/>
        </w:rPr>
        <w:t>payment processing fees</w:t>
      </w:r>
    </w:p>
    <w:p>
      <w:pPr>
        <w:tabs>
          <w:tab w:pos="1224" w:val="left"/>
        </w:tabs>
        <w:spacing w:before="0" w:after="60" w:line="269" w:lineRule="auto"/>
        <w:ind w:left="1224" w:hanging="475"/>
      </w:pPr>
      <w:r>
        <w:rPr>
          <w:rFonts w:ascii="Calibri" w:hAnsi="Calibri"/>
          <w:color w:val="0259A0"/>
          <w:sz w:val="21"/>
        </w:rPr>
        <w:t>(–)</w:t>
      </w:r>
      <w:r>
        <w:tab/>
      </w:r>
      <w:r>
        <w:rPr>
          <w:rFonts w:ascii="Calibri" w:hAnsi="Calibri"/>
          <w:color w:val="1A202C"/>
          <w:sz w:val="21"/>
        </w:rPr>
        <w:t>tax adjustments and statutory deductions</w:t>
      </w:r>
    </w:p>
    <w:p>
      <w:pPr>
        <w:tabs>
          <w:tab w:pos="1224" w:val="left"/>
        </w:tabs>
        <w:spacing w:before="0" w:after="60" w:line="269" w:lineRule="auto"/>
        <w:ind w:left="1224" w:hanging="475"/>
      </w:pPr>
      <w:r>
        <w:rPr>
          <w:rFonts w:ascii="Calibri" w:hAnsi="Calibri"/>
          <w:color w:val="0259A0"/>
          <w:sz w:val="21"/>
        </w:rPr>
        <w:t>(–)</w:t>
      </w:r>
      <w:r>
        <w:tab/>
      </w:r>
      <w:r>
        <w:rPr>
          <w:rFonts w:ascii="Calibri" w:hAnsi="Calibri"/>
          <w:color w:val="1A202C"/>
          <w:sz w:val="21"/>
        </w:rPr>
        <w:t>reversals and corrections</w:t>
      </w:r>
    </w:p>
    <w:p>
      <w:pPr>
        <w:tabs>
          <w:tab w:pos="605" w:val="left"/>
        </w:tabs>
        <w:spacing w:before="40" w:after="120" w:line="276" w:lineRule="auto"/>
        <w:ind w:left="605" w:hanging="605"/>
      </w:pPr>
      <w:r>
        <w:rPr>
          <w:rFonts w:ascii="Calibri" w:hAnsi="Calibri"/>
          <w:b/>
          <w:color w:val="0259A0"/>
          <w:sz w:val="21"/>
        </w:rPr>
        <w:t>9.2</w:t>
      </w:r>
      <w:r>
        <w:tab/>
      </w:r>
      <w:r>
        <w:rPr>
          <w:rFonts w:ascii="Calibri" w:hAnsi="Calibri"/>
          <w:color w:val="1A202C"/>
          <w:sz w:val="21"/>
        </w:rPr>
        <w:t>Only amounts actually received and retained by Poveon are commissionable. Gross, invoiced, accrued, estimated or anticipated amounts that have not been received by Poveon do not form part of Net Commission Revenue.</w:t>
      </w:r>
    </w:p>
    <w:p>
      <w:pPr>
        <w:tabs>
          <w:tab w:pos="605" w:val="left"/>
        </w:tabs>
        <w:spacing w:before="40" w:after="120" w:line="276" w:lineRule="auto"/>
        <w:ind w:left="605" w:hanging="605"/>
      </w:pPr>
      <w:r>
        <w:rPr>
          <w:rFonts w:ascii="Calibri" w:hAnsi="Calibri"/>
          <w:b/>
          <w:color w:val="0259A0"/>
          <w:sz w:val="21"/>
        </w:rPr>
        <w:t>9.3</w:t>
      </w:r>
      <w:r>
        <w:tab/>
      </w:r>
      <w:r>
        <w:rPr>
          <w:rFonts w:ascii="Calibri" w:hAnsi="Calibri"/>
          <w:color w:val="1A202C"/>
          <w:sz w:val="21"/>
        </w:rPr>
        <w:t>Where a deduction (such as a refund or chargeback) occurs after a Revenue Share has been calculated or paid, the corresponding amount shall be reconciled and adjusted against current or future Revenue Share payments, or recovered under Clause 18 (Clawback) where appropriate.</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10.</w:t>
      </w:r>
      <w:r>
        <w:tab/>
      </w:r>
      <w:r>
        <w:rPr>
          <w:rFonts w:ascii="Calibri" w:hAnsi="Calibri"/>
          <w:b/>
          <w:color w:val="064B84"/>
          <w:sz w:val="26"/>
        </w:rPr>
        <w:t>REVENUE SHARING AND COMPENSATION</w:t>
      </w:r>
    </w:p>
    <w:p>
      <w:pPr>
        <w:spacing w:before="200" w:after="80"/>
      </w:pPr>
      <w:r>
        <w:rPr>
          <w:rFonts w:ascii="Calibri" w:hAnsi="Calibri"/>
          <w:b/>
          <w:color w:val="0259A0"/>
          <w:sz w:val="21"/>
          <w:spacing w:val="20"/>
        </w:rPr>
        <w:t>WHOLLY PERFORMANCE-BASED — NO SALARY</w:t>
      </w:r>
    </w:p>
    <w:p>
      <w:pPr>
        <w:tabs>
          <w:tab w:pos="605" w:val="left"/>
        </w:tabs>
        <w:spacing w:before="40" w:after="120" w:line="276" w:lineRule="auto"/>
        <w:ind w:left="605" w:hanging="605"/>
      </w:pPr>
      <w:r>
        <w:rPr>
          <w:rFonts w:ascii="Calibri" w:hAnsi="Calibri"/>
          <w:b/>
          <w:color w:val="0259A0"/>
          <w:sz w:val="21"/>
        </w:rPr>
        <w:t>10.1</w:t>
      </w:r>
      <w:r>
        <w:tab/>
      </w:r>
      <w:r>
        <w:rPr>
          <w:rFonts w:ascii="Calibri" w:hAnsi="Calibri"/>
          <w:color w:val="1A202C"/>
          <w:sz w:val="21"/>
        </w:rPr>
        <w:t>The Executive expressly acknowledges and agrees that the Executive shall receive:</w:t>
      </w:r>
    </w:p>
    <w:p>
      <w:pPr>
        <w:tabs>
          <w:tab w:pos="1224" w:val="left"/>
        </w:tabs>
        <w:spacing w:before="0" w:after="60" w:line="269" w:lineRule="auto"/>
        <w:ind w:left="1224" w:hanging="475"/>
      </w:pPr>
      <w:r>
        <w:rPr>
          <w:rFonts w:ascii="Calibri" w:hAnsi="Calibri"/>
          <w:color w:val="0259A0"/>
          <w:sz w:val="21"/>
        </w:rPr>
        <w:t>(a)</w:t>
      </w:r>
      <w:r>
        <w:tab/>
      </w:r>
      <w:r>
        <w:rPr>
          <w:rFonts w:ascii="Calibri" w:hAnsi="Calibri"/>
          <w:color w:val="1A202C"/>
          <w:sz w:val="21"/>
        </w:rPr>
        <w:t>no salary;</w:t>
      </w:r>
    </w:p>
    <w:p>
      <w:pPr>
        <w:tabs>
          <w:tab w:pos="1224" w:val="left"/>
        </w:tabs>
        <w:spacing w:before="0" w:after="60" w:line="269" w:lineRule="auto"/>
        <w:ind w:left="1224" w:hanging="475"/>
      </w:pPr>
      <w:r>
        <w:rPr>
          <w:rFonts w:ascii="Calibri" w:hAnsi="Calibri"/>
          <w:color w:val="0259A0"/>
          <w:sz w:val="21"/>
        </w:rPr>
        <w:t>(b)</w:t>
      </w:r>
      <w:r>
        <w:tab/>
      </w:r>
      <w:r>
        <w:rPr>
          <w:rFonts w:ascii="Calibri" w:hAnsi="Calibri"/>
          <w:color w:val="1A202C"/>
          <w:sz w:val="21"/>
        </w:rPr>
        <w:t>no monthly retainer;</w:t>
      </w:r>
    </w:p>
    <w:p>
      <w:pPr>
        <w:tabs>
          <w:tab w:pos="1224" w:val="left"/>
        </w:tabs>
        <w:spacing w:before="0" w:after="60" w:line="269" w:lineRule="auto"/>
        <w:ind w:left="1224" w:hanging="475"/>
      </w:pPr>
      <w:r>
        <w:rPr>
          <w:rFonts w:ascii="Calibri" w:hAnsi="Calibri"/>
          <w:color w:val="0259A0"/>
          <w:sz w:val="21"/>
        </w:rPr>
        <w:t>(c)</w:t>
      </w:r>
      <w:r>
        <w:tab/>
      </w:r>
      <w:r>
        <w:rPr>
          <w:rFonts w:ascii="Calibri" w:hAnsi="Calibri"/>
          <w:color w:val="1A202C"/>
          <w:sz w:val="21"/>
        </w:rPr>
        <w:t>no allowances; and</w:t>
      </w:r>
    </w:p>
    <w:p>
      <w:pPr>
        <w:tabs>
          <w:tab w:pos="1224" w:val="left"/>
        </w:tabs>
        <w:spacing w:before="0" w:after="60" w:line="269" w:lineRule="auto"/>
        <w:ind w:left="1224" w:hanging="475"/>
      </w:pPr>
      <w:r>
        <w:rPr>
          <w:rFonts w:ascii="Calibri" w:hAnsi="Calibri"/>
          <w:color w:val="0259A0"/>
          <w:sz w:val="21"/>
        </w:rPr>
        <w:t>(d)</w:t>
      </w:r>
      <w:r>
        <w:tab/>
      </w:r>
      <w:r>
        <w:rPr>
          <w:rFonts w:ascii="Calibri" w:hAnsi="Calibri"/>
          <w:color w:val="1A202C"/>
          <w:sz w:val="21"/>
        </w:rPr>
        <w:t>no employment benefits of any kind.</w:t>
      </w:r>
    </w:p>
    <w:p>
      <w:pPr>
        <w:tabs>
          <w:tab w:pos="605" w:val="left"/>
        </w:tabs>
        <w:spacing w:before="40" w:after="120" w:line="276" w:lineRule="auto"/>
        <w:ind w:left="605" w:hanging="605"/>
      </w:pPr>
      <w:r>
        <w:rPr>
          <w:rFonts w:ascii="Calibri" w:hAnsi="Calibri"/>
          <w:b/>
          <w:color w:val="0259A0"/>
          <w:sz w:val="21"/>
        </w:rPr>
        <w:t>10.2</w:t>
      </w:r>
      <w:r>
        <w:tab/>
      </w:r>
      <w:r>
        <w:rPr>
          <w:rFonts w:ascii="Calibri" w:hAnsi="Calibri"/>
          <w:color w:val="1A202C"/>
          <w:sz w:val="21"/>
        </w:rPr>
        <w:t>The Executive’s sole compensation under this Agreement is the Revenue Share described in this Clause, and the Executive accepts that compensation is entirely performance-based.</w:t>
      </w:r>
    </w:p>
    <w:p>
      <w:pPr>
        <w:spacing w:before="200" w:after="80"/>
      </w:pPr>
      <w:r>
        <w:rPr>
          <w:rFonts w:ascii="Calibri" w:hAnsi="Calibri"/>
          <w:b/>
          <w:color w:val="0259A0"/>
          <w:sz w:val="21"/>
          <w:spacing w:val="20"/>
        </w:rPr>
        <w:t>NATURE OF THE ARRANGEMENT</w:t>
      </w:r>
    </w:p>
    <w:p>
      <w:pPr>
        <w:tabs>
          <w:tab w:pos="605" w:val="left"/>
        </w:tabs>
        <w:spacing w:before="40" w:after="120" w:line="276" w:lineRule="auto"/>
        <w:ind w:left="605" w:hanging="605"/>
      </w:pPr>
      <w:r>
        <w:rPr>
          <w:rFonts w:ascii="Calibri" w:hAnsi="Calibri"/>
          <w:b/>
          <w:color w:val="0259A0"/>
          <w:sz w:val="21"/>
        </w:rPr>
        <w:t>10.3</w:t>
      </w:r>
      <w:r>
        <w:tab/>
      </w:r>
      <w:r>
        <w:rPr>
          <w:rFonts w:ascii="Calibri" w:hAnsi="Calibri"/>
          <w:color w:val="1A202C"/>
          <w:sz w:val="21"/>
        </w:rPr>
        <w:t>For the avoidance of doubt, this Agreement is NOT an equity agreement, is NOT a profit-sharing agreement, and is NOT a form of stock or share-based compensation. It confers no ownership interest in Poveon of any kind.</w:t>
      </w:r>
    </w:p>
    <w:p>
      <w:pPr>
        <w:spacing w:before="200" w:after="80"/>
      </w:pPr>
      <w:r>
        <w:rPr>
          <w:rFonts w:ascii="Calibri" w:hAnsi="Calibri"/>
          <w:b/>
          <w:color w:val="0259A0"/>
          <w:sz w:val="21"/>
          <w:spacing w:val="20"/>
        </w:rPr>
        <w:t>THE REVENUE SHARE</w:t>
      </w:r>
    </w:p>
    <w:p>
      <w:pPr>
        <w:spacing w:after="120"/>
        <w:ind w:left="605"/>
      </w:pPr>
      <w:r>
        <w:rPr>
          <w:rFonts w:ascii="Calibri" w:hAnsi="Calibri"/>
          <w:sz w:val="21"/>
        </w:rPr>
        <w:t xml:space="preserve">The Executive shall earn </w:t>
      </w:r>
      <w:r>
        <w:rPr>
          <w:rFonts w:ascii="Calibri" w:hAnsi="Calibri"/>
          <w:b/>
          <w:color w:val="047857"/>
          <w:sz w:val="21"/>
        </w:rPr>
        <w:t>thirty per cent (30%)</w:t>
      </w:r>
      <w:r>
        <w:rPr>
          <w:rFonts w:ascii="Calibri" w:hAnsi="Calibri"/>
          <w:sz w:val="21"/>
        </w:rPr>
        <w:t xml:space="preserve"> of Poveon’s </w:t>
      </w:r>
      <w:r>
        <w:rPr>
          <w:rFonts w:ascii="Calibri" w:hAnsi="Calibri"/>
          <w:b/>
          <w:color w:val="0259A0"/>
          <w:sz w:val="21"/>
        </w:rPr>
        <w:t>Net Commission Revenue</w:t>
      </w:r>
      <w:r>
        <w:rPr>
          <w:rFonts w:ascii="Calibri" w:hAnsi="Calibri"/>
          <w:sz w:val="21"/>
        </w:rPr>
        <w:t xml:space="preserve"> generated ONLY from Introduced Laboratories — that is, laboratories personally introduced by the Executive and qualifying under Clause 7 — and arising solely from Confirmed Transactions under Clause 8.</w:t>
      </w:r>
    </w:p>
    <w:tbl>
      <w:tblPr>
        <w:tblW w:type="auto" w:w="0"/>
        <w:jc w:val="center"/>
        <w:tblLook w:firstColumn="1" w:firstRow="1" w:lastColumn="0" w:lastRow="0" w:noHBand="0" w:noVBand="1" w:val="04A0"/>
      </w:tblPr>
      <w:tblGrid>
        <w:gridCol w:w="9360"/>
      </w:tblGrid>
      <w:tr>
        <w:tc>
          <w:tcPr>
            <w:tcW w:type="dxa" w:w="9360"/>
            <w:tcBorders>
              <w:left w:val="single" w:sz="24" w:space="0" w:color="0259A0"/>
            </w:tcBorders>
            <w:shd w:val="clear" w:color="auto" w:fill="EAF3FB"/>
            <w:tcMar>
              <w:top w:w="120" w:type="dxa"/>
              <w:bottom w:w="120" w:type="dxa"/>
              <w:start w:w="200" w:type="dxa"/>
              <w:end w:w="200" w:type="dxa"/>
              <w:left w:w="200" w:type="dxa"/>
              <w:right w:w="200" w:type="dxa"/>
            </w:tcMar>
          </w:tcPr>
          <w:p>
            <w:pPr>
              <w:spacing w:after="40"/>
            </w:pPr>
            <w:r/>
            <w:r>
              <w:rPr>
                <w:rFonts w:ascii="Calibri" w:hAnsi="Calibri"/>
                <w:b/>
                <w:color w:val="064B84"/>
                <w:sz w:val="19"/>
              </w:rPr>
              <w:t>COMMISSION FORMULA</w:t>
            </w:r>
          </w:p>
          <w:p>
            <w:pPr>
              <w:spacing w:after="0"/>
            </w:pPr>
            <w:r>
              <w:rPr>
                <w:rFonts w:ascii="Calibri" w:hAnsi="Calibri"/>
                <w:color w:val="1A202C"/>
                <w:sz w:val="20"/>
              </w:rPr>
              <w:t>Executive Revenue Share = 30% × Net Commission Revenue (Confirmed Transactions, Introduced Laboratories only).   Where Net Commission Revenue = (2% × confirmed laboratory billings received) – permitted deductions. See Appendix A and Appendix E.</w:t>
            </w:r>
          </w:p>
        </w:tc>
      </w:tr>
    </w:tbl>
    <w:p>
      <w:pPr>
        <w:spacing w:after="40"/>
      </w:pPr>
    </w:p>
    <w:p>
      <w:pPr>
        <w:tabs>
          <w:tab w:pos="605" w:val="left"/>
        </w:tabs>
        <w:spacing w:before="40" w:after="120" w:line="276" w:lineRule="auto"/>
        <w:ind w:left="605" w:hanging="605"/>
      </w:pPr>
      <w:r>
        <w:rPr>
          <w:rFonts w:ascii="Calibri" w:hAnsi="Calibri"/>
          <w:b/>
          <w:color w:val="0259A0"/>
          <w:sz w:val="21"/>
        </w:rPr>
        <w:t>10.4</w:t>
      </w:r>
      <w:r>
        <w:tab/>
      </w:r>
      <w:r>
        <w:rPr>
          <w:rFonts w:ascii="Calibri" w:hAnsi="Calibri"/>
          <w:color w:val="1A202C"/>
          <w:sz w:val="21"/>
        </w:rPr>
        <w:t>Revenue Share is earned only in respect of Net Commission Revenue from Introduced Laboratories. Commission from laboratories not attributed to the Executive generates no Revenue Share entitlement.</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11.</w:t>
      </w:r>
      <w:r>
        <w:tab/>
      </w:r>
      <w:r>
        <w:rPr>
          <w:rFonts w:ascii="Calibri" w:hAnsi="Calibri"/>
          <w:b/>
          <w:color w:val="064B84"/>
          <w:sz w:val="26"/>
        </w:rPr>
        <w:t>PAYMENT TERMS</w:t>
      </w:r>
    </w:p>
    <w:p>
      <w:pPr>
        <w:tabs>
          <w:tab w:pos="605" w:val="left"/>
        </w:tabs>
        <w:spacing w:before="40" w:after="120" w:line="276" w:lineRule="auto"/>
        <w:ind w:left="605" w:hanging="605"/>
      </w:pPr>
      <w:r>
        <w:rPr>
          <w:rFonts w:ascii="Calibri" w:hAnsi="Calibri"/>
          <w:b/>
          <w:color w:val="0259A0"/>
          <w:sz w:val="21"/>
        </w:rPr>
        <w:t>11.1</w:t>
      </w:r>
      <w:r>
        <w:tab/>
      </w:r>
      <w:r>
        <w:rPr>
          <w:rFonts w:ascii="Calibri" w:hAnsi="Calibri"/>
          <w:color w:val="1A202C"/>
          <w:sz w:val="21"/>
        </w:rPr>
        <w:t>The Revenue Share shall be calculated and paid monthly in arrears.</w:t>
      </w:r>
    </w:p>
    <w:p>
      <w:pPr>
        <w:tabs>
          <w:tab w:pos="605" w:val="left"/>
        </w:tabs>
        <w:spacing w:before="40" w:after="120" w:line="276" w:lineRule="auto"/>
        <w:ind w:left="605" w:hanging="605"/>
      </w:pPr>
      <w:r>
        <w:rPr>
          <w:rFonts w:ascii="Calibri" w:hAnsi="Calibri"/>
          <w:b/>
          <w:color w:val="0259A0"/>
          <w:sz w:val="21"/>
        </w:rPr>
        <w:t>11.2</w:t>
      </w:r>
      <w:r>
        <w:tab/>
      </w:r>
      <w:r>
        <w:rPr>
          <w:rFonts w:ascii="Calibri" w:hAnsi="Calibri"/>
          <w:color w:val="1A202C"/>
          <w:sz w:val="21"/>
        </w:rPr>
        <w:t>Payment in respect of a given calendar month shall be made within fourteen (14) days after the end of that month, to a bank account nominated by the Executive in writing.</w:t>
      </w:r>
    </w:p>
    <w:p>
      <w:pPr>
        <w:tabs>
          <w:tab w:pos="605" w:val="left"/>
        </w:tabs>
        <w:spacing w:before="40" w:after="120" w:line="276" w:lineRule="auto"/>
        <w:ind w:left="605" w:hanging="605"/>
      </w:pPr>
      <w:r>
        <w:rPr>
          <w:rFonts w:ascii="Calibri" w:hAnsi="Calibri"/>
          <w:b/>
          <w:color w:val="0259A0"/>
          <w:sz w:val="21"/>
        </w:rPr>
        <w:t>11.3</w:t>
      </w:r>
      <w:r>
        <w:tab/>
      </w:r>
      <w:r>
        <w:rPr>
          <w:rFonts w:ascii="Calibri" w:hAnsi="Calibri"/>
          <w:color w:val="1A202C"/>
          <w:sz w:val="21"/>
        </w:rPr>
        <w:t>Each payment shall be accompanied by a statement summarising the Net Commission Revenue and the Revenue Share for the relevant month, derived from Poveon’s official accounting system.</w:t>
      </w:r>
    </w:p>
    <w:p>
      <w:pPr>
        <w:tabs>
          <w:tab w:pos="605" w:val="left"/>
        </w:tabs>
        <w:spacing w:before="40" w:after="120" w:line="276" w:lineRule="auto"/>
        <w:ind w:left="605" w:hanging="605"/>
      </w:pPr>
      <w:r>
        <w:rPr>
          <w:rFonts w:ascii="Calibri" w:hAnsi="Calibri"/>
          <w:b/>
          <w:color w:val="0259A0"/>
          <w:sz w:val="21"/>
        </w:rPr>
        <w:t>11.4</w:t>
      </w:r>
      <w:r>
        <w:tab/>
      </w:r>
      <w:r>
        <w:rPr>
          <w:rFonts w:ascii="Calibri" w:hAnsi="Calibri"/>
          <w:color w:val="1A202C"/>
          <w:sz w:val="21"/>
        </w:rPr>
        <w:t>All amounts are stated exclusive of any applicable taxes. The Executive is solely responsible for the Executive’s own taxes, and the Company may withhold or deduct any amounts required by law.</w:t>
      </w:r>
    </w:p>
    <w:p>
      <w:pPr>
        <w:tabs>
          <w:tab w:pos="605" w:val="left"/>
        </w:tabs>
        <w:spacing w:before="40" w:after="120" w:line="276" w:lineRule="auto"/>
        <w:ind w:left="605" w:hanging="605"/>
      </w:pPr>
      <w:r>
        <w:rPr>
          <w:rFonts w:ascii="Calibri" w:hAnsi="Calibri"/>
          <w:b/>
          <w:color w:val="0259A0"/>
          <w:sz w:val="21"/>
        </w:rPr>
        <w:t>11.5</w:t>
      </w:r>
      <w:r>
        <w:tab/>
      </w:r>
      <w:r>
        <w:rPr>
          <w:rFonts w:ascii="Calibri" w:hAnsi="Calibri"/>
          <w:color w:val="1A202C"/>
          <w:sz w:val="21"/>
        </w:rPr>
        <w:t>Poveon’s accounting records shall be final and conclusive in respect of the calculation of Net Commission Revenue and the Revenue Share, save in the case of manifest error.</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12.</w:t>
      </w:r>
      <w:r>
        <w:tab/>
      </w:r>
      <w:r>
        <w:rPr>
          <w:rFonts w:ascii="Calibri" w:hAnsi="Calibri"/>
          <w:b/>
          <w:color w:val="064B84"/>
          <w:sz w:val="26"/>
        </w:rPr>
        <w:t>WORKED EXAMPLES OF REVENUE SHARE</w:t>
      </w:r>
    </w:p>
    <w:p>
      <w:pPr>
        <w:tabs>
          <w:tab w:pos="605" w:val="left"/>
        </w:tabs>
        <w:spacing w:before="40" w:after="120" w:line="276" w:lineRule="auto"/>
        <w:ind w:left="605" w:hanging="605"/>
      </w:pPr>
      <w:r>
        <w:rPr>
          <w:rFonts w:ascii="Calibri" w:hAnsi="Calibri"/>
          <w:b/>
          <w:color w:val="0259A0"/>
          <w:sz w:val="21"/>
        </w:rPr>
        <w:t>12.1</w:t>
      </w:r>
      <w:r>
        <w:tab/>
      </w:r>
      <w:r>
        <w:rPr>
          <w:rFonts w:ascii="Calibri" w:hAnsi="Calibri"/>
          <w:color w:val="1A202C"/>
          <w:sz w:val="21"/>
        </w:rPr>
        <w:t>The following worked examples are illustrative only and do not vary the substantive terms of this Agreement. Figures are expressed in Naira (₦).</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736"/>
            <w:shd w:val="clear" w:color="auto" w:fill="0259A0"/>
            <w:tcMar>
              <w:top w:w="60" w:type="dxa"/>
              <w:bottom w:w="60" w:type="dxa"/>
              <w:start w:w="100" w:type="dxa"/>
              <w:end w:w="100" w:type="dxa"/>
              <w:left w:w="100" w:type="dxa"/>
              <w:right w:w="100" w:type="dxa"/>
            </w:tcMar>
          </w:tcPr>
          <w:p>
            <w:r/>
            <w:r>
              <w:rPr>
                <w:rFonts w:ascii="Calibri" w:hAnsi="Calibri"/>
                <w:b/>
                <w:color w:val="FFFFFF"/>
                <w:sz w:val="17"/>
              </w:rPr>
              <w:t>Scenario</w:t>
            </w:r>
          </w:p>
        </w:tc>
        <w:tc>
          <w:tcPr>
            <w:tcW w:type="dxa" w:w="1440"/>
            <w:shd w:val="clear" w:color="auto" w:fill="0259A0"/>
            <w:tcMar>
              <w:top w:w="60" w:type="dxa"/>
              <w:bottom w:w="60" w:type="dxa"/>
              <w:start w:w="100" w:type="dxa"/>
              <w:end w:w="100" w:type="dxa"/>
              <w:left w:w="100" w:type="dxa"/>
              <w:right w:w="100" w:type="dxa"/>
            </w:tcMar>
          </w:tcPr>
          <w:p>
            <w:r/>
            <w:r>
              <w:rPr>
                <w:rFonts w:ascii="Calibri" w:hAnsi="Calibri"/>
                <w:b/>
                <w:color w:val="FFFFFF"/>
                <w:sz w:val="17"/>
              </w:rPr>
              <w:t>Lab billing (₦)</w:t>
            </w:r>
          </w:p>
        </w:tc>
        <w:tc>
          <w:tcPr>
            <w:tcW w:type="dxa" w:w="1296"/>
            <w:shd w:val="clear" w:color="auto" w:fill="0259A0"/>
            <w:tcMar>
              <w:top w:w="60" w:type="dxa"/>
              <w:bottom w:w="60" w:type="dxa"/>
              <w:start w:w="100" w:type="dxa"/>
              <w:end w:w="100" w:type="dxa"/>
              <w:left w:w="100" w:type="dxa"/>
              <w:right w:w="100" w:type="dxa"/>
            </w:tcMar>
          </w:tcPr>
          <w:p>
            <w:r/>
            <w:r>
              <w:rPr>
                <w:rFonts w:ascii="Calibri" w:hAnsi="Calibri"/>
                <w:b/>
                <w:color w:val="FFFFFF"/>
                <w:sz w:val="17"/>
              </w:rPr>
              <w:t>2% Commission (₦)</w:t>
            </w:r>
          </w:p>
        </w:tc>
        <w:tc>
          <w:tcPr>
            <w:tcW w:type="dxa" w:w="1224"/>
            <w:shd w:val="clear" w:color="auto" w:fill="0259A0"/>
            <w:tcMar>
              <w:top w:w="60" w:type="dxa"/>
              <w:bottom w:w="60" w:type="dxa"/>
              <w:start w:w="100" w:type="dxa"/>
              <w:end w:w="100" w:type="dxa"/>
              <w:left w:w="100" w:type="dxa"/>
              <w:right w:w="100" w:type="dxa"/>
            </w:tcMar>
          </w:tcPr>
          <w:p>
            <w:r/>
            <w:r>
              <w:rPr>
                <w:rFonts w:ascii="Calibri" w:hAnsi="Calibri"/>
                <w:b/>
                <w:color w:val="FFFFFF"/>
                <w:sz w:val="17"/>
              </w:rPr>
              <w:t>Deductions (₦)</w:t>
            </w:r>
          </w:p>
        </w:tc>
        <w:tc>
          <w:tcPr>
            <w:tcW w:type="dxa" w:w="1440"/>
            <w:shd w:val="clear" w:color="auto" w:fill="0259A0"/>
            <w:tcMar>
              <w:top w:w="60" w:type="dxa"/>
              <w:bottom w:w="60" w:type="dxa"/>
              <w:start w:w="100" w:type="dxa"/>
              <w:end w:w="100" w:type="dxa"/>
              <w:left w:w="100" w:type="dxa"/>
              <w:right w:w="100" w:type="dxa"/>
            </w:tcMar>
          </w:tcPr>
          <w:p>
            <w:r/>
            <w:r>
              <w:rPr>
                <w:rFonts w:ascii="Calibri" w:hAnsi="Calibri"/>
                <w:b/>
                <w:color w:val="FFFFFF"/>
                <w:sz w:val="17"/>
              </w:rPr>
              <w:t>Net Comm. (₦)</w:t>
            </w:r>
          </w:p>
        </w:tc>
        <w:tc>
          <w:tcPr>
            <w:tcW w:type="dxa" w:w="1296"/>
            <w:shd w:val="clear" w:color="auto" w:fill="0259A0"/>
            <w:tcMar>
              <w:top w:w="60" w:type="dxa"/>
              <w:bottom w:w="60" w:type="dxa"/>
              <w:start w:w="100" w:type="dxa"/>
              <w:end w:w="100" w:type="dxa"/>
              <w:left w:w="100" w:type="dxa"/>
              <w:right w:w="100" w:type="dxa"/>
            </w:tcMar>
          </w:tcPr>
          <w:p>
            <w:r/>
            <w:r>
              <w:rPr>
                <w:rFonts w:ascii="Calibri" w:hAnsi="Calibri"/>
                <w:b/>
                <w:color w:val="FFFFFF"/>
                <w:sz w:val="17"/>
              </w:rPr>
              <w:t>Share 30% (₦)</w:t>
            </w:r>
          </w:p>
        </w:tc>
      </w:tr>
      <w:tr>
        <w:tc>
          <w:tcPr>
            <w:tcW w:type="dxa" w:w="2736"/>
            <w:tcMar>
              <w:top w:w="60" w:type="dxa"/>
              <w:bottom w:w="60" w:type="dxa"/>
              <w:start w:w="100" w:type="dxa"/>
              <w:end w:w="100" w:type="dxa"/>
              <w:left w:w="100" w:type="dxa"/>
              <w:right w:w="100" w:type="dxa"/>
            </w:tcMar>
          </w:tcPr>
          <w:p>
            <w:r/>
            <w:r>
              <w:rPr>
                <w:rFonts w:ascii="Calibri" w:hAnsi="Calibri"/>
                <w:b/>
                <w:color w:val="064B84"/>
                <w:sz w:val="18"/>
              </w:rPr>
              <w:t>Example 1 — Single transaction</w:t>
            </w:r>
          </w:p>
        </w:tc>
        <w:tc>
          <w:tcPr>
            <w:tcW w:type="dxa" w:w="1440"/>
            <w:tcMar>
              <w:top w:w="60" w:type="dxa"/>
              <w:bottom w:w="60" w:type="dxa"/>
              <w:start w:w="100" w:type="dxa"/>
              <w:end w:w="100" w:type="dxa"/>
              <w:left w:w="100" w:type="dxa"/>
              <w:right w:w="100" w:type="dxa"/>
            </w:tcMar>
          </w:tcPr>
          <w:p>
            <w:pPr>
              <w:jc w:val="right"/>
            </w:pPr>
            <w:r/>
            <w:r>
              <w:rPr>
                <w:rFonts w:ascii="Calibri" w:hAnsi="Calibri"/>
                <w:sz w:val="18"/>
              </w:rPr>
              <w:t>1,000,000</w:t>
            </w:r>
          </w:p>
        </w:tc>
        <w:tc>
          <w:tcPr>
            <w:tcW w:type="dxa" w:w="1296"/>
            <w:tcMar>
              <w:top w:w="60" w:type="dxa"/>
              <w:bottom w:w="60" w:type="dxa"/>
              <w:start w:w="100" w:type="dxa"/>
              <w:end w:w="100" w:type="dxa"/>
              <w:left w:w="100" w:type="dxa"/>
              <w:right w:w="100" w:type="dxa"/>
            </w:tcMar>
          </w:tcPr>
          <w:p>
            <w:pPr>
              <w:jc w:val="right"/>
            </w:pPr>
            <w:r/>
            <w:r>
              <w:rPr>
                <w:rFonts w:ascii="Calibri" w:hAnsi="Calibri"/>
                <w:sz w:val="18"/>
              </w:rPr>
              <w:t>20,000</w:t>
            </w:r>
          </w:p>
        </w:tc>
        <w:tc>
          <w:tcPr>
            <w:tcW w:type="dxa" w:w="1224"/>
            <w:tcMar>
              <w:top w:w="60" w:type="dxa"/>
              <w:bottom w:w="60" w:type="dxa"/>
              <w:start w:w="100" w:type="dxa"/>
              <w:end w:w="100" w:type="dxa"/>
              <w:left w:w="100" w:type="dxa"/>
              <w:right w:w="100" w:type="dxa"/>
            </w:tcMar>
          </w:tcPr>
          <w:p>
            <w:pPr>
              <w:jc w:val="right"/>
            </w:pPr>
            <w:r/>
            <w:r>
              <w:rPr>
                <w:rFonts w:ascii="Calibri" w:hAnsi="Calibri"/>
                <w:sz w:val="18"/>
              </w:rPr>
              <w:t>0</w:t>
            </w:r>
          </w:p>
        </w:tc>
        <w:tc>
          <w:tcPr>
            <w:tcW w:type="dxa" w:w="1440"/>
            <w:tcMar>
              <w:top w:w="60" w:type="dxa"/>
              <w:bottom w:w="60" w:type="dxa"/>
              <w:start w:w="100" w:type="dxa"/>
              <w:end w:w="100" w:type="dxa"/>
              <w:left w:w="100" w:type="dxa"/>
              <w:right w:w="100" w:type="dxa"/>
            </w:tcMar>
          </w:tcPr>
          <w:p>
            <w:pPr>
              <w:jc w:val="right"/>
            </w:pPr>
            <w:r/>
            <w:r>
              <w:rPr>
                <w:rFonts w:ascii="Calibri" w:hAnsi="Calibri"/>
                <w:sz w:val="18"/>
              </w:rPr>
              <w:t>20,000</w:t>
            </w:r>
          </w:p>
        </w:tc>
        <w:tc>
          <w:tcPr>
            <w:tcW w:type="dxa" w:w="1296"/>
            <w:tcMar>
              <w:top w:w="60" w:type="dxa"/>
              <w:bottom w:w="60" w:type="dxa"/>
              <w:start w:w="100" w:type="dxa"/>
              <w:end w:w="100" w:type="dxa"/>
              <w:left w:w="100" w:type="dxa"/>
              <w:right w:w="100" w:type="dxa"/>
            </w:tcMar>
          </w:tcPr>
          <w:p>
            <w:pPr>
              <w:jc w:val="right"/>
            </w:pPr>
            <w:r/>
            <w:r>
              <w:rPr>
                <w:rFonts w:ascii="Calibri" w:hAnsi="Calibri"/>
                <w:b/>
                <w:color w:val="047857"/>
                <w:sz w:val="18"/>
              </w:rPr>
              <w:t>6,000</w:t>
            </w:r>
          </w:p>
        </w:tc>
      </w:tr>
      <w:tr>
        <w:tc>
          <w:tcPr>
            <w:tcW w:type="dxa" w:w="2736"/>
            <w:shd w:val="clear" w:color="auto" w:fill="F2F4F7"/>
            <w:tcMar>
              <w:top w:w="60" w:type="dxa"/>
              <w:bottom w:w="60" w:type="dxa"/>
              <w:start w:w="100" w:type="dxa"/>
              <w:end w:w="100" w:type="dxa"/>
              <w:left w:w="100" w:type="dxa"/>
              <w:right w:w="100" w:type="dxa"/>
            </w:tcMar>
          </w:tcPr>
          <w:p>
            <w:r/>
            <w:r>
              <w:rPr>
                <w:rFonts w:ascii="Calibri" w:hAnsi="Calibri"/>
                <w:b/>
                <w:color w:val="064B84"/>
                <w:sz w:val="18"/>
              </w:rPr>
              <w:t>Example 2 — Higher-value test</w:t>
            </w:r>
          </w:p>
        </w:tc>
        <w:tc>
          <w:tcPr>
            <w:tcW w:type="dxa" w:w="1440"/>
            <w:shd w:val="clear" w:color="auto" w:fill="F2F4F7"/>
            <w:tcMar>
              <w:top w:w="60" w:type="dxa"/>
              <w:bottom w:w="60" w:type="dxa"/>
              <w:start w:w="100" w:type="dxa"/>
              <w:end w:w="100" w:type="dxa"/>
              <w:left w:w="100" w:type="dxa"/>
              <w:right w:w="100" w:type="dxa"/>
            </w:tcMar>
          </w:tcPr>
          <w:p>
            <w:pPr>
              <w:jc w:val="right"/>
            </w:pPr>
            <w:r/>
            <w:r>
              <w:rPr>
                <w:rFonts w:ascii="Calibri" w:hAnsi="Calibri"/>
                <w:sz w:val="18"/>
              </w:rPr>
              <w:t>2,500,000</w:t>
            </w:r>
          </w:p>
        </w:tc>
        <w:tc>
          <w:tcPr>
            <w:tcW w:type="dxa" w:w="1296"/>
            <w:shd w:val="clear" w:color="auto" w:fill="F2F4F7"/>
            <w:tcMar>
              <w:top w:w="60" w:type="dxa"/>
              <w:bottom w:w="60" w:type="dxa"/>
              <w:start w:w="100" w:type="dxa"/>
              <w:end w:w="100" w:type="dxa"/>
              <w:left w:w="100" w:type="dxa"/>
              <w:right w:w="100" w:type="dxa"/>
            </w:tcMar>
          </w:tcPr>
          <w:p>
            <w:pPr>
              <w:jc w:val="right"/>
            </w:pPr>
            <w:r/>
            <w:r>
              <w:rPr>
                <w:rFonts w:ascii="Calibri" w:hAnsi="Calibri"/>
                <w:sz w:val="18"/>
              </w:rPr>
              <w:t>50,000</w:t>
            </w:r>
          </w:p>
        </w:tc>
        <w:tc>
          <w:tcPr>
            <w:tcW w:type="dxa" w:w="1224"/>
            <w:shd w:val="clear" w:color="auto" w:fill="F2F4F7"/>
            <w:tcMar>
              <w:top w:w="60" w:type="dxa"/>
              <w:bottom w:w="60" w:type="dxa"/>
              <w:start w:w="100" w:type="dxa"/>
              <w:end w:w="100" w:type="dxa"/>
              <w:left w:w="100" w:type="dxa"/>
              <w:right w:w="100" w:type="dxa"/>
            </w:tcMar>
          </w:tcPr>
          <w:p>
            <w:pPr>
              <w:jc w:val="right"/>
            </w:pPr>
            <w:r/>
            <w:r>
              <w:rPr>
                <w:rFonts w:ascii="Calibri" w:hAnsi="Calibri"/>
                <w:sz w:val="18"/>
              </w:rPr>
              <w:t>0</w:t>
            </w:r>
          </w:p>
        </w:tc>
        <w:tc>
          <w:tcPr>
            <w:tcW w:type="dxa" w:w="1440"/>
            <w:shd w:val="clear" w:color="auto" w:fill="F2F4F7"/>
            <w:tcMar>
              <w:top w:w="60" w:type="dxa"/>
              <w:bottom w:w="60" w:type="dxa"/>
              <w:start w:w="100" w:type="dxa"/>
              <w:end w:w="100" w:type="dxa"/>
              <w:left w:w="100" w:type="dxa"/>
              <w:right w:w="100" w:type="dxa"/>
            </w:tcMar>
          </w:tcPr>
          <w:p>
            <w:pPr>
              <w:jc w:val="right"/>
            </w:pPr>
            <w:r/>
            <w:r>
              <w:rPr>
                <w:rFonts w:ascii="Calibri" w:hAnsi="Calibri"/>
                <w:sz w:val="18"/>
              </w:rPr>
              <w:t>50,000</w:t>
            </w:r>
          </w:p>
        </w:tc>
        <w:tc>
          <w:tcPr>
            <w:tcW w:type="dxa" w:w="1296"/>
            <w:shd w:val="clear" w:color="auto" w:fill="F2F4F7"/>
            <w:tcMar>
              <w:top w:w="60" w:type="dxa"/>
              <w:bottom w:w="60" w:type="dxa"/>
              <w:start w:w="100" w:type="dxa"/>
              <w:end w:w="100" w:type="dxa"/>
              <w:left w:w="100" w:type="dxa"/>
              <w:right w:w="100" w:type="dxa"/>
            </w:tcMar>
          </w:tcPr>
          <w:p>
            <w:pPr>
              <w:jc w:val="right"/>
            </w:pPr>
            <w:r/>
            <w:r>
              <w:rPr>
                <w:rFonts w:ascii="Calibri" w:hAnsi="Calibri"/>
                <w:b/>
                <w:color w:val="047857"/>
                <w:sz w:val="18"/>
              </w:rPr>
              <w:t>15,000</w:t>
            </w:r>
          </w:p>
        </w:tc>
      </w:tr>
      <w:tr>
        <w:tc>
          <w:tcPr>
            <w:tcW w:type="dxa" w:w="2736"/>
            <w:tcMar>
              <w:top w:w="60" w:type="dxa"/>
              <w:bottom w:w="60" w:type="dxa"/>
              <w:start w:w="100" w:type="dxa"/>
              <w:end w:w="100" w:type="dxa"/>
              <w:left w:w="100" w:type="dxa"/>
              <w:right w:w="100" w:type="dxa"/>
            </w:tcMar>
          </w:tcPr>
          <w:p>
            <w:r/>
            <w:r>
              <w:rPr>
                <w:rFonts w:ascii="Calibri" w:hAnsi="Calibri"/>
                <w:b/>
                <w:color w:val="064B84"/>
                <w:sz w:val="18"/>
              </w:rPr>
              <w:t>Example 3 — With deductions</w:t>
            </w:r>
          </w:p>
        </w:tc>
        <w:tc>
          <w:tcPr>
            <w:tcW w:type="dxa" w:w="1440"/>
            <w:tcMar>
              <w:top w:w="60" w:type="dxa"/>
              <w:bottom w:w="60" w:type="dxa"/>
              <w:start w:w="100" w:type="dxa"/>
              <w:end w:w="100" w:type="dxa"/>
              <w:left w:w="100" w:type="dxa"/>
              <w:right w:w="100" w:type="dxa"/>
            </w:tcMar>
          </w:tcPr>
          <w:p>
            <w:pPr>
              <w:jc w:val="right"/>
            </w:pPr>
            <w:r/>
            <w:r>
              <w:rPr>
                <w:rFonts w:ascii="Calibri" w:hAnsi="Calibri"/>
                <w:sz w:val="18"/>
              </w:rPr>
              <w:t>1,500,000</w:t>
            </w:r>
          </w:p>
        </w:tc>
        <w:tc>
          <w:tcPr>
            <w:tcW w:type="dxa" w:w="1296"/>
            <w:tcMar>
              <w:top w:w="60" w:type="dxa"/>
              <w:bottom w:w="60" w:type="dxa"/>
              <w:start w:w="100" w:type="dxa"/>
              <w:end w:w="100" w:type="dxa"/>
              <w:left w:w="100" w:type="dxa"/>
              <w:right w:w="100" w:type="dxa"/>
            </w:tcMar>
          </w:tcPr>
          <w:p>
            <w:pPr>
              <w:jc w:val="right"/>
            </w:pPr>
            <w:r/>
            <w:r>
              <w:rPr>
                <w:rFonts w:ascii="Calibri" w:hAnsi="Calibri"/>
                <w:sz w:val="18"/>
              </w:rPr>
              <w:t>30,000</w:t>
            </w:r>
          </w:p>
        </w:tc>
        <w:tc>
          <w:tcPr>
            <w:tcW w:type="dxa" w:w="1224"/>
            <w:tcMar>
              <w:top w:w="60" w:type="dxa"/>
              <w:bottom w:w="60" w:type="dxa"/>
              <w:start w:w="100" w:type="dxa"/>
              <w:end w:w="100" w:type="dxa"/>
              <w:left w:w="100" w:type="dxa"/>
              <w:right w:w="100" w:type="dxa"/>
            </w:tcMar>
          </w:tcPr>
          <w:p>
            <w:pPr>
              <w:jc w:val="right"/>
            </w:pPr>
            <w:r/>
            <w:r>
              <w:rPr>
                <w:rFonts w:ascii="Calibri" w:hAnsi="Calibri"/>
                <w:sz w:val="18"/>
              </w:rPr>
              <w:t>5,000</w:t>
            </w:r>
          </w:p>
        </w:tc>
        <w:tc>
          <w:tcPr>
            <w:tcW w:type="dxa" w:w="1440"/>
            <w:tcMar>
              <w:top w:w="60" w:type="dxa"/>
              <w:bottom w:w="60" w:type="dxa"/>
              <w:start w:w="100" w:type="dxa"/>
              <w:end w:w="100" w:type="dxa"/>
              <w:left w:w="100" w:type="dxa"/>
              <w:right w:w="100" w:type="dxa"/>
            </w:tcMar>
          </w:tcPr>
          <w:p>
            <w:pPr>
              <w:jc w:val="right"/>
            </w:pPr>
            <w:r/>
            <w:r>
              <w:rPr>
                <w:rFonts w:ascii="Calibri" w:hAnsi="Calibri"/>
                <w:sz w:val="18"/>
              </w:rPr>
              <w:t>25,000</w:t>
            </w:r>
          </w:p>
        </w:tc>
        <w:tc>
          <w:tcPr>
            <w:tcW w:type="dxa" w:w="1296"/>
            <w:tcMar>
              <w:top w:w="60" w:type="dxa"/>
              <w:bottom w:w="60" w:type="dxa"/>
              <w:start w:w="100" w:type="dxa"/>
              <w:end w:w="100" w:type="dxa"/>
              <w:left w:w="100" w:type="dxa"/>
              <w:right w:w="100" w:type="dxa"/>
            </w:tcMar>
          </w:tcPr>
          <w:p>
            <w:pPr>
              <w:jc w:val="right"/>
            </w:pPr>
            <w:r/>
            <w:r>
              <w:rPr>
                <w:rFonts w:ascii="Calibri" w:hAnsi="Calibri"/>
                <w:b/>
                <w:color w:val="047857"/>
                <w:sz w:val="18"/>
              </w:rPr>
              <w:t>7,500</w:t>
            </w:r>
          </w:p>
        </w:tc>
      </w:tr>
      <w:tr>
        <w:tc>
          <w:tcPr>
            <w:tcW w:type="dxa" w:w="2736"/>
            <w:shd w:val="clear" w:color="auto" w:fill="F2F4F7"/>
            <w:tcMar>
              <w:top w:w="60" w:type="dxa"/>
              <w:bottom w:w="60" w:type="dxa"/>
              <w:start w:w="100" w:type="dxa"/>
              <w:end w:w="100" w:type="dxa"/>
              <w:left w:w="100" w:type="dxa"/>
              <w:right w:w="100" w:type="dxa"/>
            </w:tcMar>
          </w:tcPr>
          <w:p>
            <w:r/>
            <w:r>
              <w:rPr>
                <w:rFonts w:ascii="Calibri" w:hAnsi="Calibri"/>
                <w:b/>
                <w:color w:val="064B84"/>
                <w:sz w:val="18"/>
              </w:rPr>
              <w:t>Example 4 — Monthly aggregate</w:t>
            </w:r>
          </w:p>
        </w:tc>
        <w:tc>
          <w:tcPr>
            <w:tcW w:type="dxa" w:w="1440"/>
            <w:shd w:val="clear" w:color="auto" w:fill="F2F4F7"/>
            <w:tcMar>
              <w:top w:w="60" w:type="dxa"/>
              <w:bottom w:w="60" w:type="dxa"/>
              <w:start w:w="100" w:type="dxa"/>
              <w:end w:w="100" w:type="dxa"/>
              <w:left w:w="100" w:type="dxa"/>
              <w:right w:w="100" w:type="dxa"/>
            </w:tcMar>
          </w:tcPr>
          <w:p>
            <w:pPr>
              <w:jc w:val="right"/>
            </w:pPr>
            <w:r/>
            <w:r>
              <w:rPr>
                <w:rFonts w:ascii="Calibri" w:hAnsi="Calibri"/>
                <w:sz w:val="18"/>
              </w:rPr>
              <w:t>10,000,000</w:t>
            </w:r>
          </w:p>
        </w:tc>
        <w:tc>
          <w:tcPr>
            <w:tcW w:type="dxa" w:w="1296"/>
            <w:shd w:val="clear" w:color="auto" w:fill="F2F4F7"/>
            <w:tcMar>
              <w:top w:w="60" w:type="dxa"/>
              <w:bottom w:w="60" w:type="dxa"/>
              <w:start w:w="100" w:type="dxa"/>
              <w:end w:w="100" w:type="dxa"/>
              <w:left w:w="100" w:type="dxa"/>
              <w:right w:w="100" w:type="dxa"/>
            </w:tcMar>
          </w:tcPr>
          <w:p>
            <w:pPr>
              <w:jc w:val="right"/>
            </w:pPr>
            <w:r/>
            <w:r>
              <w:rPr>
                <w:rFonts w:ascii="Calibri" w:hAnsi="Calibri"/>
                <w:sz w:val="18"/>
              </w:rPr>
              <w:t>200,000</w:t>
            </w:r>
          </w:p>
        </w:tc>
        <w:tc>
          <w:tcPr>
            <w:tcW w:type="dxa" w:w="1224"/>
            <w:shd w:val="clear" w:color="auto" w:fill="F2F4F7"/>
            <w:tcMar>
              <w:top w:w="60" w:type="dxa"/>
              <w:bottom w:w="60" w:type="dxa"/>
              <w:start w:w="100" w:type="dxa"/>
              <w:end w:w="100" w:type="dxa"/>
              <w:left w:w="100" w:type="dxa"/>
              <w:right w:w="100" w:type="dxa"/>
            </w:tcMar>
          </w:tcPr>
          <w:p>
            <w:pPr>
              <w:jc w:val="right"/>
            </w:pPr>
            <w:r/>
            <w:r>
              <w:rPr>
                <w:rFonts w:ascii="Calibri" w:hAnsi="Calibri"/>
                <w:sz w:val="18"/>
              </w:rPr>
              <w:t>20,000</w:t>
            </w:r>
          </w:p>
        </w:tc>
        <w:tc>
          <w:tcPr>
            <w:tcW w:type="dxa" w:w="1440"/>
            <w:shd w:val="clear" w:color="auto" w:fill="F2F4F7"/>
            <w:tcMar>
              <w:top w:w="60" w:type="dxa"/>
              <w:bottom w:w="60" w:type="dxa"/>
              <w:start w:w="100" w:type="dxa"/>
              <w:end w:w="100" w:type="dxa"/>
              <w:left w:w="100" w:type="dxa"/>
              <w:right w:w="100" w:type="dxa"/>
            </w:tcMar>
          </w:tcPr>
          <w:p>
            <w:pPr>
              <w:jc w:val="right"/>
            </w:pPr>
            <w:r/>
            <w:r>
              <w:rPr>
                <w:rFonts w:ascii="Calibri" w:hAnsi="Calibri"/>
                <w:sz w:val="18"/>
              </w:rPr>
              <w:t>180,000</w:t>
            </w:r>
          </w:p>
        </w:tc>
        <w:tc>
          <w:tcPr>
            <w:tcW w:type="dxa" w:w="1296"/>
            <w:shd w:val="clear" w:color="auto" w:fill="F2F4F7"/>
            <w:tcMar>
              <w:top w:w="60" w:type="dxa"/>
              <w:bottom w:w="60" w:type="dxa"/>
              <w:start w:w="100" w:type="dxa"/>
              <w:end w:w="100" w:type="dxa"/>
              <w:left w:w="100" w:type="dxa"/>
              <w:right w:w="100" w:type="dxa"/>
            </w:tcMar>
          </w:tcPr>
          <w:p>
            <w:pPr>
              <w:jc w:val="right"/>
            </w:pPr>
            <w:r/>
            <w:r>
              <w:rPr>
                <w:rFonts w:ascii="Calibri" w:hAnsi="Calibri"/>
                <w:b/>
                <w:color w:val="047857"/>
                <w:sz w:val="18"/>
              </w:rPr>
              <w:t>54,000</w:t>
            </w:r>
          </w:p>
        </w:tc>
      </w:tr>
    </w:tbl>
    <w:p>
      <w:pPr>
        <w:spacing w:before="0" w:after="80" w:line="276" w:lineRule="auto"/>
      </w:pPr>
    </w:p>
    <w:tbl>
      <w:tblPr>
        <w:tblW w:type="auto" w:w="0"/>
        <w:jc w:val="center"/>
        <w:tblLook w:firstColumn="1" w:firstRow="1" w:lastColumn="0" w:lastRow="0" w:noHBand="0" w:noVBand="1" w:val="04A0"/>
      </w:tblPr>
      <w:tblGrid>
        <w:gridCol w:w="9360"/>
      </w:tblGrid>
      <w:tr>
        <w:tc>
          <w:tcPr>
            <w:tcW w:type="dxa" w:w="9360"/>
            <w:tcBorders>
              <w:left w:val="single" w:sz="24" w:space="0" w:color="047857"/>
            </w:tcBorders>
            <w:shd w:val="clear" w:color="auto" w:fill="E7F6F0"/>
            <w:tcMar>
              <w:top w:w="120" w:type="dxa"/>
              <w:bottom w:w="120" w:type="dxa"/>
              <w:start w:w="200" w:type="dxa"/>
              <w:end w:w="200" w:type="dxa"/>
              <w:left w:w="200" w:type="dxa"/>
              <w:right w:w="200" w:type="dxa"/>
            </w:tcMar>
          </w:tcPr>
          <w:p>
            <w:pPr>
              <w:spacing w:after="40"/>
            </w:pPr>
            <w:r/>
            <w:r>
              <w:rPr>
                <w:rFonts w:ascii="Calibri" w:hAnsi="Calibri"/>
                <w:b/>
                <w:color w:val="064B84"/>
                <w:sz w:val="19"/>
              </w:rPr>
              <w:t>WORKED ILLUSTRATION (EXAMPLE 1)</w:t>
            </w:r>
          </w:p>
          <w:p>
            <w:pPr>
              <w:spacing w:after="0"/>
            </w:pPr>
            <w:r>
              <w:rPr>
                <w:rFonts w:ascii="Calibri" w:hAnsi="Calibri"/>
                <w:color w:val="1A202C"/>
                <w:sz w:val="20"/>
              </w:rPr>
              <w:t>A laboratory bills a patient ₦1,000,000. Poveon’s commission at 2% is ₦20,000. With no deductions, Net Commission Revenue is ₦20,000. The Executive earns 30% of ₦20,000 = ₦6,000.</w:t>
            </w:r>
          </w:p>
        </w:tc>
      </w:tr>
    </w:tbl>
    <w:p>
      <w:pPr>
        <w:spacing w:after="40"/>
      </w:pP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13.</w:t>
      </w:r>
      <w:r>
        <w:tab/>
      </w:r>
      <w:r>
        <w:rPr>
          <w:rFonts w:ascii="Calibri" w:hAnsi="Calibri"/>
          <w:b/>
          <w:color w:val="064B84"/>
          <w:sz w:val="26"/>
        </w:rPr>
        <w:t>REPORTING</w:t>
      </w:r>
    </w:p>
    <w:p>
      <w:pPr>
        <w:tabs>
          <w:tab w:pos="605" w:val="left"/>
        </w:tabs>
        <w:spacing w:before="40" w:after="120" w:line="276" w:lineRule="auto"/>
        <w:ind w:left="605" w:hanging="605"/>
      </w:pPr>
      <w:r>
        <w:rPr>
          <w:rFonts w:ascii="Calibri" w:hAnsi="Calibri"/>
          <w:b/>
          <w:color w:val="0259A0"/>
          <w:sz w:val="21"/>
        </w:rPr>
        <w:t>13.1</w:t>
      </w:r>
      <w:r>
        <w:tab/>
      </w:r>
      <w:r>
        <w:rPr>
          <w:rFonts w:ascii="Calibri" w:hAnsi="Calibri"/>
          <w:color w:val="1A202C"/>
          <w:sz w:val="21"/>
        </w:rPr>
        <w:t>The Executive shall provide the Company with the following reports, in the forms set out in the Appendices or as the Company may reasonably require:</w:t>
      </w:r>
    </w:p>
    <w:p>
      <w:pPr>
        <w:tabs>
          <w:tab w:pos="1224" w:val="left"/>
        </w:tabs>
        <w:spacing w:before="0" w:after="60" w:line="269" w:lineRule="auto"/>
        <w:ind w:left="1224" w:hanging="475"/>
      </w:pPr>
      <w:r>
        <w:rPr>
          <w:rFonts w:ascii="Calibri" w:hAnsi="Calibri"/>
          <w:color w:val="0259A0"/>
          <w:sz w:val="21"/>
        </w:rPr>
        <w:t>(a)</w:t>
      </w:r>
      <w:r>
        <w:tab/>
      </w:r>
      <w:r>
        <w:rPr>
          <w:rFonts w:ascii="Calibri" w:hAnsi="Calibri"/>
          <w:color w:val="1A202C"/>
          <w:sz w:val="21"/>
        </w:rPr>
        <w:t>a Monthly Executive Report (Appendix B), delivered within seven (7) days after each month-end;</w:t>
      </w:r>
    </w:p>
    <w:p>
      <w:pPr>
        <w:tabs>
          <w:tab w:pos="1224" w:val="left"/>
        </w:tabs>
        <w:spacing w:before="0" w:after="60" w:line="269" w:lineRule="auto"/>
        <w:ind w:left="1224" w:hanging="475"/>
      </w:pPr>
      <w:r>
        <w:rPr>
          <w:rFonts w:ascii="Calibri" w:hAnsi="Calibri"/>
          <w:color w:val="0259A0"/>
          <w:sz w:val="21"/>
        </w:rPr>
        <w:t>(b)</w:t>
      </w:r>
      <w:r>
        <w:tab/>
      </w:r>
      <w:r>
        <w:rPr>
          <w:rFonts w:ascii="Calibri" w:hAnsi="Calibri"/>
          <w:color w:val="1A202C"/>
          <w:sz w:val="21"/>
        </w:rPr>
        <w:t>a Quarterly Business Review and KPI Scorecard (Appendix C), delivered within ten (10) days after each quarter-end; and</w:t>
      </w:r>
    </w:p>
    <w:p>
      <w:pPr>
        <w:tabs>
          <w:tab w:pos="1224" w:val="left"/>
        </w:tabs>
        <w:spacing w:before="0" w:after="60" w:line="269" w:lineRule="auto"/>
        <w:ind w:left="1224" w:hanging="475"/>
      </w:pPr>
      <w:r>
        <w:rPr>
          <w:rFonts w:ascii="Calibri" w:hAnsi="Calibri"/>
          <w:color w:val="0259A0"/>
          <w:sz w:val="21"/>
        </w:rPr>
        <w:t>(c)</w:t>
      </w:r>
      <w:r>
        <w:tab/>
      </w:r>
      <w:r>
        <w:rPr>
          <w:rFonts w:ascii="Calibri" w:hAnsi="Calibri"/>
          <w:color w:val="1A202C"/>
          <w:sz w:val="21"/>
        </w:rPr>
        <w:t>an Annual Strategy Report (Appendix D) summarising performance and strategy for the following period.</w:t>
      </w:r>
    </w:p>
    <w:p>
      <w:pPr>
        <w:tabs>
          <w:tab w:pos="605" w:val="left"/>
        </w:tabs>
        <w:spacing w:before="40" w:after="120" w:line="276" w:lineRule="auto"/>
        <w:ind w:left="605" w:hanging="605"/>
      </w:pPr>
      <w:r>
        <w:rPr>
          <w:rFonts w:ascii="Calibri" w:hAnsi="Calibri"/>
          <w:b/>
          <w:color w:val="0259A0"/>
          <w:sz w:val="21"/>
        </w:rPr>
        <w:t>13.2</w:t>
      </w:r>
      <w:r>
        <w:tab/>
      </w:r>
      <w:r>
        <w:rPr>
          <w:rFonts w:ascii="Calibri" w:hAnsi="Calibri"/>
          <w:color w:val="1A202C"/>
          <w:sz w:val="21"/>
        </w:rPr>
        <w:t>All reports shall be accurate, complete and prepared in good faith, and shall reconcile to Poveon’s official records where applicable.</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14.</w:t>
      </w:r>
      <w:r>
        <w:tab/>
      </w:r>
      <w:r>
        <w:rPr>
          <w:rFonts w:ascii="Calibri" w:hAnsi="Calibri"/>
          <w:b/>
          <w:color w:val="064B84"/>
          <w:sz w:val="26"/>
        </w:rPr>
        <w:t>AUDIT RIGHTS, BOOKS AND RECORDS</w:t>
      </w:r>
    </w:p>
    <w:p>
      <w:pPr>
        <w:tabs>
          <w:tab w:pos="605" w:val="left"/>
        </w:tabs>
        <w:spacing w:before="40" w:after="120" w:line="276" w:lineRule="auto"/>
        <w:ind w:left="605" w:hanging="605"/>
      </w:pPr>
      <w:r>
        <w:rPr>
          <w:rFonts w:ascii="Calibri" w:hAnsi="Calibri"/>
          <w:b/>
          <w:color w:val="0259A0"/>
          <w:sz w:val="21"/>
        </w:rPr>
        <w:t>14.1</w:t>
      </w:r>
      <w:r>
        <w:tab/>
      </w:r>
      <w:r>
        <w:rPr>
          <w:rFonts w:ascii="Calibri" w:hAnsi="Calibri"/>
          <w:color w:val="1A202C"/>
          <w:sz w:val="21"/>
        </w:rPr>
        <w:t>Poveon shall maintain proper books and records of Confirmed Transactions and Net Commission Revenue in its official accounting system.</w:t>
      </w:r>
    </w:p>
    <w:p>
      <w:pPr>
        <w:tabs>
          <w:tab w:pos="605" w:val="left"/>
        </w:tabs>
        <w:spacing w:before="40" w:after="120" w:line="276" w:lineRule="auto"/>
        <w:ind w:left="605" w:hanging="605"/>
      </w:pPr>
      <w:r>
        <w:rPr>
          <w:rFonts w:ascii="Calibri" w:hAnsi="Calibri"/>
          <w:b/>
          <w:color w:val="0259A0"/>
          <w:sz w:val="21"/>
        </w:rPr>
        <w:t>14.2</w:t>
      </w:r>
      <w:r>
        <w:tab/>
      </w:r>
      <w:r>
        <w:rPr>
          <w:rFonts w:ascii="Calibri" w:hAnsi="Calibri"/>
          <w:color w:val="1A202C"/>
          <w:sz w:val="21"/>
        </w:rPr>
        <w:t>Poveon’s accounting records shall be final and conclusive in respect of all calculations under this Agreement, save in the case of manifest error.</w:t>
      </w:r>
    </w:p>
    <w:p>
      <w:pPr>
        <w:tabs>
          <w:tab w:pos="605" w:val="left"/>
        </w:tabs>
        <w:spacing w:before="40" w:after="120" w:line="276" w:lineRule="auto"/>
        <w:ind w:left="605" w:hanging="605"/>
      </w:pPr>
      <w:r>
        <w:rPr>
          <w:rFonts w:ascii="Calibri" w:hAnsi="Calibri"/>
          <w:b/>
          <w:color w:val="0259A0"/>
          <w:sz w:val="21"/>
        </w:rPr>
        <w:t>14.3</w:t>
      </w:r>
      <w:r>
        <w:tab/>
      </w:r>
      <w:r>
        <w:rPr>
          <w:rFonts w:ascii="Calibri" w:hAnsi="Calibri"/>
          <w:color w:val="1A202C"/>
          <w:sz w:val="21"/>
        </w:rPr>
        <w:t>The Executive may, on reasonable written notice and not more than once per quarter, request supporting transaction summaries in respect of Introduced Laboratories attributed to the Executive.</w:t>
      </w:r>
    </w:p>
    <w:p>
      <w:pPr>
        <w:tabs>
          <w:tab w:pos="605" w:val="left"/>
        </w:tabs>
        <w:spacing w:before="40" w:after="120" w:line="276" w:lineRule="auto"/>
        <w:ind w:left="605" w:hanging="605"/>
      </w:pPr>
      <w:r>
        <w:rPr>
          <w:rFonts w:ascii="Calibri" w:hAnsi="Calibri"/>
          <w:b/>
          <w:color w:val="0259A0"/>
          <w:sz w:val="21"/>
        </w:rPr>
        <w:t>14.4</w:t>
      </w:r>
      <w:r>
        <w:tab/>
      </w:r>
      <w:r>
        <w:rPr>
          <w:rFonts w:ascii="Calibri" w:hAnsi="Calibri"/>
          <w:color w:val="1A202C"/>
          <w:sz w:val="21"/>
        </w:rPr>
        <w:t>The Executive shall have no right to conduct, and shall not procure, any independent audit, inspection or examination of the Company’s books, systems or records without the Company’s prior written approval.</w:t>
      </w:r>
    </w:p>
    <w:p>
      <w:pPr>
        <w:tabs>
          <w:tab w:pos="605" w:val="left"/>
        </w:tabs>
        <w:spacing w:before="40" w:after="120" w:line="276" w:lineRule="auto"/>
        <w:ind w:left="605" w:hanging="605"/>
      </w:pPr>
      <w:r>
        <w:rPr>
          <w:rFonts w:ascii="Calibri" w:hAnsi="Calibri"/>
          <w:b/>
          <w:color w:val="0259A0"/>
          <w:sz w:val="21"/>
        </w:rPr>
        <w:t>14.5</w:t>
      </w:r>
      <w:r>
        <w:tab/>
      </w:r>
      <w:r>
        <w:rPr>
          <w:rFonts w:ascii="Calibri" w:hAnsi="Calibri"/>
          <w:color w:val="1A202C"/>
          <w:sz w:val="21"/>
        </w:rPr>
        <w:t>The Company may at any time audit the Executive’s introductions, attributions and conduct to verify compliance with this Agreement, including for the purposes of Clauses 16, 17 and 18.</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15.</w:t>
      </w:r>
      <w:r>
        <w:tab/>
      </w:r>
      <w:r>
        <w:rPr>
          <w:rFonts w:ascii="Calibri" w:hAnsi="Calibri"/>
          <w:b/>
          <w:color w:val="064B84"/>
          <w:sz w:val="26"/>
        </w:rPr>
        <w:t>CONFIDENTIALITY, NON-DISCLOSURE AND OWNERSHIP</w:t>
      </w:r>
    </w:p>
    <w:p>
      <w:pPr>
        <w:spacing w:before="200" w:after="80"/>
      </w:pPr>
      <w:r>
        <w:rPr>
          <w:rFonts w:ascii="Calibri" w:hAnsi="Calibri"/>
          <w:b/>
          <w:color w:val="0259A0"/>
          <w:sz w:val="21"/>
          <w:spacing w:val="20"/>
        </w:rPr>
        <w:t>CONFIDENTIALITY AND NON-DISCLOSURE</w:t>
      </w:r>
    </w:p>
    <w:p>
      <w:pPr>
        <w:tabs>
          <w:tab w:pos="605" w:val="left"/>
        </w:tabs>
        <w:spacing w:before="40" w:after="120" w:line="276" w:lineRule="auto"/>
        <w:ind w:left="605" w:hanging="605"/>
      </w:pPr>
      <w:r>
        <w:rPr>
          <w:rFonts w:ascii="Calibri" w:hAnsi="Calibri"/>
          <w:b/>
          <w:color w:val="0259A0"/>
          <w:sz w:val="21"/>
        </w:rPr>
        <w:t>15.1</w:t>
      </w:r>
      <w:r>
        <w:tab/>
      </w:r>
      <w:r>
        <w:rPr>
          <w:rFonts w:ascii="Calibri" w:hAnsi="Calibri"/>
          <w:color w:val="1A202C"/>
          <w:sz w:val="21"/>
        </w:rPr>
        <w:t>The Executive shall keep all Confidential Information strictly confidential, shall use it only for the proper performance of the duties under this Agreement, and shall not disclose it to any third party without the Company’s prior written consent.</w:t>
      </w:r>
    </w:p>
    <w:p>
      <w:pPr>
        <w:tabs>
          <w:tab w:pos="605" w:val="left"/>
        </w:tabs>
        <w:spacing w:before="40" w:after="120" w:line="276" w:lineRule="auto"/>
        <w:ind w:left="605" w:hanging="605"/>
      </w:pPr>
      <w:r>
        <w:rPr>
          <w:rFonts w:ascii="Calibri" w:hAnsi="Calibri"/>
          <w:b/>
          <w:color w:val="0259A0"/>
          <w:sz w:val="21"/>
        </w:rPr>
        <w:t>15.2</w:t>
      </w:r>
      <w:r>
        <w:tab/>
      </w:r>
      <w:r>
        <w:rPr>
          <w:rFonts w:ascii="Calibri" w:hAnsi="Calibri"/>
          <w:color w:val="1A202C"/>
          <w:sz w:val="21"/>
        </w:rPr>
        <w:t>The obligations of confidentiality shall not apply to information that is or becomes public other than through the Executive’s breach, or which the Executive is required to disclose by law or a competent authority, provided the Executive gives the Company prompt prior notice where lawful.</w:t>
      </w:r>
    </w:p>
    <w:p>
      <w:pPr>
        <w:tabs>
          <w:tab w:pos="605" w:val="left"/>
        </w:tabs>
        <w:spacing w:before="40" w:after="120" w:line="276" w:lineRule="auto"/>
        <w:ind w:left="605" w:hanging="605"/>
      </w:pPr>
      <w:r>
        <w:rPr>
          <w:rFonts w:ascii="Calibri" w:hAnsi="Calibri"/>
          <w:b/>
          <w:color w:val="0259A0"/>
          <w:sz w:val="21"/>
        </w:rPr>
        <w:t>15.3</w:t>
      </w:r>
      <w:r>
        <w:tab/>
      </w:r>
      <w:r>
        <w:rPr>
          <w:rFonts w:ascii="Calibri" w:hAnsi="Calibri"/>
          <w:color w:val="1A202C"/>
          <w:sz w:val="21"/>
        </w:rPr>
        <w:t>The confidentiality and non-disclosure obligations in this Clause shall survive termination of this Agreement without limit in time.</w:t>
      </w:r>
    </w:p>
    <w:p>
      <w:pPr>
        <w:spacing w:before="200" w:after="80"/>
      </w:pPr>
      <w:r>
        <w:rPr>
          <w:rFonts w:ascii="Calibri" w:hAnsi="Calibri"/>
          <w:b/>
          <w:color w:val="0259A0"/>
          <w:sz w:val="21"/>
          <w:spacing w:val="20"/>
        </w:rPr>
        <w:t>INTELLECTUAL PROPERTY AND WORK PRODUCT</w:t>
      </w:r>
    </w:p>
    <w:p>
      <w:pPr>
        <w:tabs>
          <w:tab w:pos="605" w:val="left"/>
        </w:tabs>
        <w:spacing w:before="40" w:after="120" w:line="276" w:lineRule="auto"/>
        <w:ind w:left="605" w:hanging="605"/>
      </w:pPr>
      <w:r>
        <w:rPr>
          <w:rFonts w:ascii="Calibri" w:hAnsi="Calibri"/>
          <w:b/>
          <w:color w:val="0259A0"/>
          <w:sz w:val="21"/>
        </w:rPr>
        <w:t>15.4</w:t>
      </w:r>
      <w:r>
        <w:tab/>
      </w:r>
      <w:r>
        <w:rPr>
          <w:rFonts w:ascii="Calibri" w:hAnsi="Calibri"/>
          <w:color w:val="1A202C"/>
          <w:sz w:val="21"/>
        </w:rPr>
        <w:t>All Intellectual Property and all Work Product created, developed or contributed by the Executive in connection with this Agreement shall vest in and be the exclusive property of the Company immediately on creation. The Executive hereby assigns to the Company, with full title guarantee, all such rights, present and future.</w:t>
      </w:r>
    </w:p>
    <w:p>
      <w:pPr>
        <w:tabs>
          <w:tab w:pos="605" w:val="left"/>
        </w:tabs>
        <w:spacing w:before="40" w:after="120" w:line="276" w:lineRule="auto"/>
        <w:ind w:left="605" w:hanging="605"/>
      </w:pPr>
      <w:r>
        <w:rPr>
          <w:rFonts w:ascii="Calibri" w:hAnsi="Calibri"/>
          <w:b/>
          <w:color w:val="0259A0"/>
          <w:sz w:val="21"/>
        </w:rPr>
        <w:t>15.5</w:t>
      </w:r>
      <w:r>
        <w:tab/>
      </w:r>
      <w:r>
        <w:rPr>
          <w:rFonts w:ascii="Calibri" w:hAnsi="Calibri"/>
          <w:color w:val="1A202C"/>
          <w:sz w:val="21"/>
        </w:rPr>
        <w:t>The Executive shall, at the Company’s request and expense, execute all documents and do all things necessary to give effect to the Company’s ownership of such Intellectual Property and Work Product, and irrevocably waives all moral rights in respect of them to the extent permitted by law.</w:t>
      </w:r>
    </w:p>
    <w:p>
      <w:pPr>
        <w:spacing w:before="200" w:after="80"/>
      </w:pPr>
      <w:r>
        <w:rPr>
          <w:rFonts w:ascii="Calibri" w:hAnsi="Calibri"/>
          <w:b/>
          <w:color w:val="0259A0"/>
          <w:sz w:val="21"/>
          <w:spacing w:val="20"/>
        </w:rPr>
        <w:t>DATA AND RELATIONSHIP OWNERSHIP</w:t>
      </w:r>
    </w:p>
    <w:p>
      <w:pPr>
        <w:tabs>
          <w:tab w:pos="605" w:val="left"/>
        </w:tabs>
        <w:spacing w:before="40" w:after="120" w:line="276" w:lineRule="auto"/>
        <w:ind w:left="605" w:hanging="605"/>
      </w:pPr>
      <w:r>
        <w:rPr>
          <w:rFonts w:ascii="Calibri" w:hAnsi="Calibri"/>
          <w:b/>
          <w:color w:val="0259A0"/>
          <w:sz w:val="21"/>
        </w:rPr>
        <w:t>15.6</w:t>
      </w:r>
      <w:r>
        <w:tab/>
      </w:r>
      <w:r>
        <w:rPr>
          <w:rFonts w:ascii="Calibri" w:hAnsi="Calibri"/>
          <w:color w:val="1A202C"/>
          <w:sz w:val="21"/>
        </w:rPr>
        <w:t>As between the Parties, the Company exclusively owns all customer, laboratory, provider and patient relationships, all data (including transaction and platform data), all branding, and all laboratories onboarded onto the platform, including all Introduced Laboratories.</w:t>
      </w:r>
    </w:p>
    <w:tbl>
      <w:tblPr>
        <w:tblW w:type="auto" w:w="0"/>
        <w:jc w:val="center"/>
        <w:tblLook w:firstColumn="1" w:firstRow="1" w:lastColumn="0" w:lastRow="0" w:noHBand="0" w:noVBand="1" w:val="04A0"/>
      </w:tblPr>
      <w:tblGrid>
        <w:gridCol w:w="9360"/>
      </w:tblGrid>
      <w:tr>
        <w:tc>
          <w:tcPr>
            <w:tcW w:type="dxa" w:w="9360"/>
            <w:tcBorders>
              <w:left w:val="single" w:sz="24" w:space="0" w:color="0259A0"/>
            </w:tcBorders>
            <w:shd w:val="clear" w:color="auto" w:fill="EAF3FB"/>
            <w:tcMar>
              <w:top w:w="120" w:type="dxa"/>
              <w:bottom w:w="120" w:type="dxa"/>
              <w:start w:w="200" w:type="dxa"/>
              <w:end w:w="200" w:type="dxa"/>
              <w:left w:w="200" w:type="dxa"/>
              <w:right w:w="200" w:type="dxa"/>
            </w:tcMar>
          </w:tcPr>
          <w:p>
            <w:pPr>
              <w:spacing w:after="40"/>
            </w:pPr>
            <w:r/>
            <w:r>
              <w:rPr>
                <w:rFonts w:ascii="Calibri" w:hAnsi="Calibri"/>
                <w:b/>
                <w:color w:val="064B84"/>
                <w:sz w:val="19"/>
              </w:rPr>
              <w:t>OWNERSHIP — WHAT THE EXECUTIVE DOES NOT RECEIVE</w:t>
            </w:r>
          </w:p>
          <w:p>
            <w:pPr>
              <w:spacing w:after="0"/>
            </w:pPr>
            <w:r>
              <w:rPr>
                <w:rFonts w:ascii="Calibri" w:hAnsi="Calibri"/>
                <w:color w:val="1A202C"/>
                <w:sz w:val="20"/>
              </w:rPr>
              <w:t>The Executive receives NO equity, NO ownership, NO shares, NO voting rights, and NO board seat. The Executive has no authority to sign contracts or to bind Poveon financially. Poveon owns all customer relationships, all data, all Intellectual Property, all branding, and all laboratories onboarded.</w:t>
            </w:r>
          </w:p>
        </w:tc>
      </w:tr>
    </w:tbl>
    <w:p>
      <w:pPr>
        <w:spacing w:after="40"/>
      </w:pP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16.</w:t>
      </w:r>
      <w:r>
        <w:tab/>
      </w:r>
      <w:r>
        <w:rPr>
          <w:rFonts w:ascii="Calibri" w:hAnsi="Calibri"/>
          <w:b/>
          <w:color w:val="064B84"/>
          <w:sz w:val="26"/>
        </w:rPr>
        <w:t>CONFLICT OF INTEREST AND EXCLUSIVITY</w:t>
      </w:r>
    </w:p>
    <w:p>
      <w:pPr>
        <w:tabs>
          <w:tab w:pos="605" w:val="left"/>
        </w:tabs>
        <w:spacing w:before="40" w:after="120" w:line="276" w:lineRule="auto"/>
        <w:ind w:left="605" w:hanging="605"/>
      </w:pPr>
      <w:r>
        <w:rPr>
          <w:rFonts w:ascii="Calibri" w:hAnsi="Calibri"/>
          <w:b/>
          <w:color w:val="0259A0"/>
          <w:sz w:val="21"/>
        </w:rPr>
        <w:t>16.1</w:t>
      </w:r>
      <w:r>
        <w:tab/>
      </w:r>
      <w:r>
        <w:rPr>
          <w:rFonts w:ascii="Calibri" w:hAnsi="Calibri"/>
          <w:color w:val="1A202C"/>
          <w:sz w:val="21"/>
        </w:rPr>
        <w:t>The Executive shall avoid any situation in which the Executive has, or may have, a direct or indirect interest that conflicts, or may conflict, with the interests of the Company, and shall promptly disclose any such actual or potential conflict to the Founder &amp; CEO.</w:t>
      </w:r>
    </w:p>
    <w:p>
      <w:pPr>
        <w:tabs>
          <w:tab w:pos="605" w:val="left"/>
        </w:tabs>
        <w:spacing w:before="40" w:after="120" w:line="276" w:lineRule="auto"/>
        <w:ind w:left="605" w:hanging="605"/>
      </w:pPr>
      <w:r>
        <w:rPr>
          <w:rFonts w:ascii="Calibri" w:hAnsi="Calibri"/>
          <w:b/>
          <w:color w:val="0259A0"/>
          <w:sz w:val="21"/>
        </w:rPr>
        <w:t>16.2</w:t>
      </w:r>
      <w:r>
        <w:tab/>
      </w:r>
      <w:r>
        <w:rPr>
          <w:rFonts w:ascii="Calibri" w:hAnsi="Calibri"/>
          <w:color w:val="1A202C"/>
          <w:sz w:val="21"/>
        </w:rPr>
        <w:t>During the Term, the Executive shall not, without the Company’s prior written consent, be engaged, concerned or interested in any business that competes with the Company’s healthcare technology referral and laboratory request platform in any territory in which the Company operates.</w:t>
      </w:r>
    </w:p>
    <w:p>
      <w:pPr>
        <w:tabs>
          <w:tab w:pos="605" w:val="left"/>
        </w:tabs>
        <w:spacing w:before="40" w:after="120" w:line="276" w:lineRule="auto"/>
        <w:ind w:left="605" w:hanging="605"/>
      </w:pPr>
      <w:r>
        <w:rPr>
          <w:rFonts w:ascii="Calibri" w:hAnsi="Calibri"/>
          <w:b/>
          <w:color w:val="0259A0"/>
          <w:sz w:val="21"/>
        </w:rPr>
        <w:t>16.3</w:t>
      </w:r>
      <w:r>
        <w:tab/>
      </w:r>
      <w:r>
        <w:rPr>
          <w:rFonts w:ascii="Calibri" w:hAnsi="Calibri"/>
          <w:color w:val="1A202C"/>
          <w:sz w:val="21"/>
        </w:rPr>
        <w:t>The Executive shall not accept any commission, rebate, kickback or other benefit from any laboratory, provider or third party in connection with the Company’s business, other than the Revenue Share payable under this Agreement.</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17.</w:t>
      </w:r>
      <w:r>
        <w:tab/>
      </w:r>
      <w:r>
        <w:rPr>
          <w:rFonts w:ascii="Calibri" w:hAnsi="Calibri"/>
          <w:b/>
          <w:color w:val="064B84"/>
          <w:sz w:val="26"/>
        </w:rPr>
        <w:t>NON-CIRCUMVENTION AND NON-SOLICITATION</w:t>
      </w:r>
    </w:p>
    <w:p>
      <w:pPr>
        <w:spacing w:before="200" w:after="80"/>
      </w:pPr>
      <w:r>
        <w:rPr>
          <w:rFonts w:ascii="Calibri" w:hAnsi="Calibri"/>
          <w:b/>
          <w:color w:val="0259A0"/>
          <w:sz w:val="21"/>
          <w:spacing w:val="20"/>
        </w:rPr>
        <w:t>NON-CIRCUMVENTION</w:t>
      </w:r>
    </w:p>
    <w:p>
      <w:pPr>
        <w:tabs>
          <w:tab w:pos="605" w:val="left"/>
        </w:tabs>
        <w:spacing w:before="40" w:after="120" w:line="276" w:lineRule="auto"/>
        <w:ind w:left="605" w:hanging="605"/>
      </w:pPr>
      <w:r>
        <w:rPr>
          <w:rFonts w:ascii="Calibri" w:hAnsi="Calibri"/>
          <w:b/>
          <w:color w:val="0259A0"/>
          <w:sz w:val="21"/>
        </w:rPr>
        <w:t>17.1</w:t>
      </w:r>
      <w:r>
        <w:tab/>
      </w:r>
      <w:r>
        <w:rPr>
          <w:rFonts w:ascii="Calibri" w:hAnsi="Calibri"/>
          <w:color w:val="1A202C"/>
          <w:sz w:val="21"/>
        </w:rPr>
        <w:t>The Executive shall not, whether during the Term or thereafter, circumvent or attempt to circumvent the Company in respect of any laboratory, provider or relationship connected with the Company. In particular, the Executive shall not:</w:t>
      </w:r>
    </w:p>
    <w:p>
      <w:pPr>
        <w:tabs>
          <w:tab w:pos="1224" w:val="left"/>
        </w:tabs>
        <w:spacing w:before="0" w:after="60" w:line="269" w:lineRule="auto"/>
        <w:ind w:left="1224" w:hanging="475"/>
      </w:pPr>
      <w:r>
        <w:rPr>
          <w:rFonts w:ascii="Calibri" w:hAnsi="Calibri"/>
          <w:color w:val="0259A0"/>
          <w:sz w:val="21"/>
        </w:rPr>
        <w:t>(a)</w:t>
      </w:r>
      <w:r>
        <w:tab/>
      </w:r>
      <w:r>
        <w:rPr>
          <w:rFonts w:ascii="Calibri" w:hAnsi="Calibri"/>
          <w:color w:val="1A202C"/>
          <w:sz w:val="21"/>
        </w:rPr>
        <w:t>bypass or seek to bypass Poveon in dealings with any laboratory or provider introduced to or onboarded by Poveon;</w:t>
      </w:r>
    </w:p>
    <w:p>
      <w:pPr>
        <w:tabs>
          <w:tab w:pos="1224" w:val="left"/>
        </w:tabs>
        <w:spacing w:before="0" w:after="60" w:line="269" w:lineRule="auto"/>
        <w:ind w:left="1224" w:hanging="475"/>
      </w:pPr>
      <w:r>
        <w:rPr>
          <w:rFonts w:ascii="Calibri" w:hAnsi="Calibri"/>
          <w:color w:val="0259A0"/>
          <w:sz w:val="21"/>
        </w:rPr>
        <w:t>(b)</w:t>
      </w:r>
      <w:r>
        <w:tab/>
      </w:r>
      <w:r>
        <w:rPr>
          <w:rFonts w:ascii="Calibri" w:hAnsi="Calibri"/>
          <w:color w:val="1A202C"/>
          <w:sz w:val="21"/>
        </w:rPr>
        <w:t>invoice or seek payment directly from any laboratory in respect of services connected with the Company’s business;</w:t>
      </w:r>
    </w:p>
    <w:p>
      <w:pPr>
        <w:tabs>
          <w:tab w:pos="1224" w:val="left"/>
        </w:tabs>
        <w:spacing w:before="0" w:after="60" w:line="269" w:lineRule="auto"/>
        <w:ind w:left="1224" w:hanging="475"/>
      </w:pPr>
      <w:r>
        <w:rPr>
          <w:rFonts w:ascii="Calibri" w:hAnsi="Calibri"/>
          <w:color w:val="0259A0"/>
          <w:sz w:val="21"/>
        </w:rPr>
        <w:t>(c)</w:t>
      </w:r>
      <w:r>
        <w:tab/>
      </w:r>
      <w:r>
        <w:rPr>
          <w:rFonts w:ascii="Calibri" w:hAnsi="Calibri"/>
          <w:color w:val="1A202C"/>
          <w:sz w:val="21"/>
        </w:rPr>
        <w:t>divert, or attempt to divert, any laboratory, provider or transaction away from the Company; or</w:t>
      </w:r>
    </w:p>
    <w:p>
      <w:pPr>
        <w:tabs>
          <w:tab w:pos="1224" w:val="left"/>
        </w:tabs>
        <w:spacing w:before="0" w:after="60" w:line="269" w:lineRule="auto"/>
        <w:ind w:left="1224" w:hanging="475"/>
      </w:pPr>
      <w:r>
        <w:rPr>
          <w:rFonts w:ascii="Calibri" w:hAnsi="Calibri"/>
          <w:color w:val="0259A0"/>
          <w:sz w:val="21"/>
        </w:rPr>
        <w:t>(d)</w:t>
      </w:r>
      <w:r>
        <w:tab/>
      </w:r>
      <w:r>
        <w:rPr>
          <w:rFonts w:ascii="Calibri" w:hAnsi="Calibri"/>
          <w:color w:val="1A202C"/>
          <w:sz w:val="21"/>
        </w:rPr>
        <w:t>establish, facilitate or participate in any competing arrangement with any Introduced Laboratory or other Poveon laboratory or provider.</w:t>
      </w:r>
    </w:p>
    <w:p>
      <w:pPr>
        <w:spacing w:before="200" w:after="80"/>
      </w:pPr>
      <w:r>
        <w:rPr>
          <w:rFonts w:ascii="Calibri" w:hAnsi="Calibri"/>
          <w:b/>
          <w:color w:val="0259A0"/>
          <w:sz w:val="21"/>
          <w:spacing w:val="20"/>
        </w:rPr>
        <w:t>NON-SOLICITATION</w:t>
      </w:r>
    </w:p>
    <w:p>
      <w:pPr>
        <w:tabs>
          <w:tab w:pos="605" w:val="left"/>
        </w:tabs>
        <w:spacing w:before="40" w:after="120" w:line="276" w:lineRule="auto"/>
        <w:ind w:left="605" w:hanging="605"/>
      </w:pPr>
      <w:r>
        <w:rPr>
          <w:rFonts w:ascii="Calibri" w:hAnsi="Calibri"/>
          <w:b/>
          <w:color w:val="0259A0"/>
          <w:sz w:val="21"/>
        </w:rPr>
        <w:t>17.2</w:t>
      </w:r>
      <w:r>
        <w:tab/>
      </w:r>
      <w:r>
        <w:rPr>
          <w:rFonts w:ascii="Calibri" w:hAnsi="Calibri"/>
          <w:color w:val="1A202C"/>
          <w:sz w:val="21"/>
        </w:rPr>
        <w:t>In order to protect the Company’s legitimate business interests, and for a period of twelve (12) months following termination of this Agreement, the Executive shall not, in the territories in which the Company operates and in relation to persons with whom the Executive dealt during the Term, directly or indirectly:</w:t>
      </w:r>
    </w:p>
    <w:p>
      <w:pPr>
        <w:tabs>
          <w:tab w:pos="1224" w:val="left"/>
        </w:tabs>
        <w:spacing w:before="0" w:after="60" w:line="269" w:lineRule="auto"/>
        <w:ind w:left="1224" w:hanging="475"/>
      </w:pPr>
      <w:r>
        <w:rPr>
          <w:rFonts w:ascii="Calibri" w:hAnsi="Calibri"/>
          <w:color w:val="0259A0"/>
          <w:sz w:val="21"/>
        </w:rPr>
        <w:t>(a)</w:t>
      </w:r>
      <w:r>
        <w:tab/>
      </w:r>
      <w:r>
        <w:rPr>
          <w:rFonts w:ascii="Calibri" w:hAnsi="Calibri"/>
          <w:color w:val="1A202C"/>
          <w:sz w:val="21"/>
        </w:rPr>
        <w:t>solicit, entice away or endeavour to recruit any employee, officer or contractor of the Company;</w:t>
      </w:r>
    </w:p>
    <w:p>
      <w:pPr>
        <w:tabs>
          <w:tab w:pos="1224" w:val="left"/>
        </w:tabs>
        <w:spacing w:before="0" w:after="60" w:line="269" w:lineRule="auto"/>
        <w:ind w:left="1224" w:hanging="475"/>
      </w:pPr>
      <w:r>
        <w:rPr>
          <w:rFonts w:ascii="Calibri" w:hAnsi="Calibri"/>
          <w:color w:val="0259A0"/>
          <w:sz w:val="21"/>
        </w:rPr>
        <w:t>(b)</w:t>
      </w:r>
      <w:r>
        <w:tab/>
      </w:r>
      <w:r>
        <w:rPr>
          <w:rFonts w:ascii="Calibri" w:hAnsi="Calibri"/>
          <w:color w:val="1A202C"/>
          <w:sz w:val="21"/>
        </w:rPr>
        <w:t>solicit or entice away any laboratory onboarded by the Company; or</w:t>
      </w:r>
    </w:p>
    <w:p>
      <w:pPr>
        <w:tabs>
          <w:tab w:pos="1224" w:val="left"/>
        </w:tabs>
        <w:spacing w:before="0" w:after="60" w:line="269" w:lineRule="auto"/>
        <w:ind w:left="1224" w:hanging="475"/>
      </w:pPr>
      <w:r>
        <w:rPr>
          <w:rFonts w:ascii="Calibri" w:hAnsi="Calibri"/>
          <w:color w:val="0259A0"/>
          <w:sz w:val="21"/>
        </w:rPr>
        <w:t>(c)</w:t>
      </w:r>
      <w:r>
        <w:tab/>
      </w:r>
      <w:r>
        <w:rPr>
          <w:rFonts w:ascii="Calibri" w:hAnsi="Calibri"/>
          <w:color w:val="1A202C"/>
          <w:sz w:val="21"/>
        </w:rPr>
        <w:t>solicit or entice away any major provider partner of the Company.</w:t>
      </w:r>
    </w:p>
    <w:p>
      <w:pPr>
        <w:tabs>
          <w:tab w:pos="605" w:val="left"/>
        </w:tabs>
        <w:spacing w:before="40" w:after="120" w:line="276" w:lineRule="auto"/>
        <w:ind w:left="605" w:hanging="605"/>
      </w:pPr>
      <w:r>
        <w:rPr>
          <w:rFonts w:ascii="Calibri" w:hAnsi="Calibri"/>
          <w:b/>
          <w:color w:val="0259A0"/>
          <w:sz w:val="21"/>
        </w:rPr>
        <w:t>17.3</w:t>
      </w:r>
      <w:r>
        <w:tab/>
      </w:r>
      <w:r>
        <w:rPr>
          <w:rFonts w:ascii="Calibri" w:hAnsi="Calibri"/>
          <w:color w:val="1A202C"/>
          <w:sz w:val="21"/>
        </w:rPr>
        <w:t>The restrictions in this Clause are considered by the Parties to be reasonable and necessary to protect the Company’s goodwill, confidential information and business relationships. Each restriction is a separate and severable undertaking; if any restriction is found to be unenforceable as drafted but would be enforceable if its scope, duration or geographical extent were reduced, it shall apply with such modification as is necessary to make it valid and enforceable under the laws of the Federal Republic of Nigeria.</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18.</w:t>
      </w:r>
      <w:r>
        <w:tab/>
      </w:r>
      <w:r>
        <w:rPr>
          <w:rFonts w:ascii="Calibri" w:hAnsi="Calibri"/>
          <w:b/>
          <w:color w:val="064B84"/>
          <w:sz w:val="26"/>
        </w:rPr>
        <w:t>COMPLIANCE, ANTI-BRIBERY AND GOOD FAITH</w:t>
      </w:r>
    </w:p>
    <w:p>
      <w:pPr>
        <w:tabs>
          <w:tab w:pos="605" w:val="left"/>
        </w:tabs>
        <w:spacing w:before="40" w:after="120" w:line="276" w:lineRule="auto"/>
        <w:ind w:left="605" w:hanging="605"/>
      </w:pPr>
      <w:r>
        <w:rPr>
          <w:rFonts w:ascii="Calibri" w:hAnsi="Calibri"/>
          <w:b/>
          <w:color w:val="0259A0"/>
          <w:sz w:val="21"/>
        </w:rPr>
        <w:t>18.1</w:t>
      </w:r>
      <w:r>
        <w:tab/>
      </w:r>
      <w:r>
        <w:rPr>
          <w:rFonts w:ascii="Calibri" w:hAnsi="Calibri"/>
          <w:color w:val="1A202C"/>
          <w:sz w:val="21"/>
        </w:rPr>
        <w:t>The Executive shall comply with all applicable laws and regulations of the Federal Republic of Nigeria, including data protection and healthcare regulations relevant to the Company’s business.</w:t>
      </w:r>
    </w:p>
    <w:p>
      <w:pPr>
        <w:tabs>
          <w:tab w:pos="605" w:val="left"/>
        </w:tabs>
        <w:spacing w:before="40" w:after="120" w:line="276" w:lineRule="auto"/>
        <w:ind w:left="605" w:hanging="605"/>
      </w:pPr>
      <w:r>
        <w:rPr>
          <w:rFonts w:ascii="Calibri" w:hAnsi="Calibri"/>
          <w:b/>
          <w:color w:val="0259A0"/>
          <w:sz w:val="21"/>
        </w:rPr>
        <w:t>18.2</w:t>
      </w:r>
      <w:r>
        <w:tab/>
      </w:r>
      <w:r>
        <w:rPr>
          <w:rFonts w:ascii="Calibri" w:hAnsi="Calibri"/>
          <w:color w:val="1A202C"/>
          <w:sz w:val="21"/>
        </w:rPr>
        <w:t>The Executive shall comply with all applicable anti-bribery and anti-corruption laws, including the Corrupt Practices and Other Related Offences Act and the Economic and Financial Crimes Commission (Establishment) Act, and shall not offer, give, request or accept any bribe, kickback or improper advantage.</w:t>
      </w:r>
    </w:p>
    <w:p>
      <w:pPr>
        <w:tabs>
          <w:tab w:pos="605" w:val="left"/>
        </w:tabs>
        <w:spacing w:before="40" w:after="120" w:line="276" w:lineRule="auto"/>
        <w:ind w:left="605" w:hanging="605"/>
      </w:pPr>
      <w:r>
        <w:rPr>
          <w:rFonts w:ascii="Calibri" w:hAnsi="Calibri"/>
          <w:b/>
          <w:color w:val="0259A0"/>
          <w:sz w:val="21"/>
        </w:rPr>
        <w:t>18.3</w:t>
      </w:r>
      <w:r>
        <w:tab/>
      </w:r>
      <w:r>
        <w:rPr>
          <w:rFonts w:ascii="Calibri" w:hAnsi="Calibri"/>
          <w:color w:val="1A202C"/>
          <w:sz w:val="21"/>
        </w:rPr>
        <w:t>The Executive shall act in good faith and in the best interests of the Company at all times, and shall not engage in any fraud, dishonesty, misrepresentation or concealment in connection with this Agreement, including in the introduction or attribution of laboratories or the reporting of transactions.</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19.</w:t>
      </w:r>
      <w:r>
        <w:tab/>
      </w:r>
      <w:r>
        <w:rPr>
          <w:rFonts w:ascii="Calibri" w:hAnsi="Calibri"/>
          <w:b/>
          <w:color w:val="064B84"/>
          <w:sz w:val="26"/>
        </w:rPr>
        <w:t>CLAWBACK</w:t>
      </w:r>
    </w:p>
    <w:p>
      <w:pPr>
        <w:tabs>
          <w:tab w:pos="605" w:val="left"/>
        </w:tabs>
        <w:spacing w:before="40" w:after="120" w:line="276" w:lineRule="auto"/>
        <w:ind w:left="605" w:hanging="605"/>
      </w:pPr>
      <w:r>
        <w:rPr>
          <w:rFonts w:ascii="Calibri" w:hAnsi="Calibri"/>
          <w:b/>
          <w:color w:val="0259A0"/>
          <w:sz w:val="21"/>
        </w:rPr>
        <w:t>19.1</w:t>
      </w:r>
      <w:r>
        <w:tab/>
      </w:r>
      <w:r>
        <w:rPr>
          <w:rFonts w:ascii="Calibri" w:hAnsi="Calibri"/>
          <w:color w:val="1A202C"/>
          <w:sz w:val="21"/>
        </w:rPr>
        <w:t>If any laboratory, transaction or Revenue Share was obtained, generated or claimed through fraud, bribery, misrepresentation, kickbacks, concealment, falsified attribution, or any other illegal or improper conduct, the Company shall be entitled to recover from the Executive all Revenue Share and other amounts already paid in connection with such conduct, in addition to any other remedy.</w:t>
      </w:r>
    </w:p>
    <w:p>
      <w:pPr>
        <w:tabs>
          <w:tab w:pos="605" w:val="left"/>
        </w:tabs>
        <w:spacing w:before="40" w:after="120" w:line="276" w:lineRule="auto"/>
        <w:ind w:left="605" w:hanging="605"/>
      </w:pPr>
      <w:r>
        <w:rPr>
          <w:rFonts w:ascii="Calibri" w:hAnsi="Calibri"/>
          <w:b/>
          <w:color w:val="0259A0"/>
          <w:sz w:val="21"/>
        </w:rPr>
        <w:t>19.2</w:t>
      </w:r>
      <w:r>
        <w:tab/>
      </w:r>
      <w:r>
        <w:rPr>
          <w:rFonts w:ascii="Calibri" w:hAnsi="Calibri"/>
          <w:color w:val="1A202C"/>
          <w:sz w:val="21"/>
        </w:rPr>
        <w:t>Where Net Commission Revenue is subsequently reduced by refunds, chargebacks, reversals or corrections after a Revenue Share has been paid, the Company may recover or set off the corresponding overpayment against current or future Revenue Share payments.</w:t>
      </w:r>
    </w:p>
    <w:p>
      <w:pPr>
        <w:tabs>
          <w:tab w:pos="605" w:val="left"/>
        </w:tabs>
        <w:spacing w:before="40" w:after="120" w:line="276" w:lineRule="auto"/>
        <w:ind w:left="605" w:hanging="605"/>
      </w:pPr>
      <w:r>
        <w:rPr>
          <w:rFonts w:ascii="Calibri" w:hAnsi="Calibri"/>
          <w:b/>
          <w:color w:val="0259A0"/>
          <w:sz w:val="21"/>
        </w:rPr>
        <w:t>19.3</w:t>
      </w:r>
      <w:r>
        <w:tab/>
      </w:r>
      <w:r>
        <w:rPr>
          <w:rFonts w:ascii="Calibri" w:hAnsi="Calibri"/>
          <w:color w:val="1A202C"/>
          <w:sz w:val="21"/>
        </w:rPr>
        <w:t>Amounts subject to clawback shall be repaid by the Executive within fourteen (14) days of written demand, and the Company may set off any such amount against any sums otherwise due to the Executive.</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20.</w:t>
      </w:r>
      <w:r>
        <w:tab/>
      </w:r>
      <w:r>
        <w:rPr>
          <w:rFonts w:ascii="Calibri" w:hAnsi="Calibri"/>
          <w:b/>
          <w:color w:val="064B84"/>
          <w:sz w:val="26"/>
        </w:rPr>
        <w:t>SUSPENSION</w:t>
      </w:r>
    </w:p>
    <w:p>
      <w:pPr>
        <w:tabs>
          <w:tab w:pos="605" w:val="left"/>
        </w:tabs>
        <w:spacing w:before="40" w:after="120" w:line="276" w:lineRule="auto"/>
        <w:ind w:left="605" w:hanging="605"/>
      </w:pPr>
      <w:r>
        <w:rPr>
          <w:rFonts w:ascii="Calibri" w:hAnsi="Calibri"/>
          <w:b/>
          <w:color w:val="0259A0"/>
          <w:sz w:val="21"/>
        </w:rPr>
        <w:t>20.1</w:t>
      </w:r>
      <w:r>
        <w:tab/>
      </w:r>
      <w:r>
        <w:rPr>
          <w:rFonts w:ascii="Calibri" w:hAnsi="Calibri"/>
          <w:color w:val="1A202C"/>
          <w:sz w:val="21"/>
        </w:rPr>
        <w:t>The Company may suspend the Executive from some or all duties, and may suspend Revenue Share payments, where it reasonably suspects fraud, serious misconduct, material breach, or conduct giving rise to clawback, pending investigation.</w:t>
      </w:r>
    </w:p>
    <w:p>
      <w:pPr>
        <w:tabs>
          <w:tab w:pos="605" w:val="left"/>
        </w:tabs>
        <w:spacing w:before="40" w:after="120" w:line="276" w:lineRule="auto"/>
        <w:ind w:left="605" w:hanging="605"/>
      </w:pPr>
      <w:r>
        <w:rPr>
          <w:rFonts w:ascii="Calibri" w:hAnsi="Calibri"/>
          <w:b/>
          <w:color w:val="0259A0"/>
          <w:sz w:val="21"/>
        </w:rPr>
        <w:t>20.2</w:t>
      </w:r>
      <w:r>
        <w:tab/>
      </w:r>
      <w:r>
        <w:rPr>
          <w:rFonts w:ascii="Calibri" w:hAnsi="Calibri"/>
          <w:color w:val="1A202C"/>
          <w:sz w:val="21"/>
        </w:rPr>
        <w:t>Suspension shall be for no longer than is reasonably necessary to investigate the matter, and shall not, of itself, constitute termination of this Agreement.</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21.</w:t>
      </w:r>
      <w:r>
        <w:tab/>
      </w:r>
      <w:r>
        <w:rPr>
          <w:rFonts w:ascii="Calibri" w:hAnsi="Calibri"/>
          <w:b/>
          <w:color w:val="064B84"/>
          <w:sz w:val="26"/>
        </w:rPr>
        <w:t>TERM, RENEWAL AND TERMINATION</w:t>
      </w:r>
    </w:p>
    <w:p>
      <w:pPr>
        <w:spacing w:before="200" w:after="80"/>
      </w:pPr>
      <w:r>
        <w:rPr>
          <w:rFonts w:ascii="Calibri" w:hAnsi="Calibri"/>
          <w:b/>
          <w:color w:val="0259A0"/>
          <w:sz w:val="21"/>
          <w:spacing w:val="20"/>
        </w:rPr>
        <w:t>TERM AND RENEWAL</w:t>
      </w:r>
    </w:p>
    <w:p>
      <w:pPr>
        <w:tabs>
          <w:tab w:pos="605" w:val="left"/>
        </w:tabs>
        <w:spacing w:before="40" w:after="120" w:line="276" w:lineRule="auto"/>
        <w:ind w:left="605" w:hanging="605"/>
      </w:pPr>
      <w:r>
        <w:rPr>
          <w:rFonts w:ascii="Calibri" w:hAnsi="Calibri"/>
          <w:b/>
          <w:color w:val="0259A0"/>
          <w:sz w:val="21"/>
        </w:rPr>
        <w:t>21.1</w:t>
      </w:r>
      <w:r>
        <w:tab/>
      </w:r>
      <w:r>
        <w:rPr>
          <w:rFonts w:ascii="Calibri" w:hAnsi="Calibri"/>
          <w:color w:val="1A202C"/>
          <w:sz w:val="21"/>
        </w:rPr>
        <w:t>This Agreement takes effect on the Effective Date (1 June 2026) and, unless terminated earlier in accordance with its terms, continues for a fixed term of twelve (12) months, ending on 31 May 2027.</w:t>
      </w:r>
    </w:p>
    <w:p>
      <w:pPr>
        <w:tabs>
          <w:tab w:pos="605" w:val="left"/>
        </w:tabs>
        <w:spacing w:before="40" w:after="120" w:line="276" w:lineRule="auto"/>
        <w:ind w:left="605" w:hanging="605"/>
      </w:pPr>
      <w:r>
        <w:rPr>
          <w:rFonts w:ascii="Calibri" w:hAnsi="Calibri"/>
          <w:b/>
          <w:color w:val="0259A0"/>
          <w:sz w:val="21"/>
        </w:rPr>
        <w:t>21.2</w:t>
      </w:r>
      <w:r>
        <w:tab/>
      </w:r>
      <w:r>
        <w:rPr>
          <w:rFonts w:ascii="Calibri" w:hAnsi="Calibri"/>
          <w:color w:val="1A202C"/>
          <w:sz w:val="21"/>
        </w:rPr>
        <w:t>There shall be no automatic renewal. Any renewal or extension of this Agreement shall occur only upon the prior written approval of Poveon LTD.</w:t>
      </w:r>
    </w:p>
    <w:p>
      <w:pPr>
        <w:spacing w:before="200" w:after="80"/>
      </w:pPr>
      <w:r>
        <w:rPr>
          <w:rFonts w:ascii="Calibri" w:hAnsi="Calibri"/>
          <w:b/>
          <w:color w:val="0259A0"/>
          <w:sz w:val="21"/>
          <w:spacing w:val="20"/>
        </w:rPr>
        <w:t>TERMINATION WITHOUT CAUSE</w:t>
      </w:r>
    </w:p>
    <w:p>
      <w:pPr>
        <w:tabs>
          <w:tab w:pos="605" w:val="left"/>
        </w:tabs>
        <w:spacing w:before="40" w:after="120" w:line="276" w:lineRule="auto"/>
        <w:ind w:left="605" w:hanging="605"/>
      </w:pPr>
      <w:r>
        <w:rPr>
          <w:rFonts w:ascii="Calibri" w:hAnsi="Calibri"/>
          <w:b/>
          <w:color w:val="0259A0"/>
          <w:sz w:val="21"/>
        </w:rPr>
        <w:t>21.3</w:t>
      </w:r>
      <w:r>
        <w:tab/>
      </w:r>
      <w:r>
        <w:rPr>
          <w:rFonts w:ascii="Calibri" w:hAnsi="Calibri"/>
          <w:color w:val="1A202C"/>
          <w:sz w:val="21"/>
        </w:rPr>
        <w:t>Either Party may terminate this Agreement at any time by giving not less than thirty (30) days’ prior written notice to the other Party.</w:t>
      </w:r>
    </w:p>
    <w:p>
      <w:pPr>
        <w:spacing w:before="200" w:after="80"/>
      </w:pPr>
      <w:r>
        <w:rPr>
          <w:rFonts w:ascii="Calibri" w:hAnsi="Calibri"/>
          <w:b/>
          <w:color w:val="0259A0"/>
          <w:sz w:val="21"/>
          <w:spacing w:val="20"/>
        </w:rPr>
        <w:t>TERMINATION FOR CAUSE</w:t>
      </w:r>
    </w:p>
    <w:p>
      <w:pPr>
        <w:tabs>
          <w:tab w:pos="605" w:val="left"/>
        </w:tabs>
        <w:spacing w:before="40" w:after="120" w:line="276" w:lineRule="auto"/>
        <w:ind w:left="605" w:hanging="605"/>
      </w:pPr>
      <w:r>
        <w:rPr>
          <w:rFonts w:ascii="Calibri" w:hAnsi="Calibri"/>
          <w:b/>
          <w:color w:val="0259A0"/>
          <w:sz w:val="21"/>
        </w:rPr>
        <w:t>21.4</w:t>
      </w:r>
      <w:r>
        <w:tab/>
      </w:r>
      <w:r>
        <w:rPr>
          <w:rFonts w:ascii="Calibri" w:hAnsi="Calibri"/>
          <w:color w:val="1A202C"/>
          <w:sz w:val="21"/>
        </w:rPr>
        <w:t>The Company may terminate this Agreement with immediate effect by written notice if the Executive:</w:t>
      </w:r>
    </w:p>
    <w:p>
      <w:pPr>
        <w:tabs>
          <w:tab w:pos="1224" w:val="left"/>
        </w:tabs>
        <w:spacing w:before="0" w:after="60" w:line="269" w:lineRule="auto"/>
        <w:ind w:left="1224" w:hanging="475"/>
      </w:pPr>
      <w:r>
        <w:rPr>
          <w:rFonts w:ascii="Calibri" w:hAnsi="Calibri"/>
          <w:color w:val="0259A0"/>
          <w:sz w:val="21"/>
        </w:rPr>
        <w:t>(a)</w:t>
      </w:r>
      <w:r>
        <w:tab/>
      </w:r>
      <w:r>
        <w:rPr>
          <w:rFonts w:ascii="Calibri" w:hAnsi="Calibri"/>
          <w:color w:val="1A202C"/>
          <w:sz w:val="21"/>
        </w:rPr>
        <w:t>commits fraud, dishonesty or any act giving rise to clawback;</w:t>
      </w:r>
    </w:p>
    <w:p>
      <w:pPr>
        <w:tabs>
          <w:tab w:pos="1224" w:val="left"/>
        </w:tabs>
        <w:spacing w:before="0" w:after="60" w:line="269" w:lineRule="auto"/>
        <w:ind w:left="1224" w:hanging="475"/>
      </w:pPr>
      <w:r>
        <w:rPr>
          <w:rFonts w:ascii="Calibri" w:hAnsi="Calibri"/>
          <w:color w:val="0259A0"/>
          <w:sz w:val="21"/>
        </w:rPr>
        <w:t>(b)</w:t>
      </w:r>
      <w:r>
        <w:tab/>
      </w:r>
      <w:r>
        <w:rPr>
          <w:rFonts w:ascii="Calibri" w:hAnsi="Calibri"/>
          <w:color w:val="1A202C"/>
          <w:sz w:val="21"/>
        </w:rPr>
        <w:t>commits serious misconduct or gross negligence;</w:t>
      </w:r>
    </w:p>
    <w:p>
      <w:pPr>
        <w:tabs>
          <w:tab w:pos="1224" w:val="left"/>
        </w:tabs>
        <w:spacing w:before="0" w:after="60" w:line="269" w:lineRule="auto"/>
        <w:ind w:left="1224" w:hanging="475"/>
      </w:pPr>
      <w:r>
        <w:rPr>
          <w:rFonts w:ascii="Calibri" w:hAnsi="Calibri"/>
          <w:color w:val="0259A0"/>
          <w:sz w:val="21"/>
        </w:rPr>
        <w:t>(c)</w:t>
      </w:r>
      <w:r>
        <w:tab/>
      </w:r>
      <w:r>
        <w:rPr>
          <w:rFonts w:ascii="Calibri" w:hAnsi="Calibri"/>
          <w:color w:val="1A202C"/>
          <w:sz w:val="21"/>
        </w:rPr>
        <w:t>commits a material breach of confidentiality;</w:t>
      </w:r>
    </w:p>
    <w:p>
      <w:pPr>
        <w:tabs>
          <w:tab w:pos="1224" w:val="left"/>
        </w:tabs>
        <w:spacing w:before="0" w:after="60" w:line="269" w:lineRule="auto"/>
        <w:ind w:left="1224" w:hanging="475"/>
      </w:pPr>
      <w:r>
        <w:rPr>
          <w:rFonts w:ascii="Calibri" w:hAnsi="Calibri"/>
          <w:color w:val="0259A0"/>
          <w:sz w:val="21"/>
        </w:rPr>
        <w:t>(d)</w:t>
      </w:r>
      <w:r>
        <w:tab/>
      </w:r>
      <w:r>
        <w:rPr>
          <w:rFonts w:ascii="Calibri" w:hAnsi="Calibri"/>
          <w:color w:val="1A202C"/>
          <w:sz w:val="21"/>
        </w:rPr>
        <w:t>has an undisclosed or unresolved conflict of interest;</w:t>
      </w:r>
    </w:p>
    <w:p>
      <w:pPr>
        <w:tabs>
          <w:tab w:pos="1224" w:val="left"/>
        </w:tabs>
        <w:spacing w:before="0" w:after="60" w:line="269" w:lineRule="auto"/>
        <w:ind w:left="1224" w:hanging="475"/>
      </w:pPr>
      <w:r>
        <w:rPr>
          <w:rFonts w:ascii="Calibri" w:hAnsi="Calibri"/>
          <w:color w:val="0259A0"/>
          <w:sz w:val="21"/>
        </w:rPr>
        <w:t>(e)</w:t>
      </w:r>
      <w:r>
        <w:tab/>
      </w:r>
      <w:r>
        <w:rPr>
          <w:rFonts w:ascii="Calibri" w:hAnsi="Calibri"/>
          <w:color w:val="1A202C"/>
          <w:sz w:val="21"/>
        </w:rPr>
        <w:t>competes with the Company or breaches Clauses 16 or 17;</w:t>
      </w:r>
    </w:p>
    <w:p>
      <w:pPr>
        <w:tabs>
          <w:tab w:pos="1224" w:val="left"/>
        </w:tabs>
        <w:spacing w:before="0" w:after="60" w:line="269" w:lineRule="auto"/>
        <w:ind w:left="1224" w:hanging="475"/>
      </w:pPr>
      <w:r>
        <w:rPr>
          <w:rFonts w:ascii="Calibri" w:hAnsi="Calibri"/>
          <w:color w:val="0259A0"/>
          <w:sz w:val="21"/>
        </w:rPr>
        <w:t>(f)</w:t>
      </w:r>
      <w:r>
        <w:tab/>
      </w:r>
      <w:r>
        <w:rPr>
          <w:rFonts w:ascii="Calibri" w:hAnsi="Calibri"/>
          <w:color w:val="1A202C"/>
          <w:sz w:val="21"/>
        </w:rPr>
        <w:t>is convicted of, or engages in, any criminal conduct relevant to the engagement; or</w:t>
      </w:r>
    </w:p>
    <w:p>
      <w:pPr>
        <w:tabs>
          <w:tab w:pos="1224" w:val="left"/>
        </w:tabs>
        <w:spacing w:before="0" w:after="60" w:line="269" w:lineRule="auto"/>
        <w:ind w:left="1224" w:hanging="475"/>
      </w:pPr>
      <w:r>
        <w:rPr>
          <w:rFonts w:ascii="Calibri" w:hAnsi="Calibri"/>
          <w:color w:val="0259A0"/>
          <w:sz w:val="21"/>
        </w:rPr>
        <w:t>(g)</w:t>
      </w:r>
      <w:r>
        <w:tab/>
      </w:r>
      <w:r>
        <w:rPr>
          <w:rFonts w:ascii="Calibri" w:hAnsi="Calibri"/>
          <w:color w:val="1A202C"/>
          <w:sz w:val="21"/>
        </w:rPr>
        <w:t>fails to meet the minimum KPIs after written notice and a reasonable opportunity to improve.</w:t>
      </w:r>
    </w:p>
    <w:p>
      <w:pPr>
        <w:tabs>
          <w:tab w:pos="605" w:val="left"/>
        </w:tabs>
        <w:spacing w:before="40" w:after="120" w:line="276" w:lineRule="auto"/>
        <w:ind w:left="605" w:hanging="605"/>
      </w:pPr>
      <w:r>
        <w:rPr>
          <w:rFonts w:ascii="Calibri" w:hAnsi="Calibri"/>
          <w:b/>
          <w:color w:val="0259A0"/>
          <w:sz w:val="21"/>
        </w:rPr>
        <w:t>21.5</w:t>
      </w:r>
      <w:r>
        <w:tab/>
      </w:r>
      <w:r>
        <w:rPr>
          <w:rFonts w:ascii="Calibri" w:hAnsi="Calibri"/>
          <w:color w:val="1A202C"/>
          <w:sz w:val="21"/>
        </w:rPr>
        <w:t>Save for cases of fraud, criminal conduct or other conduct justifying immediate termination, where the ground for termination is failure to meet minimum KPIs, the Company shall first give written notice specifying the shortfall and allow a reasonable period (of not less than thirty (30) days) to improve.</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22.</w:t>
      </w:r>
      <w:r>
        <w:tab/>
      </w:r>
      <w:r>
        <w:rPr>
          <w:rFonts w:ascii="Calibri" w:hAnsi="Calibri"/>
          <w:b/>
          <w:color w:val="064B84"/>
          <w:sz w:val="26"/>
        </w:rPr>
        <w:t>GOOD LEAVER AND BAD LEAVER</w:t>
      </w:r>
    </w:p>
    <w:p>
      <w:pPr>
        <w:tabs>
          <w:tab w:pos="605" w:val="left"/>
        </w:tabs>
        <w:spacing w:before="40" w:after="120" w:line="276" w:lineRule="auto"/>
        <w:ind w:left="605" w:hanging="605"/>
      </w:pPr>
      <w:r>
        <w:rPr>
          <w:rFonts w:ascii="Calibri" w:hAnsi="Calibri"/>
          <w:b/>
          <w:color w:val="0259A0"/>
          <w:sz w:val="21"/>
        </w:rPr>
        <w:t>22.1</w:t>
      </w:r>
      <w:r>
        <w:tab/>
      </w:r>
      <w:r>
        <w:rPr>
          <w:rFonts w:ascii="Calibri" w:hAnsi="Calibri"/>
          <w:color w:val="1A202C"/>
          <w:sz w:val="21"/>
        </w:rPr>
        <w:t>“Good Leaver” means an Executive whose engagement ends by reason of expiry of the Term, termination without cause, mutual agreement, death, or permanent incapacity, and who is not at the time of departure in material breach of this Agreement.</w:t>
      </w:r>
    </w:p>
    <w:p>
      <w:pPr>
        <w:tabs>
          <w:tab w:pos="605" w:val="left"/>
        </w:tabs>
        <w:spacing w:before="40" w:after="120" w:line="276" w:lineRule="auto"/>
        <w:ind w:left="605" w:hanging="605"/>
      </w:pPr>
      <w:r>
        <w:rPr>
          <w:rFonts w:ascii="Calibri" w:hAnsi="Calibri"/>
          <w:b/>
          <w:color w:val="0259A0"/>
          <w:sz w:val="21"/>
        </w:rPr>
        <w:t>22.2</w:t>
      </w:r>
      <w:r>
        <w:tab/>
      </w:r>
      <w:r>
        <w:rPr>
          <w:rFonts w:ascii="Calibri" w:hAnsi="Calibri"/>
          <w:color w:val="1A202C"/>
          <w:sz w:val="21"/>
        </w:rPr>
        <w:t>“Bad Leaver” means an Executive whose engagement is terminated for cause under Clause 21, or who at the time of departure is in material or persistent breach of this Agreement, including any conduct giving rise to clawback.</w:t>
      </w:r>
    </w:p>
    <w:p>
      <w:pPr>
        <w:tabs>
          <w:tab w:pos="605" w:val="left"/>
        </w:tabs>
        <w:spacing w:before="40" w:after="120" w:line="276" w:lineRule="auto"/>
        <w:ind w:left="605" w:hanging="605"/>
      </w:pPr>
      <w:r>
        <w:rPr>
          <w:rFonts w:ascii="Calibri" w:hAnsi="Calibri"/>
          <w:b/>
          <w:color w:val="0259A0"/>
          <w:sz w:val="21"/>
        </w:rPr>
        <w:t>22.3</w:t>
      </w:r>
      <w:r>
        <w:tab/>
      </w:r>
      <w:r>
        <w:rPr>
          <w:rFonts w:ascii="Calibri" w:hAnsi="Calibri"/>
          <w:color w:val="1A202C"/>
          <w:sz w:val="21"/>
        </w:rPr>
        <w:t>A Good Leaver shall remain entitled to any Revenue Share that has accrued and become payable in respect of Confirmed Transactions occurring up to the effective date of termination, subject to the ordinary reconciliation, deduction and clawback provisions of this Agreement.</w:t>
      </w:r>
    </w:p>
    <w:p>
      <w:pPr>
        <w:tabs>
          <w:tab w:pos="605" w:val="left"/>
        </w:tabs>
        <w:spacing w:before="40" w:after="120" w:line="276" w:lineRule="auto"/>
        <w:ind w:left="605" w:hanging="605"/>
      </w:pPr>
      <w:r>
        <w:rPr>
          <w:rFonts w:ascii="Calibri" w:hAnsi="Calibri"/>
          <w:b/>
          <w:color w:val="0259A0"/>
          <w:sz w:val="21"/>
        </w:rPr>
        <w:t>22.4</w:t>
      </w:r>
      <w:r>
        <w:tab/>
      </w:r>
      <w:r>
        <w:rPr>
          <w:rFonts w:ascii="Calibri" w:hAnsi="Calibri"/>
          <w:color w:val="1A202C"/>
          <w:sz w:val="21"/>
        </w:rPr>
        <w:t>A Bad Leaver shall forfeit any unpaid or unvested Revenue Share with effect from the date of the event giving rise to Bad Leaver status, and shall remain liable to repay amounts recoverable under Clause 18 (Clawback). For the avoidance of doubt, Revenue Share that has been validly earned in respect of untainted Confirmed Transactions shall be dealt with in accordance with applicable law.</w:t>
      </w:r>
    </w:p>
    <w:p>
      <w:pPr>
        <w:tabs>
          <w:tab w:pos="605" w:val="left"/>
        </w:tabs>
        <w:spacing w:before="40" w:after="120" w:line="276" w:lineRule="auto"/>
        <w:ind w:left="605" w:hanging="605"/>
      </w:pPr>
      <w:r>
        <w:rPr>
          <w:rFonts w:ascii="Calibri" w:hAnsi="Calibri"/>
          <w:b/>
          <w:color w:val="0259A0"/>
          <w:sz w:val="21"/>
        </w:rPr>
        <w:t>22.5</w:t>
      </w:r>
      <w:r>
        <w:tab/>
      </w:r>
      <w:r>
        <w:rPr>
          <w:rFonts w:ascii="Calibri" w:hAnsi="Calibri"/>
          <w:color w:val="1A202C"/>
          <w:sz w:val="21"/>
        </w:rPr>
        <w:t>In all cases, entitlement to any Revenue Share after termination is limited to Net Commission Revenue from Confirmed Transactions recorded by Poveon, and no entitlement arises in respect of transactions occurring after the effective date of termination.</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23.</w:t>
      </w:r>
      <w:r>
        <w:tab/>
      </w:r>
      <w:r>
        <w:rPr>
          <w:rFonts w:ascii="Calibri" w:hAnsi="Calibri"/>
          <w:b/>
          <w:color w:val="064B84"/>
          <w:sz w:val="26"/>
        </w:rPr>
        <w:t>POST-TERMINATION RIGHTS AND SURVIVAL</w:t>
      </w:r>
    </w:p>
    <w:p>
      <w:pPr>
        <w:tabs>
          <w:tab w:pos="605" w:val="left"/>
        </w:tabs>
        <w:spacing w:before="40" w:after="120" w:line="276" w:lineRule="auto"/>
        <w:ind w:left="605" w:hanging="605"/>
      </w:pPr>
      <w:r>
        <w:rPr>
          <w:rFonts w:ascii="Calibri" w:hAnsi="Calibri"/>
          <w:b/>
          <w:color w:val="0259A0"/>
          <w:sz w:val="21"/>
        </w:rPr>
        <w:t>23.1</w:t>
      </w:r>
      <w:r>
        <w:tab/>
      </w:r>
      <w:r>
        <w:rPr>
          <w:rFonts w:ascii="Calibri" w:hAnsi="Calibri"/>
          <w:color w:val="1A202C"/>
          <w:sz w:val="21"/>
        </w:rPr>
        <w:t>On termination, the Executive shall immediately cease to hold out as an officer of the Company, return all Company property and Confidential Information, and cease all use of the Company’s Intellectual Property and branding.</w:t>
      </w:r>
    </w:p>
    <w:p>
      <w:pPr>
        <w:tabs>
          <w:tab w:pos="605" w:val="left"/>
        </w:tabs>
        <w:spacing w:before="40" w:after="120" w:line="276" w:lineRule="auto"/>
        <w:ind w:left="605" w:hanging="605"/>
      </w:pPr>
      <w:r>
        <w:rPr>
          <w:rFonts w:ascii="Calibri" w:hAnsi="Calibri"/>
          <w:b/>
          <w:color w:val="0259A0"/>
          <w:sz w:val="21"/>
        </w:rPr>
        <w:t>23.2</w:t>
      </w:r>
      <w:r>
        <w:tab/>
      </w:r>
      <w:r>
        <w:rPr>
          <w:rFonts w:ascii="Calibri" w:hAnsi="Calibri"/>
          <w:color w:val="1A202C"/>
          <w:sz w:val="21"/>
        </w:rPr>
        <w:t>Termination shall not affect any accrued rights or liabilities of either Party as at the date of termination.</w:t>
      </w:r>
    </w:p>
    <w:p>
      <w:pPr>
        <w:tabs>
          <w:tab w:pos="605" w:val="left"/>
        </w:tabs>
        <w:spacing w:before="40" w:after="120" w:line="276" w:lineRule="auto"/>
        <w:ind w:left="605" w:hanging="605"/>
      </w:pPr>
      <w:r>
        <w:rPr>
          <w:rFonts w:ascii="Calibri" w:hAnsi="Calibri"/>
          <w:b/>
          <w:color w:val="0259A0"/>
          <w:sz w:val="21"/>
        </w:rPr>
        <w:t>23.3</w:t>
      </w:r>
      <w:r>
        <w:tab/>
      </w:r>
      <w:r>
        <w:rPr>
          <w:rFonts w:ascii="Calibri" w:hAnsi="Calibri"/>
          <w:color w:val="1A202C"/>
          <w:sz w:val="21"/>
        </w:rPr>
        <w:t>The following Clauses shall survive termination of this Agreement: Clause 1 (Definitions), Clause 15 (Confidentiality, IP and Ownership), Clause 16 (Conflict of Interest), Clause 17 (Non-Circumvention and Non-Solicitation), Clause 18 (Clawback), Clause 22 (Good Leaver and Bad Leaver), this Clause 23, Clause 28 (Notices), Clause 31 (Governing Law) and Clause 32 (Dispute Resolution), together with any other provision intended by its nature to survive.</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24.</w:t>
      </w:r>
      <w:r>
        <w:tab/>
      </w:r>
      <w:r>
        <w:rPr>
          <w:rFonts w:ascii="Calibri" w:hAnsi="Calibri"/>
          <w:b/>
          <w:color w:val="064B84"/>
          <w:sz w:val="26"/>
        </w:rPr>
        <w:t>FORCE MAJEURE</w:t>
      </w:r>
    </w:p>
    <w:p>
      <w:pPr>
        <w:tabs>
          <w:tab w:pos="605" w:val="left"/>
        </w:tabs>
        <w:spacing w:before="40" w:after="120" w:line="276" w:lineRule="auto"/>
        <w:ind w:left="605" w:hanging="605"/>
      </w:pPr>
      <w:r>
        <w:rPr>
          <w:rFonts w:ascii="Calibri" w:hAnsi="Calibri"/>
          <w:b/>
          <w:color w:val="0259A0"/>
          <w:sz w:val="21"/>
        </w:rPr>
        <w:t>24.1</w:t>
      </w:r>
      <w:r>
        <w:tab/>
      </w:r>
      <w:r>
        <w:rPr>
          <w:rFonts w:ascii="Calibri" w:hAnsi="Calibri"/>
          <w:color w:val="1A202C"/>
          <w:sz w:val="21"/>
        </w:rPr>
        <w:t>Neither Party shall be liable for any failure or delay in performing its obligations (other than payment obligations already accrued) to the extent caused by events beyond its reasonable control, including acts of God, epidemic or pandemic, war, civil unrest, governmental action, failure of telecommunications or banking infrastructure, or power failure.</w:t>
      </w:r>
    </w:p>
    <w:p>
      <w:pPr>
        <w:tabs>
          <w:tab w:pos="605" w:val="left"/>
        </w:tabs>
        <w:spacing w:before="40" w:after="120" w:line="276" w:lineRule="auto"/>
        <w:ind w:left="605" w:hanging="605"/>
      </w:pPr>
      <w:r>
        <w:rPr>
          <w:rFonts w:ascii="Calibri" w:hAnsi="Calibri"/>
          <w:b/>
          <w:color w:val="0259A0"/>
          <w:sz w:val="21"/>
        </w:rPr>
        <w:t>24.2</w:t>
      </w:r>
      <w:r>
        <w:tab/>
      </w:r>
      <w:r>
        <w:rPr>
          <w:rFonts w:ascii="Calibri" w:hAnsi="Calibri"/>
          <w:color w:val="1A202C"/>
          <w:sz w:val="21"/>
        </w:rPr>
        <w:t>The affected Party shall notify the other promptly and use reasonable endeavours to mitigate the effects of the event. If the event continues for more than sixty (60) days, either Party may terminate this Agreement on written notice.</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25.</w:t>
      </w:r>
      <w:r>
        <w:tab/>
      </w:r>
      <w:r>
        <w:rPr>
          <w:rFonts w:ascii="Calibri" w:hAnsi="Calibri"/>
          <w:b/>
          <w:color w:val="064B84"/>
          <w:sz w:val="26"/>
        </w:rPr>
        <w:t>ASSIGNMENT</w:t>
      </w:r>
    </w:p>
    <w:p>
      <w:pPr>
        <w:tabs>
          <w:tab w:pos="605" w:val="left"/>
        </w:tabs>
        <w:spacing w:before="40" w:after="120" w:line="276" w:lineRule="auto"/>
        <w:ind w:left="605" w:hanging="605"/>
      </w:pPr>
      <w:r>
        <w:rPr>
          <w:rFonts w:ascii="Calibri" w:hAnsi="Calibri"/>
          <w:b/>
          <w:color w:val="0259A0"/>
          <w:sz w:val="21"/>
        </w:rPr>
        <w:t>25.1</w:t>
      </w:r>
      <w:r>
        <w:tab/>
      </w:r>
      <w:r>
        <w:rPr>
          <w:rFonts w:ascii="Calibri" w:hAnsi="Calibri"/>
          <w:color w:val="1A202C"/>
          <w:sz w:val="21"/>
        </w:rPr>
        <w:t>This Agreement is personal to the Executive. The Executive shall not assign, transfer, sub-contract or otherwise deal with any of the Executive’s rights or obligations under this Agreement without the Company’s prior written consent.</w:t>
      </w:r>
    </w:p>
    <w:p>
      <w:pPr>
        <w:tabs>
          <w:tab w:pos="605" w:val="left"/>
        </w:tabs>
        <w:spacing w:before="40" w:after="120" w:line="276" w:lineRule="auto"/>
        <w:ind w:left="605" w:hanging="605"/>
      </w:pPr>
      <w:r>
        <w:rPr>
          <w:rFonts w:ascii="Calibri" w:hAnsi="Calibri"/>
          <w:b/>
          <w:color w:val="0259A0"/>
          <w:sz w:val="21"/>
        </w:rPr>
        <w:t>25.2</w:t>
      </w:r>
      <w:r>
        <w:tab/>
      </w:r>
      <w:r>
        <w:rPr>
          <w:rFonts w:ascii="Calibri" w:hAnsi="Calibri"/>
          <w:color w:val="1A202C"/>
          <w:sz w:val="21"/>
        </w:rPr>
        <w:t>The Company may assign or transfer its rights and obligations under this Agreement to any successor, affiliate or acquirer of its business, on written notice to the Executive.</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26.</w:t>
      </w:r>
      <w:r>
        <w:tab/>
      </w:r>
      <w:r>
        <w:rPr>
          <w:rFonts w:ascii="Calibri" w:hAnsi="Calibri"/>
          <w:b/>
          <w:color w:val="064B84"/>
          <w:sz w:val="26"/>
        </w:rPr>
        <w:t>ENTIRE AGREEMENT, VARIATION AND WAIVER</w:t>
      </w:r>
    </w:p>
    <w:p>
      <w:pPr>
        <w:tabs>
          <w:tab w:pos="605" w:val="left"/>
        </w:tabs>
        <w:spacing w:before="40" w:after="120" w:line="276" w:lineRule="auto"/>
        <w:ind w:left="605" w:hanging="605"/>
      </w:pPr>
      <w:r>
        <w:rPr>
          <w:rFonts w:ascii="Calibri" w:hAnsi="Calibri"/>
          <w:b/>
          <w:color w:val="0259A0"/>
          <w:sz w:val="21"/>
        </w:rPr>
        <w:t>26.1</w:t>
      </w:r>
      <w:r>
        <w:tab/>
      </w:r>
      <w:r>
        <w:rPr>
          <w:rFonts w:ascii="Calibri" w:hAnsi="Calibri"/>
          <w:color w:val="1A202C"/>
          <w:sz w:val="21"/>
        </w:rPr>
        <w:t>This Agreement, together with its Schedules and Appendices, constitutes the entire agreement between the Parties and supersedes all prior discussions, understandings and arrangements relating to its subject matter.</w:t>
      </w:r>
    </w:p>
    <w:p>
      <w:pPr>
        <w:tabs>
          <w:tab w:pos="605" w:val="left"/>
        </w:tabs>
        <w:spacing w:before="40" w:after="120" w:line="276" w:lineRule="auto"/>
        <w:ind w:left="605" w:hanging="605"/>
      </w:pPr>
      <w:r>
        <w:rPr>
          <w:rFonts w:ascii="Calibri" w:hAnsi="Calibri"/>
          <w:b/>
          <w:color w:val="0259A0"/>
          <w:sz w:val="21"/>
        </w:rPr>
        <w:t>26.2</w:t>
      </w:r>
      <w:r>
        <w:tab/>
      </w:r>
      <w:r>
        <w:rPr>
          <w:rFonts w:ascii="Calibri" w:hAnsi="Calibri"/>
          <w:color w:val="1A202C"/>
          <w:sz w:val="21"/>
        </w:rPr>
        <w:t>No variation of this Agreement shall be effective unless it is in writing and signed by, or on behalf of, each of the Parties.</w:t>
      </w:r>
    </w:p>
    <w:p>
      <w:pPr>
        <w:tabs>
          <w:tab w:pos="605" w:val="left"/>
        </w:tabs>
        <w:spacing w:before="40" w:after="120" w:line="276" w:lineRule="auto"/>
        <w:ind w:left="605" w:hanging="605"/>
      </w:pPr>
      <w:r>
        <w:rPr>
          <w:rFonts w:ascii="Calibri" w:hAnsi="Calibri"/>
          <w:b/>
          <w:color w:val="0259A0"/>
          <w:sz w:val="21"/>
        </w:rPr>
        <w:t>26.3</w:t>
      </w:r>
      <w:r>
        <w:tab/>
      </w:r>
      <w:r>
        <w:rPr>
          <w:rFonts w:ascii="Calibri" w:hAnsi="Calibri"/>
          <w:color w:val="1A202C"/>
          <w:sz w:val="21"/>
        </w:rPr>
        <w:t>No failure or delay by a Party to exercise any right or remedy shall constitute a waiver of that or any other right or remedy, nor shall any single or partial exercise preclude any further exercise.</w:t>
      </w:r>
    </w:p>
    <w:p>
      <w:pPr>
        <w:tabs>
          <w:tab w:pos="605" w:val="left"/>
        </w:tabs>
        <w:spacing w:before="40" w:after="120" w:line="276" w:lineRule="auto"/>
        <w:ind w:left="605" w:hanging="605"/>
      </w:pPr>
      <w:r>
        <w:rPr>
          <w:rFonts w:ascii="Calibri" w:hAnsi="Calibri"/>
          <w:b/>
          <w:color w:val="0259A0"/>
          <w:sz w:val="21"/>
        </w:rPr>
        <w:t>26.4</w:t>
      </w:r>
      <w:r>
        <w:tab/>
      </w:r>
      <w:r>
        <w:rPr>
          <w:rFonts w:ascii="Calibri" w:hAnsi="Calibri"/>
          <w:color w:val="1A202C"/>
          <w:sz w:val="21"/>
        </w:rPr>
        <w:t>Each Party acknowledges that, in entering into this Agreement, it does not rely on any statement, representation or warranty not expressly set out in this Agreement.</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27.</w:t>
      </w:r>
      <w:r>
        <w:tab/>
      </w:r>
      <w:r>
        <w:rPr>
          <w:rFonts w:ascii="Calibri" w:hAnsi="Calibri"/>
          <w:b/>
          <w:color w:val="064B84"/>
          <w:sz w:val="26"/>
        </w:rPr>
        <w:t>NOTICES</w:t>
      </w:r>
    </w:p>
    <w:p>
      <w:pPr>
        <w:tabs>
          <w:tab w:pos="605" w:val="left"/>
        </w:tabs>
        <w:spacing w:before="40" w:after="120" w:line="276" w:lineRule="auto"/>
        <w:ind w:left="605" w:hanging="605"/>
      </w:pPr>
      <w:r>
        <w:rPr>
          <w:rFonts w:ascii="Calibri" w:hAnsi="Calibri"/>
          <w:b/>
          <w:color w:val="0259A0"/>
          <w:sz w:val="21"/>
        </w:rPr>
        <w:t>27.1</w:t>
      </w:r>
      <w:r>
        <w:tab/>
      </w:r>
      <w:r>
        <w:rPr>
          <w:rFonts w:ascii="Calibri" w:hAnsi="Calibri"/>
          <w:color w:val="1A202C"/>
          <w:sz w:val="21"/>
        </w:rPr>
        <w:t>Any notice under this Agreement shall be in writing and shall be delivered by hand, by courier, or by email to the address or email address notified by the relevant Party from time to time.</w:t>
      </w:r>
    </w:p>
    <w:p>
      <w:pPr>
        <w:tabs>
          <w:tab w:pos="605" w:val="left"/>
        </w:tabs>
        <w:spacing w:before="40" w:after="120" w:line="276" w:lineRule="auto"/>
        <w:ind w:left="605" w:hanging="605"/>
      </w:pPr>
      <w:r>
        <w:rPr>
          <w:rFonts w:ascii="Calibri" w:hAnsi="Calibri"/>
          <w:b/>
          <w:color w:val="0259A0"/>
          <w:sz w:val="21"/>
        </w:rPr>
        <w:t>27.2</w:t>
      </w:r>
      <w:r>
        <w:tab/>
      </w:r>
      <w:r>
        <w:rPr>
          <w:rFonts w:ascii="Calibri" w:hAnsi="Calibri"/>
          <w:color w:val="1A202C"/>
          <w:sz w:val="21"/>
        </w:rPr>
        <w:t>A notice is deemed received: if delivered by hand or courier, at the time of delivery; and if sent by email, at the time of transmission, provided no delivery-failure message is received, and subject to a notice received outside business hours being deemed received at the start of the next Business Day.</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28.</w:t>
      </w:r>
      <w:r>
        <w:tab/>
      </w:r>
      <w:r>
        <w:rPr>
          <w:rFonts w:ascii="Calibri" w:hAnsi="Calibri"/>
          <w:b/>
          <w:color w:val="064B84"/>
          <w:sz w:val="26"/>
        </w:rPr>
        <w:t>SEVERABILITY</w:t>
      </w:r>
    </w:p>
    <w:p>
      <w:pPr>
        <w:tabs>
          <w:tab w:pos="605" w:val="left"/>
        </w:tabs>
        <w:spacing w:before="40" w:after="120" w:line="276" w:lineRule="auto"/>
        <w:ind w:left="605" w:hanging="605"/>
      </w:pPr>
      <w:r>
        <w:rPr>
          <w:rFonts w:ascii="Calibri" w:hAnsi="Calibri"/>
          <w:b/>
          <w:color w:val="0259A0"/>
          <w:sz w:val="21"/>
        </w:rPr>
        <w:t>28.1</w:t>
      </w:r>
      <w:r>
        <w:tab/>
      </w:r>
      <w:r>
        <w:rPr>
          <w:rFonts w:ascii="Calibri" w:hAnsi="Calibri"/>
          <w:color w:val="1A202C"/>
          <w:sz w:val="21"/>
        </w:rPr>
        <w:t>If any provision of this Agreement is or becomes invalid, illegal or unenforceable, it shall be deemed modified to the minimum extent necessary to make it valid, legal and enforceable. If such modification is not possible, the relevant provision shall be deemed deleted.</w:t>
      </w:r>
    </w:p>
    <w:p>
      <w:pPr>
        <w:tabs>
          <w:tab w:pos="605" w:val="left"/>
        </w:tabs>
        <w:spacing w:before="40" w:after="120" w:line="276" w:lineRule="auto"/>
        <w:ind w:left="605" w:hanging="605"/>
      </w:pPr>
      <w:r>
        <w:rPr>
          <w:rFonts w:ascii="Calibri" w:hAnsi="Calibri"/>
          <w:b/>
          <w:color w:val="0259A0"/>
          <w:sz w:val="21"/>
        </w:rPr>
        <w:t>28.2</w:t>
      </w:r>
      <w:r>
        <w:tab/>
      </w:r>
      <w:r>
        <w:rPr>
          <w:rFonts w:ascii="Calibri" w:hAnsi="Calibri"/>
          <w:color w:val="1A202C"/>
          <w:sz w:val="21"/>
        </w:rPr>
        <w:t>Any modification to or deletion of a provision under this Clause shall not affect the validity and enforceability of the rest of this Agreement.</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29.</w:t>
      </w:r>
      <w:r>
        <w:tab/>
      </w:r>
      <w:r>
        <w:rPr>
          <w:rFonts w:ascii="Calibri" w:hAnsi="Calibri"/>
          <w:b/>
          <w:color w:val="064B84"/>
          <w:sz w:val="26"/>
        </w:rPr>
        <w:t>GOVERNING LAW</w:t>
      </w:r>
    </w:p>
    <w:p>
      <w:pPr>
        <w:tabs>
          <w:tab w:pos="605" w:val="left"/>
        </w:tabs>
        <w:spacing w:before="40" w:after="120" w:line="276" w:lineRule="auto"/>
        <w:ind w:left="605" w:hanging="605"/>
      </w:pPr>
      <w:r>
        <w:rPr>
          <w:rFonts w:ascii="Calibri" w:hAnsi="Calibri"/>
          <w:b/>
          <w:color w:val="0259A0"/>
          <w:sz w:val="21"/>
        </w:rPr>
        <w:t>29.1</w:t>
      </w:r>
      <w:r>
        <w:tab/>
      </w:r>
      <w:r>
        <w:rPr>
          <w:rFonts w:ascii="Calibri" w:hAnsi="Calibri"/>
          <w:color w:val="1A202C"/>
          <w:sz w:val="21"/>
        </w:rPr>
        <w:t>This Agreement and any dispute or claim arising out of or in connection with it or its subject matter or formation (including non-contractual disputes or claims) shall be governed by and construed in accordance with the laws of the Federal Republic of Nigeria.</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30.</w:t>
      </w:r>
      <w:r>
        <w:tab/>
      </w:r>
      <w:r>
        <w:rPr>
          <w:rFonts w:ascii="Calibri" w:hAnsi="Calibri"/>
          <w:b/>
          <w:color w:val="064B84"/>
          <w:sz w:val="26"/>
        </w:rPr>
        <w:t>DISPUTE RESOLUTION AND ARBITRATION</w:t>
      </w:r>
    </w:p>
    <w:p>
      <w:pPr>
        <w:tabs>
          <w:tab w:pos="605" w:val="left"/>
        </w:tabs>
        <w:spacing w:before="40" w:after="120" w:line="276" w:lineRule="auto"/>
        <w:ind w:left="605" w:hanging="605"/>
      </w:pPr>
      <w:r>
        <w:rPr>
          <w:rFonts w:ascii="Calibri" w:hAnsi="Calibri"/>
          <w:b/>
          <w:color w:val="0259A0"/>
          <w:sz w:val="21"/>
        </w:rPr>
        <w:t>30.1</w:t>
      </w:r>
      <w:r>
        <w:tab/>
      </w:r>
      <w:r>
        <w:rPr>
          <w:rFonts w:ascii="Calibri" w:hAnsi="Calibri"/>
          <w:color w:val="1A202C"/>
          <w:sz w:val="21"/>
        </w:rPr>
        <w:t>The Parties shall first attempt to resolve any dispute arising out of or in connection with this Agreement amicably through good-faith negotiation between senior representatives within thirty (30) days of written notice of the dispute.</w:t>
      </w:r>
    </w:p>
    <w:p>
      <w:pPr>
        <w:tabs>
          <w:tab w:pos="605" w:val="left"/>
        </w:tabs>
        <w:spacing w:before="40" w:after="120" w:line="276" w:lineRule="auto"/>
        <w:ind w:left="605" w:hanging="605"/>
      </w:pPr>
      <w:r>
        <w:rPr>
          <w:rFonts w:ascii="Calibri" w:hAnsi="Calibri"/>
          <w:b/>
          <w:color w:val="0259A0"/>
          <w:sz w:val="21"/>
        </w:rPr>
        <w:t>30.2</w:t>
      </w:r>
      <w:r>
        <w:tab/>
      </w:r>
      <w:r>
        <w:rPr>
          <w:rFonts w:ascii="Calibri" w:hAnsi="Calibri"/>
          <w:color w:val="1A202C"/>
          <w:sz w:val="21"/>
        </w:rPr>
        <w:t>If the dispute is not resolved through negotiation, it shall be referred to and finally resolved by arbitration in accordance with the Arbitration and Mediation Act 2023 of the Federal Republic of Nigeria.</w:t>
      </w:r>
    </w:p>
    <w:p>
      <w:pPr>
        <w:tabs>
          <w:tab w:pos="605" w:val="left"/>
        </w:tabs>
        <w:spacing w:before="40" w:after="120" w:line="276" w:lineRule="auto"/>
        <w:ind w:left="605" w:hanging="605"/>
      </w:pPr>
      <w:r>
        <w:rPr>
          <w:rFonts w:ascii="Calibri" w:hAnsi="Calibri"/>
          <w:b/>
          <w:color w:val="0259A0"/>
          <w:sz w:val="21"/>
        </w:rPr>
        <w:t>30.3</w:t>
      </w:r>
      <w:r>
        <w:tab/>
      </w:r>
      <w:r>
        <w:rPr>
          <w:rFonts w:ascii="Calibri" w:hAnsi="Calibri"/>
          <w:color w:val="1A202C"/>
          <w:sz w:val="21"/>
        </w:rPr>
        <w:t>The seat of arbitration shall be Lagos, Nigeria; the tribunal shall consist of a single arbitrator appointed by agreement of the Parties or, failing agreement, by the appropriate appointing authority under that Act; and the language of the arbitration shall be English. The arbitral award shall be final and binding on the Parties.</w:t>
      </w:r>
    </w:p>
    <w:p>
      <w:pPr>
        <w:tabs>
          <w:tab w:pos="605" w:val="left"/>
        </w:tabs>
        <w:spacing w:before="40" w:after="120" w:line="276" w:lineRule="auto"/>
        <w:ind w:left="605" w:hanging="605"/>
      </w:pPr>
      <w:r>
        <w:rPr>
          <w:rFonts w:ascii="Calibri" w:hAnsi="Calibri"/>
          <w:b/>
          <w:color w:val="0259A0"/>
          <w:sz w:val="21"/>
        </w:rPr>
        <w:t>30.4</w:t>
      </w:r>
      <w:r>
        <w:tab/>
      </w:r>
      <w:r>
        <w:rPr>
          <w:rFonts w:ascii="Calibri" w:hAnsi="Calibri"/>
          <w:color w:val="1A202C"/>
          <w:sz w:val="21"/>
        </w:rPr>
        <w:t>Nothing in this Clause prevents either Party from seeking urgent interim or injunctive relief from a court of competent jurisdiction, including to protect Confidential Information or Intellectual Property.</w:t>
      </w:r>
    </w:p>
    <w:p>
      <w:pPr>
        <w:pStyle w:val="Heading1"/>
        <w:keepNext/>
        <w:pBdr>
          <w:bottom w:val="single" w:sz="4" w:space="2" w:color="059669"/>
        </w:pBdr>
        <w:tabs>
          <w:tab w:pos="605" w:val="left"/>
        </w:tabs>
        <w:spacing w:before="320" w:after="120"/>
        <w:ind w:left="605" w:hanging="605"/>
      </w:pPr>
      <w:r>
        <w:rPr>
          <w:rFonts w:ascii="Calibri" w:hAnsi="Calibri"/>
          <w:b/>
          <w:color w:val="064B84"/>
          <w:sz w:val="26"/>
        </w:rPr>
        <w:t>31.</w:t>
      </w:r>
      <w:r>
        <w:tab/>
      </w:r>
      <w:r>
        <w:rPr>
          <w:rFonts w:ascii="Calibri" w:hAnsi="Calibri"/>
          <w:b/>
          <w:color w:val="064B84"/>
          <w:sz w:val="26"/>
        </w:rPr>
        <w:t>COUNTERPARTS, ELECTRONIC SIGNATURES AND GENERAL</w:t>
      </w:r>
    </w:p>
    <w:p>
      <w:pPr>
        <w:tabs>
          <w:tab w:pos="605" w:val="left"/>
        </w:tabs>
        <w:spacing w:before="40" w:after="120" w:line="276" w:lineRule="auto"/>
        <w:ind w:left="605" w:hanging="605"/>
      </w:pPr>
      <w:r>
        <w:rPr>
          <w:rFonts w:ascii="Calibri" w:hAnsi="Calibri"/>
          <w:b/>
          <w:color w:val="0259A0"/>
          <w:sz w:val="21"/>
        </w:rPr>
        <w:t>31.1</w:t>
      </w:r>
      <w:r>
        <w:tab/>
      </w:r>
      <w:r>
        <w:rPr>
          <w:rFonts w:ascii="Calibri" w:hAnsi="Calibri"/>
          <w:color w:val="1A202C"/>
          <w:sz w:val="21"/>
        </w:rPr>
        <w:t>This Agreement may be executed in any number of counterparts, each of which when executed and delivered shall constitute an original, and all of which together shall constitute one and the same instrument.</w:t>
      </w:r>
    </w:p>
    <w:p>
      <w:pPr>
        <w:tabs>
          <w:tab w:pos="605" w:val="left"/>
        </w:tabs>
        <w:spacing w:before="40" w:after="120" w:line="276" w:lineRule="auto"/>
        <w:ind w:left="605" w:hanging="605"/>
      </w:pPr>
      <w:r>
        <w:rPr>
          <w:rFonts w:ascii="Calibri" w:hAnsi="Calibri"/>
          <w:b/>
          <w:color w:val="0259A0"/>
          <w:sz w:val="21"/>
        </w:rPr>
        <w:t>31.2</w:t>
      </w:r>
      <w:r>
        <w:tab/>
      </w:r>
      <w:r>
        <w:rPr>
          <w:rFonts w:ascii="Calibri" w:hAnsi="Calibri"/>
          <w:color w:val="1A202C"/>
          <w:sz w:val="21"/>
        </w:rPr>
        <w:t>The Parties agree that this Agreement may be signed electronically, and that electronic signatures shall be valid and binding to the fullest extent permitted by law, including the Evidence Act 2011 of the Federal Republic of Nigeria.</w:t>
      </w:r>
    </w:p>
    <w:p>
      <w:pPr>
        <w:tabs>
          <w:tab w:pos="605" w:val="left"/>
        </w:tabs>
        <w:spacing w:before="40" w:after="120" w:line="276" w:lineRule="auto"/>
        <w:ind w:left="605" w:hanging="605"/>
      </w:pPr>
      <w:r>
        <w:rPr>
          <w:rFonts w:ascii="Calibri" w:hAnsi="Calibri"/>
          <w:b/>
          <w:color w:val="0259A0"/>
          <w:sz w:val="21"/>
        </w:rPr>
        <w:t>31.3</w:t>
      </w:r>
      <w:r>
        <w:tab/>
      </w:r>
      <w:r>
        <w:rPr>
          <w:rFonts w:ascii="Calibri" w:hAnsi="Calibri"/>
          <w:color w:val="1A202C"/>
          <w:sz w:val="21"/>
        </w:rPr>
        <w:t>The Schedules and Appendices form part of this Agreement and shall have effect as if set out in full in the body of this Agreement.</w:t>
      </w:r>
    </w:p>
    <w:p>
      <w:pPr>
        <w:tabs>
          <w:tab w:pos="605" w:val="left"/>
        </w:tabs>
        <w:spacing w:before="40" w:after="120" w:line="276" w:lineRule="auto"/>
        <w:ind w:left="605" w:hanging="605"/>
      </w:pPr>
      <w:r>
        <w:rPr>
          <w:rFonts w:ascii="Calibri" w:hAnsi="Calibri"/>
          <w:b/>
          <w:color w:val="0259A0"/>
          <w:sz w:val="21"/>
        </w:rPr>
        <w:t>31.4</w:t>
      </w:r>
      <w:r>
        <w:tab/>
      </w:r>
      <w:r>
        <w:rPr>
          <w:rFonts w:ascii="Calibri" w:hAnsi="Calibri"/>
          <w:color w:val="1A202C"/>
          <w:sz w:val="21"/>
        </w:rPr>
        <w:t>Nothing in this Agreement is intended to confer any benefit on any third party, and no person other than the Parties shall have any right to enforce its terms.</w:t>
      </w:r>
    </w:p>
    <w:p>
      <w:r>
        <w:br w:type="page"/>
      </w:r>
    </w:p>
    <w:p>
      <w:pPr>
        <w:spacing w:before="0" w:after="40" w:line="276" w:lineRule="auto"/>
      </w:pPr>
      <w:r>
        <w:rPr>
          <w:rFonts w:ascii="Calibri" w:hAnsi="Calibri"/>
          <w:b/>
          <w:i w:val="0"/>
          <w:color w:val="064B84"/>
          <w:sz w:val="32"/>
        </w:rPr>
        <w:t>EXECUTION</w:t>
      </w:r>
    </w:p>
    <w:p>
      <w:pPr>
        <w:pBdr>
          <w:bottom w:val="single" w:sz="12" w:space="1" w:color="059669"/>
        </w:pBdr>
        <w:spacing w:after="200"/>
      </w:pPr>
    </w:p>
    <w:p>
      <w:pPr>
        <w:spacing w:before="0" w:after="280" w:line="276" w:lineRule="auto"/>
      </w:pPr>
      <w:r>
        <w:rPr>
          <w:rFonts w:ascii="Calibri" w:hAnsi="Calibri"/>
          <w:b w:val="0"/>
          <w:i/>
          <w:color w:val="555F6D"/>
          <w:sz w:val="21"/>
        </w:rPr>
        <w:t>IN WITNESS WHEREOF, the Parties have executed this Agreement as a deed with effect from the Effective Date first written above.</w:t>
      </w:r>
    </w:p>
    <w:p>
      <w:pPr>
        <w:spacing w:before="200" w:after="80"/>
      </w:pPr>
      <w:r>
        <w:rPr>
          <w:rFonts w:ascii="Calibri" w:hAnsi="Calibri"/>
          <w:b/>
          <w:color w:val="0259A0"/>
          <w:sz w:val="21"/>
          <w:spacing w:val="20"/>
        </w:rPr>
        <w:t>SIGNED FOR AND ON BEHALF OF POVEON LTD</w:t>
      </w:r>
    </w:p>
    <w:p>
      <w:pPr>
        <w:spacing w:after="120"/>
      </w:pPr>
      <w:r>
        <w:rPr>
          <w:rFonts w:ascii="Calibri" w:hAnsi="Calibri"/>
          <w:b/>
          <w:color w:val="064B84"/>
          <w:sz w:val="22"/>
        </w:rPr>
        <w:t>FOR POVEON LTD</w:t>
      </w:r>
    </w:p>
    <w:p>
      <w:pPr>
        <w:spacing w:after="40"/>
      </w:pPr>
      <w:r>
        <w:rPr>
          <w:rFonts w:ascii="Calibri" w:hAnsi="Calibri"/>
          <w:b/>
          <w:sz w:val="22"/>
        </w:rPr>
        <w:t>Dr. Manuwa Toluwalase</w:t>
      </w:r>
    </w:p>
    <w:p>
      <w:pPr>
        <w:spacing w:after="20"/>
      </w:pPr>
      <w:r>
        <w:rPr>
          <w:rFonts w:ascii="Calibri" w:hAnsi="Calibri"/>
          <w:i/>
          <w:color w:val="047857"/>
          <w:sz w:val="20"/>
        </w:rPr>
        <w:t>Founder &amp; Chief Executive Officer</w:t>
      </w:r>
    </w:p>
    <w:p>
      <w:pPr>
        <w:spacing w:before="0" w:after="160" w:line="276" w:lineRule="auto"/>
      </w:pPr>
    </w:p>
    <w:p>
      <w:pPr>
        <w:spacing w:after="200"/>
      </w:pPr>
      <w:r>
        <w:rPr>
          <w:rFonts w:ascii="Calibri" w:hAnsi="Calibri"/>
          <w:b/>
          <w:sz w:val="21"/>
        </w:rPr>
        <w:t xml:space="preserve">Signature:  </w:t>
      </w:r>
      <w:r>
        <w:rPr>
          <w:rFonts w:ascii="Calibri" w:hAnsi="Calibri"/>
          <w:sz w:val="21"/>
        </w:rPr>
        <w:t>_______________________________________</w:t>
      </w:r>
    </w:p>
    <w:p>
      <w:pPr>
        <w:spacing w:after="200"/>
      </w:pPr>
      <w:r>
        <w:rPr>
          <w:rFonts w:ascii="Calibri" w:hAnsi="Calibri"/>
          <w:b/>
          <w:sz w:val="21"/>
        </w:rPr>
        <w:t xml:space="preserve">Date:  </w:t>
      </w:r>
      <w:r>
        <w:rPr>
          <w:rFonts w:ascii="Calibri" w:hAnsi="Calibri"/>
          <w:sz w:val="21"/>
        </w:rPr>
        <w:t>_______________________________________</w:t>
      </w:r>
    </w:p>
    <w:p>
      <w:pPr>
        <w:pBdr>
          <w:bottom w:val="single" w:sz="6" w:space="1" w:color="BAD9F2"/>
        </w:pBdr>
        <w:spacing w:after="200"/>
      </w:pPr>
    </w:p>
    <w:p>
      <w:pPr>
        <w:spacing w:before="200" w:after="80"/>
      </w:pPr>
      <w:r>
        <w:rPr>
          <w:rFonts w:ascii="Calibri" w:hAnsi="Calibri"/>
          <w:b/>
          <w:color w:val="0259A0"/>
          <w:sz w:val="21"/>
          <w:spacing w:val="20"/>
        </w:rPr>
        <w:t>SIGNED BY THE EXECUTIVE</w:t>
      </w:r>
    </w:p>
    <w:p>
      <w:pPr>
        <w:spacing w:after="120"/>
      </w:pPr>
      <w:r>
        <w:rPr>
          <w:rFonts w:ascii="Calibri" w:hAnsi="Calibri"/>
          <w:b/>
          <w:color w:val="064B84"/>
          <w:sz w:val="22"/>
        </w:rPr>
        <w:t>THE EXECUTIVE</w:t>
      </w:r>
    </w:p>
    <w:p>
      <w:pPr>
        <w:spacing w:after="20"/>
      </w:pPr>
      <w:r>
        <w:rPr>
          <w:rFonts w:ascii="Calibri" w:hAnsi="Calibri"/>
          <w:i/>
          <w:color w:val="047857"/>
          <w:sz w:val="20"/>
        </w:rPr>
        <w:t>Chief Marketing Officer (CMO)</w:t>
      </w:r>
    </w:p>
    <w:p>
      <w:pPr>
        <w:spacing w:after="20"/>
      </w:pPr>
      <w:r>
        <w:rPr>
          <w:rFonts w:ascii="Calibri" w:hAnsi="Calibri"/>
          <w:i/>
          <w:color w:val="047857"/>
          <w:sz w:val="20"/>
        </w:rPr>
        <w:t>Chief Strategy Officer (CSO)</w:t>
      </w:r>
    </w:p>
    <w:p>
      <w:pPr>
        <w:spacing w:before="0" w:after="160" w:line="276" w:lineRule="auto"/>
      </w:pPr>
    </w:p>
    <w:p>
      <w:pPr>
        <w:spacing w:after="200"/>
      </w:pPr>
      <w:r>
        <w:rPr>
          <w:rFonts w:ascii="Calibri" w:hAnsi="Calibri"/>
          <w:b/>
          <w:sz w:val="21"/>
        </w:rPr>
        <w:t xml:space="preserve">Name:  </w:t>
      </w:r>
      <w:r>
        <w:rPr>
          <w:rFonts w:ascii="Calibri" w:hAnsi="Calibri"/>
          <w:sz w:val="21"/>
        </w:rPr>
        <w:t>_______________________________________</w:t>
      </w:r>
    </w:p>
    <w:p>
      <w:pPr>
        <w:spacing w:after="200"/>
      </w:pPr>
      <w:r>
        <w:rPr>
          <w:rFonts w:ascii="Calibri" w:hAnsi="Calibri"/>
          <w:b/>
          <w:sz w:val="21"/>
        </w:rPr>
        <w:t xml:space="preserve">Signature:  </w:t>
      </w:r>
      <w:r>
        <w:rPr>
          <w:rFonts w:ascii="Calibri" w:hAnsi="Calibri"/>
          <w:sz w:val="21"/>
        </w:rPr>
        <w:t>_______________________________________</w:t>
      </w:r>
    </w:p>
    <w:p>
      <w:pPr>
        <w:spacing w:after="200"/>
      </w:pPr>
      <w:r>
        <w:rPr>
          <w:rFonts w:ascii="Calibri" w:hAnsi="Calibri"/>
          <w:b/>
          <w:sz w:val="21"/>
        </w:rPr>
        <w:t xml:space="preserve">Date:  </w:t>
      </w:r>
      <w:r>
        <w:rPr>
          <w:rFonts w:ascii="Calibri" w:hAnsi="Calibri"/>
          <w:sz w:val="21"/>
        </w:rPr>
        <w:t>_______________________________________</w:t>
      </w:r>
    </w:p>
    <w:p>
      <w:pPr>
        <w:pBdr>
          <w:bottom w:val="single" w:sz="6" w:space="1" w:color="BAD9F2"/>
        </w:pBdr>
        <w:spacing w:after="200"/>
      </w:pPr>
    </w:p>
    <w:p>
      <w:pPr>
        <w:spacing w:before="200" w:after="80"/>
      </w:pPr>
      <w:r>
        <w:rPr>
          <w:rFonts w:ascii="Calibri" w:hAnsi="Calibri"/>
          <w:b/>
          <w:color w:val="0259A0"/>
          <w:sz w:val="21"/>
          <w:spacing w:val="20"/>
        </w:rPr>
        <w:t>WITNESSES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start w:w="120" w:type="dxa"/>
              <w:end w:w="180" w:type="dxa"/>
              <w:left w:w="120" w:type="dxa"/>
              <w:right w:w="180" w:type="dxa"/>
            </w:tcMar>
          </w:tcPr>
          <w:p>
            <w:r/>
            <w:r>
              <w:rPr>
                <w:rFonts w:ascii="Calibri" w:hAnsi="Calibri"/>
                <w:b/>
                <w:color w:val="064B84"/>
                <w:sz w:val="21"/>
              </w:rPr>
              <w:t>Witness 1</w:t>
            </w:r>
          </w:p>
          <w:p>
            <w:pPr>
              <w:spacing w:after="160"/>
            </w:pPr>
            <w:r>
              <w:rPr>
                <w:rFonts w:ascii="Calibri" w:hAnsi="Calibri"/>
                <w:b/>
                <w:sz w:val="20"/>
              </w:rPr>
              <w:t xml:space="preserve">Name: </w:t>
            </w:r>
            <w:r>
              <w:rPr>
                <w:rFonts w:ascii="Calibri" w:hAnsi="Calibri"/>
                <w:sz w:val="20"/>
              </w:rPr>
              <w:t>____________________</w:t>
            </w:r>
          </w:p>
          <w:p>
            <w:pPr>
              <w:spacing w:after="160"/>
            </w:pPr>
            <w:r>
              <w:rPr>
                <w:rFonts w:ascii="Calibri" w:hAnsi="Calibri"/>
                <w:b/>
                <w:sz w:val="20"/>
              </w:rPr>
              <w:t xml:space="preserve">Signature: </w:t>
            </w:r>
            <w:r>
              <w:rPr>
                <w:rFonts w:ascii="Calibri" w:hAnsi="Calibri"/>
                <w:sz w:val="20"/>
              </w:rPr>
              <w:t>____________________</w:t>
            </w:r>
          </w:p>
          <w:p>
            <w:pPr>
              <w:spacing w:after="160"/>
            </w:pPr>
            <w:r>
              <w:rPr>
                <w:rFonts w:ascii="Calibri" w:hAnsi="Calibri"/>
                <w:b/>
                <w:sz w:val="20"/>
              </w:rPr>
              <w:t xml:space="preserve">Address: </w:t>
            </w:r>
            <w:r>
              <w:rPr>
                <w:rFonts w:ascii="Calibri" w:hAnsi="Calibri"/>
                <w:sz w:val="20"/>
              </w:rPr>
              <w:t>____________________</w:t>
            </w:r>
          </w:p>
          <w:p>
            <w:pPr>
              <w:spacing w:after="160"/>
            </w:pPr>
            <w:r>
              <w:rPr>
                <w:rFonts w:ascii="Calibri" w:hAnsi="Calibri"/>
                <w:b/>
                <w:sz w:val="20"/>
              </w:rPr>
              <w:t xml:space="preserve">Date: </w:t>
            </w:r>
            <w:r>
              <w:rPr>
                <w:rFonts w:ascii="Calibri" w:hAnsi="Calibri"/>
                <w:sz w:val="20"/>
              </w:rPr>
              <w:t>____________________</w:t>
            </w:r>
          </w:p>
        </w:tc>
        <w:tc>
          <w:tcPr>
            <w:tcW w:type="dxa" w:w="4680"/>
            <w:tcMar>
              <w:top w:w="80" w:type="dxa"/>
              <w:bottom w:w="80" w:type="dxa"/>
              <w:start w:w="120" w:type="dxa"/>
              <w:end w:w="180" w:type="dxa"/>
              <w:left w:w="120" w:type="dxa"/>
              <w:right w:w="180" w:type="dxa"/>
            </w:tcMar>
          </w:tcPr>
          <w:p>
            <w:r/>
            <w:r>
              <w:rPr>
                <w:rFonts w:ascii="Calibri" w:hAnsi="Calibri"/>
                <w:b/>
                <w:color w:val="064B84"/>
                <w:sz w:val="21"/>
              </w:rPr>
              <w:t>Witness 2</w:t>
            </w:r>
          </w:p>
          <w:p>
            <w:pPr>
              <w:spacing w:after="160"/>
            </w:pPr>
            <w:r>
              <w:rPr>
                <w:rFonts w:ascii="Calibri" w:hAnsi="Calibri"/>
                <w:b/>
                <w:sz w:val="20"/>
              </w:rPr>
              <w:t xml:space="preserve">Name: </w:t>
            </w:r>
            <w:r>
              <w:rPr>
                <w:rFonts w:ascii="Calibri" w:hAnsi="Calibri"/>
                <w:sz w:val="20"/>
              </w:rPr>
              <w:t>____________________</w:t>
            </w:r>
          </w:p>
          <w:p>
            <w:pPr>
              <w:spacing w:after="160"/>
            </w:pPr>
            <w:r>
              <w:rPr>
                <w:rFonts w:ascii="Calibri" w:hAnsi="Calibri"/>
                <w:b/>
                <w:sz w:val="20"/>
              </w:rPr>
              <w:t xml:space="preserve">Signature: </w:t>
            </w:r>
            <w:r>
              <w:rPr>
                <w:rFonts w:ascii="Calibri" w:hAnsi="Calibri"/>
                <w:sz w:val="20"/>
              </w:rPr>
              <w:t>____________________</w:t>
            </w:r>
          </w:p>
          <w:p>
            <w:pPr>
              <w:spacing w:after="160"/>
            </w:pPr>
            <w:r>
              <w:rPr>
                <w:rFonts w:ascii="Calibri" w:hAnsi="Calibri"/>
                <w:b/>
                <w:sz w:val="20"/>
              </w:rPr>
              <w:t xml:space="preserve">Address: </w:t>
            </w:r>
            <w:r>
              <w:rPr>
                <w:rFonts w:ascii="Calibri" w:hAnsi="Calibri"/>
                <w:sz w:val="20"/>
              </w:rPr>
              <w:t>____________________</w:t>
            </w:r>
          </w:p>
          <w:p>
            <w:pPr>
              <w:spacing w:after="160"/>
            </w:pPr>
            <w:r>
              <w:rPr>
                <w:rFonts w:ascii="Calibri" w:hAnsi="Calibri"/>
                <w:b/>
                <w:sz w:val="20"/>
              </w:rPr>
              <w:t xml:space="preserve">Date: </w:t>
            </w:r>
            <w:r>
              <w:rPr>
                <w:rFonts w:ascii="Calibri" w:hAnsi="Calibri"/>
                <w:sz w:val="20"/>
              </w:rPr>
              <w:t>____________________</w:t>
            </w:r>
          </w:p>
        </w:tc>
      </w:tr>
    </w:tbl>
    <w:p>
      <w:r>
        <w:br w:type="page"/>
      </w:r>
    </w:p>
    <w:p>
      <w:pPr>
        <w:spacing w:after="40"/>
      </w:pPr>
      <w:r>
        <w:rPr>
          <w:rFonts w:ascii="Calibri" w:hAnsi="Calibri"/>
          <w:b/>
          <w:color w:val="047857"/>
          <w:sz w:val="22"/>
        </w:rPr>
        <w:t>APPENDIX A</w:t>
      </w:r>
    </w:p>
    <w:p>
      <w:pPr>
        <w:pStyle w:val="Heading1"/>
        <w:spacing w:before="0" w:after="120"/>
      </w:pPr>
      <w:r>
        <w:rPr>
          <w:rFonts w:ascii="Calibri" w:hAnsi="Calibri"/>
          <w:b/>
          <w:color w:val="064B84"/>
          <w:sz w:val="30"/>
        </w:rPr>
        <w:t>Appendix A — Commission Formula</w:t>
      </w:r>
    </w:p>
    <w:p>
      <w:pPr>
        <w:pBdr>
          <w:bottom w:val="single" w:sz="12" w:space="1" w:color="059669"/>
        </w:pBdr>
        <w:spacing w:after="160"/>
      </w:pPr>
    </w:p>
    <w:p>
      <w:pPr>
        <w:spacing w:before="0" w:after="160" w:line="276" w:lineRule="auto"/>
      </w:pPr>
      <w:r>
        <w:rPr>
          <w:rFonts w:ascii="Calibri" w:hAnsi="Calibri"/>
          <w:b w:val="0"/>
          <w:i/>
          <w:color w:val="555F6D"/>
          <w:sz w:val="21"/>
        </w:rPr>
        <w:t>This Appendix sets out the formula used to calculate the Executive’s Revenue Share. It is illustrative of, and subordinate to, the operative provisions of Clauses 7 to 12.</w:t>
      </w:r>
    </w:p>
    <w:p>
      <w:pPr>
        <w:spacing w:before="200" w:after="80"/>
      </w:pPr>
      <w:r>
        <w:rPr>
          <w:rFonts w:ascii="Calibri" w:hAnsi="Calibri"/>
          <w:b/>
          <w:color w:val="0259A0"/>
          <w:sz w:val="21"/>
          <w:spacing w:val="20"/>
        </w:rPr>
        <w:t>STEP-BY-STEP CALCULATION</w:t>
      </w:r>
    </w:p>
    <w:tbl>
      <w:tblPr>
        <w:tblStyle w:val="TableGrid"/>
        <w:tblW w:type="auto" w:w="0"/>
        <w:tblLook w:firstColumn="1" w:firstRow="1" w:lastColumn="0" w:lastRow="0" w:noHBand="0" w:noVBand="1" w:val="04A0"/>
      </w:tblPr>
      <w:tblGrid>
        <w:gridCol w:w="3120"/>
        <w:gridCol w:w="3120"/>
        <w:gridCol w:w="3120"/>
      </w:tblGrid>
      <w:tr>
        <w:tc>
          <w:tcPr>
            <w:tcW w:type="dxa" w:w="720"/>
            <w:shd w:val="clear" w:color="auto" w:fill="0259A0"/>
            <w:tcMar>
              <w:top w:w="60" w:type="dxa"/>
              <w:bottom w:w="60" w:type="dxa"/>
              <w:start w:w="100" w:type="dxa"/>
              <w:end w:w="100" w:type="dxa"/>
              <w:left w:w="100" w:type="dxa"/>
              <w:right w:w="100" w:type="dxa"/>
            </w:tcMar>
          </w:tcPr>
          <w:p>
            <w:r/>
            <w:r>
              <w:rPr>
                <w:rFonts w:ascii="Calibri" w:hAnsi="Calibri"/>
                <w:b/>
                <w:color w:val="FFFFFF"/>
                <w:sz w:val="19"/>
              </w:rPr>
              <w:t>#</w:t>
            </w:r>
          </w:p>
        </w:tc>
        <w:tc>
          <w:tcPr>
            <w:tcW w:type="dxa" w:w="3456"/>
            <w:shd w:val="clear" w:color="auto" w:fill="0259A0"/>
            <w:tcMar>
              <w:top w:w="60" w:type="dxa"/>
              <w:bottom w:w="60" w:type="dxa"/>
              <w:start w:w="100" w:type="dxa"/>
              <w:end w:w="100" w:type="dxa"/>
              <w:left w:w="100" w:type="dxa"/>
              <w:right w:w="100" w:type="dxa"/>
            </w:tcMar>
          </w:tcPr>
          <w:p>
            <w:r/>
            <w:r>
              <w:rPr>
                <w:rFonts w:ascii="Calibri" w:hAnsi="Calibri"/>
                <w:b/>
                <w:color w:val="FFFFFF"/>
                <w:sz w:val="19"/>
              </w:rPr>
              <w:t>Step</w:t>
            </w:r>
          </w:p>
        </w:tc>
        <w:tc>
          <w:tcPr>
            <w:tcW w:type="dxa" w:w="5184"/>
            <w:shd w:val="clear" w:color="auto" w:fill="0259A0"/>
            <w:tcMar>
              <w:top w:w="60" w:type="dxa"/>
              <w:bottom w:w="60" w:type="dxa"/>
              <w:start w:w="100" w:type="dxa"/>
              <w:end w:w="100" w:type="dxa"/>
              <w:left w:w="100" w:type="dxa"/>
              <w:right w:w="100" w:type="dxa"/>
            </w:tcMar>
          </w:tcPr>
          <w:p>
            <w:r/>
            <w:r>
              <w:rPr>
                <w:rFonts w:ascii="Calibri" w:hAnsi="Calibri"/>
                <w:b/>
                <w:color w:val="FFFFFF"/>
                <w:sz w:val="19"/>
              </w:rPr>
              <w:t>Description</w:t>
            </w:r>
          </w:p>
        </w:tc>
      </w:tr>
      <w:tr>
        <w:tc>
          <w:tcPr>
            <w:tcW w:type="dxa" w:w="720"/>
            <w:tcMar>
              <w:top w:w="60" w:type="dxa"/>
              <w:bottom w:w="60" w:type="dxa"/>
              <w:start w:w="100" w:type="dxa"/>
              <w:end w:w="100" w:type="dxa"/>
              <w:left w:w="100" w:type="dxa"/>
              <w:right w:w="100" w:type="dxa"/>
            </w:tcMar>
          </w:tcPr>
          <w:p>
            <w:r/>
            <w:r>
              <w:rPr>
                <w:rFonts w:ascii="Calibri" w:hAnsi="Calibri"/>
                <w:b/>
                <w:color w:val="064B84"/>
                <w:sz w:val="19"/>
              </w:rPr>
              <w:t>1</w:t>
            </w:r>
          </w:p>
        </w:tc>
        <w:tc>
          <w:tcPr>
            <w:tcW w:type="dxa" w:w="3456"/>
            <w:tcMar>
              <w:top w:w="60" w:type="dxa"/>
              <w:bottom w:w="60" w:type="dxa"/>
              <w:start w:w="100" w:type="dxa"/>
              <w:end w:w="100" w:type="dxa"/>
              <w:left w:w="100" w:type="dxa"/>
              <w:right w:w="100" w:type="dxa"/>
            </w:tcMar>
          </w:tcPr>
          <w:p>
            <w:r/>
            <w:r>
              <w:rPr>
                <w:rFonts w:ascii="Calibri" w:hAnsi="Calibri"/>
                <w:b/>
                <w:color w:val="064B84"/>
                <w:sz w:val="19"/>
              </w:rPr>
              <w:t>Identify Introduced Laboratories</w:t>
            </w:r>
          </w:p>
        </w:tc>
        <w:tc>
          <w:tcPr>
            <w:tcW w:type="dxa" w:w="5184"/>
            <w:tcMar>
              <w:top w:w="60" w:type="dxa"/>
              <w:bottom w:w="60" w:type="dxa"/>
              <w:start w:w="100" w:type="dxa"/>
              <w:end w:w="100" w:type="dxa"/>
              <w:left w:w="100" w:type="dxa"/>
              <w:right w:w="100" w:type="dxa"/>
            </w:tcMar>
          </w:tcPr>
          <w:p>
            <w:r/>
            <w:r>
              <w:rPr>
                <w:rFonts w:ascii="Calibri" w:hAnsi="Calibri"/>
                <w:sz w:val="19"/>
              </w:rPr>
              <w:t>Confirm the laboratory is an Introduced Laboratory attributed to the Executive (Clause 7).</w:t>
            </w:r>
          </w:p>
        </w:tc>
      </w:tr>
      <w:tr>
        <w:tc>
          <w:tcPr>
            <w:tcW w:type="dxa" w:w="720"/>
            <w:shd w:val="clear" w:color="auto" w:fill="F2F4F7"/>
            <w:tcMar>
              <w:top w:w="60" w:type="dxa"/>
              <w:bottom w:w="60" w:type="dxa"/>
              <w:start w:w="100" w:type="dxa"/>
              <w:end w:w="100" w:type="dxa"/>
              <w:left w:w="100" w:type="dxa"/>
              <w:right w:w="100" w:type="dxa"/>
            </w:tcMar>
          </w:tcPr>
          <w:p>
            <w:r/>
            <w:r>
              <w:rPr>
                <w:rFonts w:ascii="Calibri" w:hAnsi="Calibri"/>
                <w:b/>
                <w:color w:val="064B84"/>
                <w:sz w:val="19"/>
              </w:rPr>
              <w:t>2</w:t>
            </w:r>
          </w:p>
        </w:tc>
        <w:tc>
          <w:tcPr>
            <w:tcW w:type="dxa" w:w="3456"/>
            <w:shd w:val="clear" w:color="auto" w:fill="F2F4F7"/>
            <w:tcMar>
              <w:top w:w="60" w:type="dxa"/>
              <w:bottom w:w="60" w:type="dxa"/>
              <w:start w:w="100" w:type="dxa"/>
              <w:end w:w="100" w:type="dxa"/>
              <w:left w:w="100" w:type="dxa"/>
              <w:right w:w="100" w:type="dxa"/>
            </w:tcMar>
          </w:tcPr>
          <w:p>
            <w:r/>
            <w:r>
              <w:rPr>
                <w:rFonts w:ascii="Calibri" w:hAnsi="Calibri"/>
                <w:b/>
                <w:color w:val="064B84"/>
                <w:sz w:val="19"/>
              </w:rPr>
              <w:t>Identify Confirmed Transactions</w:t>
            </w:r>
          </w:p>
        </w:tc>
        <w:tc>
          <w:tcPr>
            <w:tcW w:type="dxa" w:w="5184"/>
            <w:shd w:val="clear" w:color="auto" w:fill="F2F4F7"/>
            <w:tcMar>
              <w:top w:w="60" w:type="dxa"/>
              <w:bottom w:w="60" w:type="dxa"/>
              <w:start w:w="100" w:type="dxa"/>
              <w:end w:w="100" w:type="dxa"/>
              <w:left w:w="100" w:type="dxa"/>
              <w:right w:w="100" w:type="dxa"/>
            </w:tcMar>
          </w:tcPr>
          <w:p>
            <w:r/>
            <w:r>
              <w:rPr>
                <w:rFonts w:ascii="Calibri" w:hAnsi="Calibri"/>
                <w:sz w:val="19"/>
              </w:rPr>
              <w:t>Include only Confirmed Transactions recorded in Poveon’s accounting system (Clause 8).</w:t>
            </w:r>
          </w:p>
        </w:tc>
      </w:tr>
      <w:tr>
        <w:tc>
          <w:tcPr>
            <w:tcW w:type="dxa" w:w="720"/>
            <w:tcMar>
              <w:top w:w="60" w:type="dxa"/>
              <w:bottom w:w="60" w:type="dxa"/>
              <w:start w:w="100" w:type="dxa"/>
              <w:end w:w="100" w:type="dxa"/>
              <w:left w:w="100" w:type="dxa"/>
              <w:right w:w="100" w:type="dxa"/>
            </w:tcMar>
          </w:tcPr>
          <w:p>
            <w:r/>
            <w:r>
              <w:rPr>
                <w:rFonts w:ascii="Calibri" w:hAnsi="Calibri"/>
                <w:b/>
                <w:color w:val="064B84"/>
                <w:sz w:val="19"/>
              </w:rPr>
              <w:t>3</w:t>
            </w:r>
          </w:p>
        </w:tc>
        <w:tc>
          <w:tcPr>
            <w:tcW w:type="dxa" w:w="3456"/>
            <w:tcMar>
              <w:top w:w="60" w:type="dxa"/>
              <w:bottom w:w="60" w:type="dxa"/>
              <w:start w:w="100" w:type="dxa"/>
              <w:end w:w="100" w:type="dxa"/>
              <w:left w:w="100" w:type="dxa"/>
              <w:right w:w="100" w:type="dxa"/>
            </w:tcMar>
          </w:tcPr>
          <w:p>
            <w:r/>
            <w:r>
              <w:rPr>
                <w:rFonts w:ascii="Calibri" w:hAnsi="Calibri"/>
                <w:b/>
                <w:color w:val="064B84"/>
                <w:sz w:val="19"/>
              </w:rPr>
              <w:t>Apply the 2% Commission</w:t>
            </w:r>
          </w:p>
        </w:tc>
        <w:tc>
          <w:tcPr>
            <w:tcW w:type="dxa" w:w="5184"/>
            <w:tcMar>
              <w:top w:w="60" w:type="dxa"/>
              <w:bottom w:w="60" w:type="dxa"/>
              <w:start w:w="100" w:type="dxa"/>
              <w:end w:w="100" w:type="dxa"/>
              <w:left w:w="100" w:type="dxa"/>
              <w:right w:w="100" w:type="dxa"/>
            </w:tcMar>
          </w:tcPr>
          <w:p>
            <w:r/>
            <w:r>
              <w:rPr>
                <w:rFonts w:ascii="Calibri" w:hAnsi="Calibri"/>
                <w:sz w:val="19"/>
              </w:rPr>
              <w:t>Poveon Commission = 2% × value of confirmed laboratory billings actually received.</w:t>
            </w:r>
          </w:p>
        </w:tc>
      </w:tr>
      <w:tr>
        <w:tc>
          <w:tcPr>
            <w:tcW w:type="dxa" w:w="720"/>
            <w:shd w:val="clear" w:color="auto" w:fill="F2F4F7"/>
            <w:tcMar>
              <w:top w:w="60" w:type="dxa"/>
              <w:bottom w:w="60" w:type="dxa"/>
              <w:start w:w="100" w:type="dxa"/>
              <w:end w:w="100" w:type="dxa"/>
              <w:left w:w="100" w:type="dxa"/>
              <w:right w:w="100" w:type="dxa"/>
            </w:tcMar>
          </w:tcPr>
          <w:p>
            <w:r/>
            <w:r>
              <w:rPr>
                <w:rFonts w:ascii="Calibri" w:hAnsi="Calibri"/>
                <w:b/>
                <w:color w:val="064B84"/>
                <w:sz w:val="19"/>
              </w:rPr>
              <w:t>4</w:t>
            </w:r>
          </w:p>
        </w:tc>
        <w:tc>
          <w:tcPr>
            <w:tcW w:type="dxa" w:w="3456"/>
            <w:shd w:val="clear" w:color="auto" w:fill="F2F4F7"/>
            <w:tcMar>
              <w:top w:w="60" w:type="dxa"/>
              <w:bottom w:w="60" w:type="dxa"/>
              <w:start w:w="100" w:type="dxa"/>
              <w:end w:w="100" w:type="dxa"/>
              <w:left w:w="100" w:type="dxa"/>
              <w:right w:w="100" w:type="dxa"/>
            </w:tcMar>
          </w:tcPr>
          <w:p>
            <w:r/>
            <w:r>
              <w:rPr>
                <w:rFonts w:ascii="Calibri" w:hAnsi="Calibri"/>
                <w:b/>
                <w:color w:val="064B84"/>
                <w:sz w:val="19"/>
              </w:rPr>
              <w:t>Deduct permitted items</w:t>
            </w:r>
          </w:p>
        </w:tc>
        <w:tc>
          <w:tcPr>
            <w:tcW w:type="dxa" w:w="5184"/>
            <w:shd w:val="clear" w:color="auto" w:fill="F2F4F7"/>
            <w:tcMar>
              <w:top w:w="60" w:type="dxa"/>
              <w:bottom w:w="60" w:type="dxa"/>
              <w:start w:w="100" w:type="dxa"/>
              <w:end w:w="100" w:type="dxa"/>
              <w:left w:w="100" w:type="dxa"/>
              <w:right w:w="100" w:type="dxa"/>
            </w:tcMar>
          </w:tcPr>
          <w:p>
            <w:r/>
            <w:r>
              <w:rPr>
                <w:rFonts w:ascii="Calibri" w:hAnsi="Calibri"/>
                <w:sz w:val="19"/>
              </w:rPr>
              <w:t>Net Commission Revenue = Commission – refunds, chargebacks, bank charges, processing fees, tax adjustments and reversals (Clause 9).</w:t>
            </w:r>
          </w:p>
        </w:tc>
      </w:tr>
      <w:tr>
        <w:tc>
          <w:tcPr>
            <w:tcW w:type="dxa" w:w="720"/>
            <w:tcMar>
              <w:top w:w="60" w:type="dxa"/>
              <w:bottom w:w="60" w:type="dxa"/>
              <w:start w:w="100" w:type="dxa"/>
              <w:end w:w="100" w:type="dxa"/>
              <w:left w:w="100" w:type="dxa"/>
              <w:right w:w="100" w:type="dxa"/>
            </w:tcMar>
          </w:tcPr>
          <w:p>
            <w:r/>
            <w:r>
              <w:rPr>
                <w:rFonts w:ascii="Calibri" w:hAnsi="Calibri"/>
                <w:b/>
                <w:color w:val="064B84"/>
                <w:sz w:val="19"/>
              </w:rPr>
              <w:t>5</w:t>
            </w:r>
          </w:p>
        </w:tc>
        <w:tc>
          <w:tcPr>
            <w:tcW w:type="dxa" w:w="3456"/>
            <w:tcMar>
              <w:top w:w="60" w:type="dxa"/>
              <w:bottom w:w="60" w:type="dxa"/>
              <w:start w:w="100" w:type="dxa"/>
              <w:end w:w="100" w:type="dxa"/>
              <w:left w:w="100" w:type="dxa"/>
              <w:right w:w="100" w:type="dxa"/>
            </w:tcMar>
          </w:tcPr>
          <w:p>
            <w:r/>
            <w:r>
              <w:rPr>
                <w:rFonts w:ascii="Calibri" w:hAnsi="Calibri"/>
                <w:b/>
                <w:color w:val="064B84"/>
                <w:sz w:val="19"/>
              </w:rPr>
              <w:t>Apply the 30% Revenue Share</w:t>
            </w:r>
          </w:p>
        </w:tc>
        <w:tc>
          <w:tcPr>
            <w:tcW w:type="dxa" w:w="5184"/>
            <w:tcMar>
              <w:top w:w="60" w:type="dxa"/>
              <w:bottom w:w="60" w:type="dxa"/>
              <w:start w:w="100" w:type="dxa"/>
              <w:end w:w="100" w:type="dxa"/>
              <w:left w:w="100" w:type="dxa"/>
              <w:right w:w="100" w:type="dxa"/>
            </w:tcMar>
          </w:tcPr>
          <w:p>
            <w:r/>
            <w:r>
              <w:rPr>
                <w:rFonts w:ascii="Calibri" w:hAnsi="Calibri"/>
                <w:sz w:val="19"/>
              </w:rPr>
              <w:t>Executive Revenue Share = 30% × Net Commission Revenue.</w:t>
            </w:r>
          </w:p>
        </w:tc>
      </w:tr>
    </w:tbl>
    <w:p>
      <w:pPr>
        <w:spacing w:before="0" w:after="80" w:line="276" w:lineRule="auto"/>
      </w:pPr>
    </w:p>
    <w:tbl>
      <w:tblPr>
        <w:tblW w:type="auto" w:w="0"/>
        <w:jc w:val="center"/>
        <w:tblLook w:firstColumn="1" w:firstRow="1" w:lastColumn="0" w:lastRow="0" w:noHBand="0" w:noVBand="1" w:val="04A0"/>
      </w:tblPr>
      <w:tblGrid>
        <w:gridCol w:w="9360"/>
      </w:tblGrid>
      <w:tr>
        <w:tc>
          <w:tcPr>
            <w:tcW w:type="dxa" w:w="9360"/>
            <w:tcBorders>
              <w:left w:val="single" w:sz="24" w:space="0" w:color="047857"/>
            </w:tcBorders>
            <w:shd w:val="clear" w:color="auto" w:fill="E7F6F0"/>
            <w:tcMar>
              <w:top w:w="120" w:type="dxa"/>
              <w:bottom w:w="120" w:type="dxa"/>
              <w:start w:w="200" w:type="dxa"/>
              <w:end w:w="200" w:type="dxa"/>
              <w:left w:w="200" w:type="dxa"/>
              <w:right w:w="200" w:type="dxa"/>
            </w:tcMar>
          </w:tcPr>
          <w:p>
            <w:pPr>
              <w:spacing w:after="40"/>
            </w:pPr>
            <w:r/>
            <w:r>
              <w:rPr>
                <w:rFonts w:ascii="Calibri" w:hAnsi="Calibri"/>
                <w:b/>
                <w:color w:val="064B84"/>
                <w:sz w:val="19"/>
              </w:rPr>
              <w:t>MASTER FORMULA</w:t>
            </w:r>
          </w:p>
          <w:p>
            <w:pPr>
              <w:spacing w:after="0"/>
            </w:pPr>
            <w:r>
              <w:rPr>
                <w:rFonts w:ascii="Calibri" w:hAnsi="Calibri"/>
                <w:color w:val="1A202C"/>
                <w:sz w:val="20"/>
              </w:rPr>
              <w:t>Executive Revenue Share = 30% × [ (2% × confirmed billings received) – permitted deductions ]  — calculated per Introduced Laboratory, per month.</w:t>
            </w:r>
          </w:p>
        </w:tc>
      </w:tr>
    </w:tbl>
    <w:p>
      <w:pPr>
        <w:spacing w:after="40"/>
      </w:pPr>
    </w:p>
    <w:p>
      <w:r>
        <w:br w:type="page"/>
      </w:r>
    </w:p>
    <w:p>
      <w:pPr>
        <w:spacing w:after="40"/>
      </w:pPr>
      <w:r>
        <w:rPr>
          <w:rFonts w:ascii="Calibri" w:hAnsi="Calibri"/>
          <w:b/>
          <w:color w:val="047857"/>
          <w:sz w:val="22"/>
        </w:rPr>
        <w:t>APPENDIX B</w:t>
      </w:r>
    </w:p>
    <w:p>
      <w:pPr>
        <w:pStyle w:val="Heading1"/>
        <w:spacing w:before="0" w:after="120"/>
      </w:pPr>
      <w:r>
        <w:rPr>
          <w:rFonts w:ascii="Calibri" w:hAnsi="Calibri"/>
          <w:b/>
          <w:color w:val="064B84"/>
          <w:sz w:val="30"/>
        </w:rPr>
        <w:t>Appendix B — Monthly Executive Report (Template)</w:t>
      </w:r>
    </w:p>
    <w:p>
      <w:pPr>
        <w:pBdr>
          <w:bottom w:val="single" w:sz="12" w:space="1" w:color="059669"/>
        </w:pBdr>
        <w:spacing w:after="160"/>
      </w:pPr>
    </w:p>
    <w:p>
      <w:pPr>
        <w:spacing w:before="0" w:after="160" w:line="276" w:lineRule="auto"/>
      </w:pPr>
      <w:r>
        <w:rPr>
          <w:rFonts w:ascii="Calibri" w:hAnsi="Calibri"/>
          <w:b w:val="0"/>
          <w:i/>
          <w:color w:val="555F6D"/>
          <w:sz w:val="21"/>
        </w:rPr>
        <w:t>To be completed by the Executive and submitted within seven (7) days after each month-end.</w:t>
      </w:r>
    </w:p>
    <w:tbl>
      <w:tblPr>
        <w:tblStyle w:val="TableGrid"/>
        <w:tblW w:type="auto" w:w="0"/>
        <w:tblLook w:firstColumn="1" w:firstRow="1" w:lastColumn="0" w:lastRow="0" w:noHBand="0" w:noVBand="1" w:val="04A0"/>
      </w:tblPr>
      <w:tblGrid>
        <w:gridCol w:w="4680"/>
        <w:gridCol w:w="4680"/>
      </w:tblGrid>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Reporting month</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Prepared by</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Date submitted</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New laboratories introduced (count)</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Laboratories activated this month</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Cumulative active Introduced Laboratories</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New providers onboarded</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Confirmed Transactions (count)</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Net Commission Revenue (₦)</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Executive Revenue Share for month (₦)</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States / regions covered</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Key wins</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Challenges / blockers</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Priorities for next month</w:t>
            </w:r>
          </w:p>
        </w:tc>
        <w:tc>
          <w:tcPr>
            <w:tcW w:type="dxa" w:w="5040"/>
            <w:tcMar>
              <w:top w:w="60" w:type="dxa"/>
              <w:bottom w:w="60" w:type="dxa"/>
              <w:start w:w="100" w:type="dxa"/>
              <w:end w:w="100" w:type="dxa"/>
              <w:left w:w="100" w:type="dxa"/>
              <w:right w:w="100" w:type="dxa"/>
            </w:tcMar>
          </w:tcPr>
          <w:p>
            <w:r/>
          </w:p>
        </w:tc>
      </w:tr>
    </w:tbl>
    <w:p>
      <w:r>
        <w:br w:type="page"/>
      </w:r>
    </w:p>
    <w:p>
      <w:pPr>
        <w:spacing w:after="40"/>
      </w:pPr>
      <w:r>
        <w:rPr>
          <w:rFonts w:ascii="Calibri" w:hAnsi="Calibri"/>
          <w:b/>
          <w:color w:val="047857"/>
          <w:sz w:val="22"/>
        </w:rPr>
        <w:t>APPENDIX C</w:t>
      </w:r>
    </w:p>
    <w:p>
      <w:pPr>
        <w:pStyle w:val="Heading1"/>
        <w:spacing w:before="0" w:after="120"/>
      </w:pPr>
      <w:r>
        <w:rPr>
          <w:rFonts w:ascii="Calibri" w:hAnsi="Calibri"/>
          <w:b/>
          <w:color w:val="064B84"/>
          <w:sz w:val="30"/>
        </w:rPr>
        <w:t>Appendix C — Quarterly KPI Scorecard (Template)</w:t>
      </w:r>
    </w:p>
    <w:p>
      <w:pPr>
        <w:pBdr>
          <w:bottom w:val="single" w:sz="12" w:space="1" w:color="059669"/>
        </w:pBdr>
        <w:spacing w:after="160"/>
      </w:pPr>
    </w:p>
    <w:p>
      <w:pPr>
        <w:spacing w:before="0" w:after="160" w:line="276" w:lineRule="auto"/>
      </w:pPr>
      <w:r>
        <w:rPr>
          <w:rFonts w:ascii="Calibri" w:hAnsi="Calibri"/>
          <w:b w:val="0"/>
          <w:i/>
          <w:color w:val="555F6D"/>
          <w:sz w:val="21"/>
        </w:rPr>
        <w:t>Used to assess performance against the KPIs in Clause 6 at the end of each quarter.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456"/>
            <w:shd w:val="clear" w:color="auto" w:fill="047857"/>
            <w:tcMar>
              <w:top w:w="60" w:type="dxa"/>
              <w:bottom w:w="60" w:type="dxa"/>
              <w:start w:w="100" w:type="dxa"/>
              <w:end w:w="100" w:type="dxa"/>
              <w:left w:w="100" w:type="dxa"/>
              <w:right w:w="100" w:type="dxa"/>
            </w:tcMar>
          </w:tcPr>
          <w:p>
            <w:r/>
            <w:r>
              <w:rPr>
                <w:rFonts w:ascii="Calibri" w:hAnsi="Calibri"/>
                <w:b/>
                <w:color w:val="FFFFFF"/>
                <w:sz w:val="19"/>
              </w:rPr>
              <w:t>KPI Metric</w:t>
            </w:r>
          </w:p>
        </w:tc>
        <w:tc>
          <w:tcPr>
            <w:tcW w:type="dxa" w:w="1440"/>
            <w:shd w:val="clear" w:color="auto" w:fill="047857"/>
            <w:tcMar>
              <w:top w:w="60" w:type="dxa"/>
              <w:bottom w:w="60" w:type="dxa"/>
              <w:start w:w="100" w:type="dxa"/>
              <w:end w:w="100" w:type="dxa"/>
              <w:left w:w="100" w:type="dxa"/>
              <w:right w:w="100" w:type="dxa"/>
            </w:tcMar>
          </w:tcPr>
          <w:p>
            <w:r/>
            <w:r>
              <w:rPr>
                <w:rFonts w:ascii="Calibri" w:hAnsi="Calibri"/>
                <w:b/>
                <w:color w:val="FFFFFF"/>
                <w:sz w:val="19"/>
              </w:rPr>
              <w:t>Target</w:t>
            </w:r>
          </w:p>
        </w:tc>
        <w:tc>
          <w:tcPr>
            <w:tcW w:type="dxa" w:w="1440"/>
            <w:shd w:val="clear" w:color="auto" w:fill="047857"/>
            <w:tcMar>
              <w:top w:w="60" w:type="dxa"/>
              <w:bottom w:w="60" w:type="dxa"/>
              <w:start w:w="100" w:type="dxa"/>
              <w:end w:w="100" w:type="dxa"/>
              <w:left w:w="100" w:type="dxa"/>
              <w:right w:w="100" w:type="dxa"/>
            </w:tcMar>
          </w:tcPr>
          <w:p>
            <w:r/>
            <w:r>
              <w:rPr>
                <w:rFonts w:ascii="Calibri" w:hAnsi="Calibri"/>
                <w:b/>
                <w:color w:val="FFFFFF"/>
                <w:sz w:val="19"/>
              </w:rPr>
              <w:t>Actual</w:t>
            </w:r>
          </w:p>
        </w:tc>
        <w:tc>
          <w:tcPr>
            <w:tcW w:type="dxa" w:w="1440"/>
            <w:shd w:val="clear" w:color="auto" w:fill="047857"/>
            <w:tcMar>
              <w:top w:w="60" w:type="dxa"/>
              <w:bottom w:w="60" w:type="dxa"/>
              <w:start w:w="100" w:type="dxa"/>
              <w:end w:w="100" w:type="dxa"/>
              <w:left w:w="100" w:type="dxa"/>
              <w:right w:w="100" w:type="dxa"/>
            </w:tcMar>
          </w:tcPr>
          <w:p>
            <w:r/>
            <w:r>
              <w:rPr>
                <w:rFonts w:ascii="Calibri" w:hAnsi="Calibri"/>
                <w:b/>
                <w:color w:val="FFFFFF"/>
                <w:sz w:val="19"/>
              </w:rPr>
              <w:t>Variance</w:t>
            </w:r>
          </w:p>
        </w:tc>
        <w:tc>
          <w:tcPr>
            <w:tcW w:type="dxa" w:w="1584"/>
            <w:shd w:val="clear" w:color="auto" w:fill="047857"/>
            <w:tcMar>
              <w:top w:w="60" w:type="dxa"/>
              <w:bottom w:w="60" w:type="dxa"/>
              <w:start w:w="100" w:type="dxa"/>
              <w:end w:w="100" w:type="dxa"/>
              <w:left w:w="100" w:type="dxa"/>
              <w:right w:w="100" w:type="dxa"/>
            </w:tcMar>
          </w:tcPr>
          <w:p>
            <w:r/>
            <w:r>
              <w:rPr>
                <w:rFonts w:ascii="Calibri" w:hAnsi="Calibri"/>
                <w:b/>
                <w:color w:val="FFFFFF"/>
                <w:sz w:val="19"/>
              </w:rPr>
              <w:t>Status</w:t>
            </w:r>
          </w:p>
        </w:tc>
      </w:tr>
      <w:tr>
        <w:tc>
          <w:tcPr>
            <w:tcW w:type="dxa" w:w="3456"/>
            <w:tcMar>
              <w:top w:w="60" w:type="dxa"/>
              <w:bottom w:w="60" w:type="dxa"/>
              <w:start w:w="100" w:type="dxa"/>
              <w:end w:w="100" w:type="dxa"/>
              <w:left w:w="100" w:type="dxa"/>
              <w:right w:w="100" w:type="dxa"/>
            </w:tcMar>
          </w:tcPr>
          <w:p>
            <w:r/>
            <w:r>
              <w:rPr>
                <w:rFonts w:ascii="Calibri" w:hAnsi="Calibri"/>
                <w:b/>
                <w:color w:val="064B84"/>
                <w:sz w:val="19"/>
              </w:rPr>
              <w:t>Active Introduced Laboratories</w:t>
            </w:r>
          </w:p>
        </w:tc>
        <w:tc>
          <w:tcPr>
            <w:tcW w:type="dxa" w:w="1440"/>
            <w:tcMar>
              <w:top w:w="60" w:type="dxa"/>
              <w:bottom w:w="60" w:type="dxa"/>
              <w:start w:w="100" w:type="dxa"/>
              <w:end w:w="100" w:type="dxa"/>
              <w:left w:w="100" w:type="dxa"/>
              <w:right w:w="100" w:type="dxa"/>
            </w:tcMar>
          </w:tcPr>
          <w:p>
            <w:r/>
            <w:r>
              <w:rPr>
                <w:rFonts w:ascii="Calibri" w:hAnsi="Calibri"/>
                <w:i/>
                <w:color w:val="555F6D"/>
                <w:sz w:val="17"/>
              </w:rPr>
              <w:t>see Clause 6</w:t>
            </w:r>
          </w:p>
        </w:tc>
        <w:tc>
          <w:tcPr>
            <w:tcW w:type="dxa" w:w="1440"/>
            <w:tcMar>
              <w:top w:w="60" w:type="dxa"/>
              <w:bottom w:w="60" w:type="dxa"/>
              <w:start w:w="100" w:type="dxa"/>
              <w:end w:w="100" w:type="dxa"/>
              <w:left w:w="100" w:type="dxa"/>
              <w:right w:w="100" w:type="dxa"/>
            </w:tcMar>
          </w:tcPr>
          <w:p>
            <w:r/>
          </w:p>
        </w:tc>
        <w:tc>
          <w:tcPr>
            <w:tcW w:type="dxa" w:w="1440"/>
            <w:tcMar>
              <w:top w:w="60" w:type="dxa"/>
              <w:bottom w:w="60" w:type="dxa"/>
              <w:start w:w="100" w:type="dxa"/>
              <w:end w:w="100" w:type="dxa"/>
              <w:left w:w="100" w:type="dxa"/>
              <w:right w:w="100" w:type="dxa"/>
            </w:tcMar>
          </w:tcPr>
          <w:p>
            <w:r/>
          </w:p>
        </w:tc>
        <w:tc>
          <w:tcPr>
            <w:tcW w:type="dxa" w:w="1584"/>
            <w:tcMar>
              <w:top w:w="60" w:type="dxa"/>
              <w:bottom w:w="60" w:type="dxa"/>
              <w:start w:w="100" w:type="dxa"/>
              <w:end w:w="100" w:type="dxa"/>
              <w:left w:w="100" w:type="dxa"/>
              <w:right w:w="100" w:type="dxa"/>
            </w:tcMar>
          </w:tcPr>
          <w:p>
            <w:r/>
          </w:p>
        </w:tc>
      </w:tr>
      <w:tr>
        <w:tc>
          <w:tcPr>
            <w:tcW w:type="dxa" w:w="3456"/>
            <w:shd w:val="clear" w:color="auto" w:fill="E7F6F0"/>
            <w:tcMar>
              <w:top w:w="60" w:type="dxa"/>
              <w:bottom w:w="60" w:type="dxa"/>
              <w:start w:w="100" w:type="dxa"/>
              <w:end w:w="100" w:type="dxa"/>
              <w:left w:w="100" w:type="dxa"/>
              <w:right w:w="100" w:type="dxa"/>
            </w:tcMar>
          </w:tcPr>
          <w:p>
            <w:r/>
            <w:r>
              <w:rPr>
                <w:rFonts w:ascii="Calibri" w:hAnsi="Calibri"/>
                <w:b/>
                <w:color w:val="064B84"/>
                <w:sz w:val="19"/>
              </w:rPr>
              <w:t>New laboratories acquired this quarter</w:t>
            </w:r>
          </w:p>
        </w:tc>
        <w:tc>
          <w:tcPr>
            <w:tcW w:type="dxa" w:w="1440"/>
            <w:shd w:val="clear" w:color="auto" w:fill="E7F6F0"/>
            <w:tcMar>
              <w:top w:w="60" w:type="dxa"/>
              <w:bottom w:w="60" w:type="dxa"/>
              <w:start w:w="100" w:type="dxa"/>
              <w:end w:w="100" w:type="dxa"/>
              <w:left w:w="100" w:type="dxa"/>
              <w:right w:w="100" w:type="dxa"/>
            </w:tcMar>
          </w:tcPr>
          <w:p>
            <w:r/>
          </w:p>
        </w:tc>
        <w:tc>
          <w:tcPr>
            <w:tcW w:type="dxa" w:w="1440"/>
            <w:shd w:val="clear" w:color="auto" w:fill="E7F6F0"/>
            <w:tcMar>
              <w:top w:w="60" w:type="dxa"/>
              <w:bottom w:w="60" w:type="dxa"/>
              <w:start w:w="100" w:type="dxa"/>
              <w:end w:w="100" w:type="dxa"/>
              <w:left w:w="100" w:type="dxa"/>
              <w:right w:w="100" w:type="dxa"/>
            </w:tcMar>
          </w:tcPr>
          <w:p>
            <w:r/>
          </w:p>
        </w:tc>
        <w:tc>
          <w:tcPr>
            <w:tcW w:type="dxa" w:w="1440"/>
            <w:shd w:val="clear" w:color="auto" w:fill="E7F6F0"/>
            <w:tcMar>
              <w:top w:w="60" w:type="dxa"/>
              <w:bottom w:w="60" w:type="dxa"/>
              <w:start w:w="100" w:type="dxa"/>
              <w:end w:w="100" w:type="dxa"/>
              <w:left w:w="100" w:type="dxa"/>
              <w:right w:w="100" w:type="dxa"/>
            </w:tcMar>
          </w:tcPr>
          <w:p>
            <w:r/>
          </w:p>
        </w:tc>
        <w:tc>
          <w:tcPr>
            <w:tcW w:type="dxa" w:w="1584"/>
            <w:shd w:val="clear" w:color="auto" w:fill="E7F6F0"/>
            <w:tcMar>
              <w:top w:w="60" w:type="dxa"/>
              <w:bottom w:w="60" w:type="dxa"/>
              <w:start w:w="100" w:type="dxa"/>
              <w:end w:w="100" w:type="dxa"/>
              <w:left w:w="100" w:type="dxa"/>
              <w:right w:w="100" w:type="dxa"/>
            </w:tcMar>
          </w:tcPr>
          <w:p>
            <w:r/>
          </w:p>
        </w:tc>
      </w:tr>
      <w:tr>
        <w:tc>
          <w:tcPr>
            <w:tcW w:type="dxa" w:w="3456"/>
            <w:tcMar>
              <w:top w:w="60" w:type="dxa"/>
              <w:bottom w:w="60" w:type="dxa"/>
              <w:start w:w="100" w:type="dxa"/>
              <w:end w:w="100" w:type="dxa"/>
              <w:left w:w="100" w:type="dxa"/>
              <w:right w:w="100" w:type="dxa"/>
            </w:tcMar>
          </w:tcPr>
          <w:p>
            <w:r/>
            <w:r>
              <w:rPr>
                <w:rFonts w:ascii="Calibri" w:hAnsi="Calibri"/>
                <w:b/>
                <w:color w:val="064B84"/>
                <w:sz w:val="19"/>
              </w:rPr>
              <w:t>Confirmed Transactions (count)</w:t>
            </w:r>
          </w:p>
        </w:tc>
        <w:tc>
          <w:tcPr>
            <w:tcW w:type="dxa" w:w="1440"/>
            <w:tcMar>
              <w:top w:w="60" w:type="dxa"/>
              <w:bottom w:w="60" w:type="dxa"/>
              <w:start w:w="100" w:type="dxa"/>
              <w:end w:w="100" w:type="dxa"/>
              <w:left w:w="100" w:type="dxa"/>
              <w:right w:w="100" w:type="dxa"/>
            </w:tcMar>
          </w:tcPr>
          <w:p>
            <w:r/>
          </w:p>
        </w:tc>
        <w:tc>
          <w:tcPr>
            <w:tcW w:type="dxa" w:w="1440"/>
            <w:tcMar>
              <w:top w:w="60" w:type="dxa"/>
              <w:bottom w:w="60" w:type="dxa"/>
              <w:start w:w="100" w:type="dxa"/>
              <w:end w:w="100" w:type="dxa"/>
              <w:left w:w="100" w:type="dxa"/>
              <w:right w:w="100" w:type="dxa"/>
            </w:tcMar>
          </w:tcPr>
          <w:p>
            <w:r/>
          </w:p>
        </w:tc>
        <w:tc>
          <w:tcPr>
            <w:tcW w:type="dxa" w:w="1440"/>
            <w:tcMar>
              <w:top w:w="60" w:type="dxa"/>
              <w:bottom w:w="60" w:type="dxa"/>
              <w:start w:w="100" w:type="dxa"/>
              <w:end w:w="100" w:type="dxa"/>
              <w:left w:w="100" w:type="dxa"/>
              <w:right w:w="100" w:type="dxa"/>
            </w:tcMar>
          </w:tcPr>
          <w:p>
            <w:r/>
          </w:p>
        </w:tc>
        <w:tc>
          <w:tcPr>
            <w:tcW w:type="dxa" w:w="1584"/>
            <w:tcMar>
              <w:top w:w="60" w:type="dxa"/>
              <w:bottom w:w="60" w:type="dxa"/>
              <w:start w:w="100" w:type="dxa"/>
              <w:end w:w="100" w:type="dxa"/>
              <w:left w:w="100" w:type="dxa"/>
              <w:right w:w="100" w:type="dxa"/>
            </w:tcMar>
          </w:tcPr>
          <w:p>
            <w:r/>
          </w:p>
        </w:tc>
      </w:tr>
      <w:tr>
        <w:tc>
          <w:tcPr>
            <w:tcW w:type="dxa" w:w="3456"/>
            <w:shd w:val="clear" w:color="auto" w:fill="E7F6F0"/>
            <w:tcMar>
              <w:top w:w="60" w:type="dxa"/>
              <w:bottom w:w="60" w:type="dxa"/>
              <w:start w:w="100" w:type="dxa"/>
              <w:end w:w="100" w:type="dxa"/>
              <w:left w:w="100" w:type="dxa"/>
              <w:right w:w="100" w:type="dxa"/>
            </w:tcMar>
          </w:tcPr>
          <w:p>
            <w:r/>
            <w:r>
              <w:rPr>
                <w:rFonts w:ascii="Calibri" w:hAnsi="Calibri"/>
                <w:b/>
                <w:color w:val="064B84"/>
                <w:sz w:val="19"/>
              </w:rPr>
              <w:t>Net Commission Revenue (₦)</w:t>
            </w:r>
          </w:p>
        </w:tc>
        <w:tc>
          <w:tcPr>
            <w:tcW w:type="dxa" w:w="1440"/>
            <w:shd w:val="clear" w:color="auto" w:fill="E7F6F0"/>
            <w:tcMar>
              <w:top w:w="60" w:type="dxa"/>
              <w:bottom w:w="60" w:type="dxa"/>
              <w:start w:w="100" w:type="dxa"/>
              <w:end w:w="100" w:type="dxa"/>
              <w:left w:w="100" w:type="dxa"/>
              <w:right w:w="100" w:type="dxa"/>
            </w:tcMar>
          </w:tcPr>
          <w:p>
            <w:r/>
          </w:p>
        </w:tc>
        <w:tc>
          <w:tcPr>
            <w:tcW w:type="dxa" w:w="1440"/>
            <w:shd w:val="clear" w:color="auto" w:fill="E7F6F0"/>
            <w:tcMar>
              <w:top w:w="60" w:type="dxa"/>
              <w:bottom w:w="60" w:type="dxa"/>
              <w:start w:w="100" w:type="dxa"/>
              <w:end w:w="100" w:type="dxa"/>
              <w:left w:w="100" w:type="dxa"/>
              <w:right w:w="100" w:type="dxa"/>
            </w:tcMar>
          </w:tcPr>
          <w:p>
            <w:r/>
          </w:p>
        </w:tc>
        <w:tc>
          <w:tcPr>
            <w:tcW w:type="dxa" w:w="1440"/>
            <w:shd w:val="clear" w:color="auto" w:fill="E7F6F0"/>
            <w:tcMar>
              <w:top w:w="60" w:type="dxa"/>
              <w:bottom w:w="60" w:type="dxa"/>
              <w:start w:w="100" w:type="dxa"/>
              <w:end w:w="100" w:type="dxa"/>
              <w:left w:w="100" w:type="dxa"/>
              <w:right w:w="100" w:type="dxa"/>
            </w:tcMar>
          </w:tcPr>
          <w:p>
            <w:r/>
          </w:p>
        </w:tc>
        <w:tc>
          <w:tcPr>
            <w:tcW w:type="dxa" w:w="1584"/>
            <w:shd w:val="clear" w:color="auto" w:fill="E7F6F0"/>
            <w:tcMar>
              <w:top w:w="60" w:type="dxa"/>
              <w:bottom w:w="60" w:type="dxa"/>
              <w:start w:w="100" w:type="dxa"/>
              <w:end w:w="100" w:type="dxa"/>
              <w:left w:w="100" w:type="dxa"/>
              <w:right w:w="100" w:type="dxa"/>
            </w:tcMar>
          </w:tcPr>
          <w:p>
            <w:r/>
          </w:p>
        </w:tc>
      </w:tr>
      <w:tr>
        <w:tc>
          <w:tcPr>
            <w:tcW w:type="dxa" w:w="3456"/>
            <w:tcMar>
              <w:top w:w="60" w:type="dxa"/>
              <w:bottom w:w="60" w:type="dxa"/>
              <w:start w:w="100" w:type="dxa"/>
              <w:end w:w="100" w:type="dxa"/>
              <w:left w:w="100" w:type="dxa"/>
              <w:right w:w="100" w:type="dxa"/>
            </w:tcMar>
          </w:tcPr>
          <w:p>
            <w:r/>
            <w:r>
              <w:rPr>
                <w:rFonts w:ascii="Calibri" w:hAnsi="Calibri"/>
                <w:b/>
                <w:color w:val="064B84"/>
                <w:sz w:val="19"/>
              </w:rPr>
              <w:t>New states / regions entered</w:t>
            </w:r>
          </w:p>
        </w:tc>
        <w:tc>
          <w:tcPr>
            <w:tcW w:type="dxa" w:w="1440"/>
            <w:tcMar>
              <w:top w:w="60" w:type="dxa"/>
              <w:bottom w:w="60" w:type="dxa"/>
              <w:start w:w="100" w:type="dxa"/>
              <w:end w:w="100" w:type="dxa"/>
              <w:left w:w="100" w:type="dxa"/>
              <w:right w:w="100" w:type="dxa"/>
            </w:tcMar>
          </w:tcPr>
          <w:p>
            <w:r/>
          </w:p>
        </w:tc>
        <w:tc>
          <w:tcPr>
            <w:tcW w:type="dxa" w:w="1440"/>
            <w:tcMar>
              <w:top w:w="60" w:type="dxa"/>
              <w:bottom w:w="60" w:type="dxa"/>
              <w:start w:w="100" w:type="dxa"/>
              <w:end w:w="100" w:type="dxa"/>
              <w:left w:w="100" w:type="dxa"/>
              <w:right w:w="100" w:type="dxa"/>
            </w:tcMar>
          </w:tcPr>
          <w:p>
            <w:r/>
          </w:p>
        </w:tc>
        <w:tc>
          <w:tcPr>
            <w:tcW w:type="dxa" w:w="1440"/>
            <w:tcMar>
              <w:top w:w="60" w:type="dxa"/>
              <w:bottom w:w="60" w:type="dxa"/>
              <w:start w:w="100" w:type="dxa"/>
              <w:end w:w="100" w:type="dxa"/>
              <w:left w:w="100" w:type="dxa"/>
              <w:right w:w="100" w:type="dxa"/>
            </w:tcMar>
          </w:tcPr>
          <w:p>
            <w:r/>
          </w:p>
        </w:tc>
        <w:tc>
          <w:tcPr>
            <w:tcW w:type="dxa" w:w="1584"/>
            <w:tcMar>
              <w:top w:w="60" w:type="dxa"/>
              <w:bottom w:w="60" w:type="dxa"/>
              <w:start w:w="100" w:type="dxa"/>
              <w:end w:w="100" w:type="dxa"/>
              <w:left w:w="100" w:type="dxa"/>
              <w:right w:w="100" w:type="dxa"/>
            </w:tcMar>
          </w:tcPr>
          <w:p>
            <w:r/>
          </w:p>
        </w:tc>
      </w:tr>
      <w:tr>
        <w:tc>
          <w:tcPr>
            <w:tcW w:type="dxa" w:w="3456"/>
            <w:shd w:val="clear" w:color="auto" w:fill="E7F6F0"/>
            <w:tcMar>
              <w:top w:w="60" w:type="dxa"/>
              <w:bottom w:w="60" w:type="dxa"/>
              <w:start w:w="100" w:type="dxa"/>
              <w:end w:w="100" w:type="dxa"/>
              <w:left w:w="100" w:type="dxa"/>
              <w:right w:w="100" w:type="dxa"/>
            </w:tcMar>
          </w:tcPr>
          <w:p>
            <w:r/>
            <w:r>
              <w:rPr>
                <w:rFonts w:ascii="Calibri" w:hAnsi="Calibri"/>
                <w:b/>
                <w:color w:val="064B84"/>
                <w:sz w:val="19"/>
              </w:rPr>
              <w:t>Provider partners onboarded</w:t>
            </w:r>
          </w:p>
        </w:tc>
        <w:tc>
          <w:tcPr>
            <w:tcW w:type="dxa" w:w="1440"/>
            <w:shd w:val="clear" w:color="auto" w:fill="E7F6F0"/>
            <w:tcMar>
              <w:top w:w="60" w:type="dxa"/>
              <w:bottom w:w="60" w:type="dxa"/>
              <w:start w:w="100" w:type="dxa"/>
              <w:end w:w="100" w:type="dxa"/>
              <w:left w:w="100" w:type="dxa"/>
              <w:right w:w="100" w:type="dxa"/>
            </w:tcMar>
          </w:tcPr>
          <w:p>
            <w:r/>
          </w:p>
        </w:tc>
        <w:tc>
          <w:tcPr>
            <w:tcW w:type="dxa" w:w="1440"/>
            <w:shd w:val="clear" w:color="auto" w:fill="E7F6F0"/>
            <w:tcMar>
              <w:top w:w="60" w:type="dxa"/>
              <w:bottom w:w="60" w:type="dxa"/>
              <w:start w:w="100" w:type="dxa"/>
              <w:end w:w="100" w:type="dxa"/>
              <w:left w:w="100" w:type="dxa"/>
              <w:right w:w="100" w:type="dxa"/>
            </w:tcMar>
          </w:tcPr>
          <w:p>
            <w:r/>
          </w:p>
        </w:tc>
        <w:tc>
          <w:tcPr>
            <w:tcW w:type="dxa" w:w="1440"/>
            <w:shd w:val="clear" w:color="auto" w:fill="E7F6F0"/>
            <w:tcMar>
              <w:top w:w="60" w:type="dxa"/>
              <w:bottom w:w="60" w:type="dxa"/>
              <w:start w:w="100" w:type="dxa"/>
              <w:end w:w="100" w:type="dxa"/>
              <w:left w:w="100" w:type="dxa"/>
              <w:right w:w="100" w:type="dxa"/>
            </w:tcMar>
          </w:tcPr>
          <w:p>
            <w:r/>
          </w:p>
        </w:tc>
        <w:tc>
          <w:tcPr>
            <w:tcW w:type="dxa" w:w="1584"/>
            <w:shd w:val="clear" w:color="auto" w:fill="E7F6F0"/>
            <w:tcMar>
              <w:top w:w="60" w:type="dxa"/>
              <w:bottom w:w="60" w:type="dxa"/>
              <w:start w:w="100" w:type="dxa"/>
              <w:end w:w="100" w:type="dxa"/>
              <w:left w:w="100" w:type="dxa"/>
              <w:right w:w="100" w:type="dxa"/>
            </w:tcMar>
          </w:tcPr>
          <w:p>
            <w:r/>
          </w:p>
        </w:tc>
      </w:tr>
      <w:tr>
        <w:tc>
          <w:tcPr>
            <w:tcW w:type="dxa" w:w="3456"/>
            <w:tcMar>
              <w:top w:w="60" w:type="dxa"/>
              <w:bottom w:w="60" w:type="dxa"/>
              <w:start w:w="100" w:type="dxa"/>
              <w:end w:w="100" w:type="dxa"/>
              <w:left w:w="100" w:type="dxa"/>
              <w:right w:w="100" w:type="dxa"/>
            </w:tcMar>
          </w:tcPr>
          <w:p>
            <w:r/>
            <w:r>
              <w:rPr>
                <w:rFonts w:ascii="Calibri" w:hAnsi="Calibri"/>
                <w:b/>
                <w:color w:val="064B84"/>
                <w:sz w:val="19"/>
              </w:rPr>
              <w:t>Recurring monthly Commission (₦)</w:t>
            </w:r>
          </w:p>
        </w:tc>
        <w:tc>
          <w:tcPr>
            <w:tcW w:type="dxa" w:w="1440"/>
            <w:tcMar>
              <w:top w:w="60" w:type="dxa"/>
              <w:bottom w:w="60" w:type="dxa"/>
              <w:start w:w="100" w:type="dxa"/>
              <w:end w:w="100" w:type="dxa"/>
              <w:left w:w="100" w:type="dxa"/>
              <w:right w:w="100" w:type="dxa"/>
            </w:tcMar>
          </w:tcPr>
          <w:p>
            <w:r/>
          </w:p>
        </w:tc>
        <w:tc>
          <w:tcPr>
            <w:tcW w:type="dxa" w:w="1440"/>
            <w:tcMar>
              <w:top w:w="60" w:type="dxa"/>
              <w:bottom w:w="60" w:type="dxa"/>
              <w:start w:w="100" w:type="dxa"/>
              <w:end w:w="100" w:type="dxa"/>
              <w:left w:w="100" w:type="dxa"/>
              <w:right w:w="100" w:type="dxa"/>
            </w:tcMar>
          </w:tcPr>
          <w:p>
            <w:r/>
          </w:p>
        </w:tc>
        <w:tc>
          <w:tcPr>
            <w:tcW w:type="dxa" w:w="1440"/>
            <w:tcMar>
              <w:top w:w="60" w:type="dxa"/>
              <w:bottom w:w="60" w:type="dxa"/>
              <w:start w:w="100" w:type="dxa"/>
              <w:end w:w="100" w:type="dxa"/>
              <w:left w:w="100" w:type="dxa"/>
              <w:right w:w="100" w:type="dxa"/>
            </w:tcMar>
          </w:tcPr>
          <w:p>
            <w:r/>
          </w:p>
        </w:tc>
        <w:tc>
          <w:tcPr>
            <w:tcW w:type="dxa" w:w="1584"/>
            <w:tcMar>
              <w:top w:w="60" w:type="dxa"/>
              <w:bottom w:w="60" w:type="dxa"/>
              <w:start w:w="100" w:type="dxa"/>
              <w:end w:w="100" w:type="dxa"/>
              <w:left w:w="100" w:type="dxa"/>
              <w:right w:w="100" w:type="dxa"/>
            </w:tcMar>
          </w:tcPr>
          <w:p>
            <w:r/>
          </w:p>
        </w:tc>
      </w:tr>
      <w:tr>
        <w:tc>
          <w:tcPr>
            <w:tcW w:type="dxa" w:w="3456"/>
            <w:shd w:val="clear" w:color="auto" w:fill="E7F6F0"/>
            <w:tcMar>
              <w:top w:w="60" w:type="dxa"/>
              <w:bottom w:w="60" w:type="dxa"/>
              <w:start w:w="100" w:type="dxa"/>
              <w:end w:w="100" w:type="dxa"/>
              <w:left w:w="100" w:type="dxa"/>
              <w:right w:w="100" w:type="dxa"/>
            </w:tcMar>
          </w:tcPr>
          <w:p>
            <w:r/>
            <w:r>
              <w:rPr>
                <w:rFonts w:ascii="Calibri" w:hAnsi="Calibri"/>
                <w:b/>
                <w:color w:val="064B84"/>
                <w:sz w:val="19"/>
              </w:rPr>
              <w:t>Overall quarter rating</w:t>
            </w:r>
          </w:p>
        </w:tc>
        <w:tc>
          <w:tcPr>
            <w:tcW w:type="dxa" w:w="1440"/>
            <w:shd w:val="clear" w:color="auto" w:fill="E7F6F0"/>
            <w:tcMar>
              <w:top w:w="60" w:type="dxa"/>
              <w:bottom w:w="60" w:type="dxa"/>
              <w:start w:w="100" w:type="dxa"/>
              <w:end w:w="100" w:type="dxa"/>
              <w:left w:w="100" w:type="dxa"/>
              <w:right w:w="100" w:type="dxa"/>
            </w:tcMar>
          </w:tcPr>
          <w:p>
            <w:r/>
          </w:p>
        </w:tc>
        <w:tc>
          <w:tcPr>
            <w:tcW w:type="dxa" w:w="1440"/>
            <w:shd w:val="clear" w:color="auto" w:fill="E7F6F0"/>
            <w:tcMar>
              <w:top w:w="60" w:type="dxa"/>
              <w:bottom w:w="60" w:type="dxa"/>
              <w:start w:w="100" w:type="dxa"/>
              <w:end w:w="100" w:type="dxa"/>
              <w:left w:w="100" w:type="dxa"/>
              <w:right w:w="100" w:type="dxa"/>
            </w:tcMar>
          </w:tcPr>
          <w:p>
            <w:r/>
          </w:p>
        </w:tc>
        <w:tc>
          <w:tcPr>
            <w:tcW w:type="dxa" w:w="1440"/>
            <w:shd w:val="clear" w:color="auto" w:fill="E7F6F0"/>
            <w:tcMar>
              <w:top w:w="60" w:type="dxa"/>
              <w:bottom w:w="60" w:type="dxa"/>
              <w:start w:w="100" w:type="dxa"/>
              <w:end w:w="100" w:type="dxa"/>
              <w:left w:w="100" w:type="dxa"/>
              <w:right w:w="100" w:type="dxa"/>
            </w:tcMar>
          </w:tcPr>
          <w:p>
            <w:r/>
          </w:p>
        </w:tc>
        <w:tc>
          <w:tcPr>
            <w:tcW w:type="dxa" w:w="1584"/>
            <w:shd w:val="clear" w:color="auto" w:fill="E7F6F0"/>
            <w:tcMar>
              <w:top w:w="60" w:type="dxa"/>
              <w:bottom w:w="60" w:type="dxa"/>
              <w:start w:w="100" w:type="dxa"/>
              <w:end w:w="100" w:type="dxa"/>
              <w:left w:w="100" w:type="dxa"/>
              <w:right w:w="100" w:type="dxa"/>
            </w:tcMar>
          </w:tcPr>
          <w:p>
            <w:r/>
          </w:p>
        </w:tc>
      </w:tr>
    </w:tbl>
    <w:p>
      <w:pPr>
        <w:spacing w:before="0" w:after="120" w:line="276" w:lineRule="auto"/>
      </w:pPr>
    </w:p>
    <w:p>
      <w:pPr>
        <w:spacing w:before="0" w:after="40" w:line="276" w:lineRule="auto"/>
      </w:pPr>
      <w:r>
        <w:rPr>
          <w:rFonts w:ascii="Calibri" w:hAnsi="Calibri"/>
          <w:b w:val="0"/>
          <w:i/>
          <w:color w:val="555F6D"/>
          <w:sz w:val="18"/>
        </w:rPr>
        <w:t>Status key:  On Track  ·  At Risk  ·  Below Target  ·  Exceeded.</w:t>
      </w:r>
    </w:p>
    <w:p>
      <w:r>
        <w:br w:type="page"/>
      </w:r>
    </w:p>
    <w:p>
      <w:pPr>
        <w:spacing w:after="40"/>
      </w:pPr>
      <w:r>
        <w:rPr>
          <w:rFonts w:ascii="Calibri" w:hAnsi="Calibri"/>
          <w:b/>
          <w:color w:val="047857"/>
          <w:sz w:val="22"/>
        </w:rPr>
        <w:t>APPENDIX D</w:t>
      </w:r>
    </w:p>
    <w:p>
      <w:pPr>
        <w:pStyle w:val="Heading1"/>
        <w:spacing w:before="0" w:after="120"/>
      </w:pPr>
      <w:r>
        <w:rPr>
          <w:rFonts w:ascii="Calibri" w:hAnsi="Calibri"/>
          <w:b/>
          <w:color w:val="064B84"/>
          <w:sz w:val="30"/>
        </w:rPr>
        <w:t>Appendix D — Annual Performance Review (Template)</w:t>
      </w:r>
    </w:p>
    <w:p>
      <w:pPr>
        <w:pBdr>
          <w:bottom w:val="single" w:sz="12" w:space="1" w:color="059669"/>
        </w:pBdr>
        <w:spacing w:after="160"/>
      </w:pPr>
    </w:p>
    <w:p>
      <w:pPr>
        <w:spacing w:before="0" w:after="160" w:line="276" w:lineRule="auto"/>
      </w:pPr>
      <w:r>
        <w:rPr>
          <w:rFonts w:ascii="Calibri" w:hAnsi="Calibri"/>
          <w:b w:val="0"/>
          <w:i/>
          <w:color w:val="555F6D"/>
          <w:sz w:val="21"/>
        </w:rPr>
        <w:t>Completed at, or shortly before, the end of the Term to summarise performance and inform any renewal decision under Clause 21.</w:t>
      </w:r>
    </w:p>
    <w:tbl>
      <w:tblPr>
        <w:tblStyle w:val="TableGrid"/>
        <w:tblW w:type="auto" w:w="0"/>
        <w:tblLook w:firstColumn="1" w:firstRow="1" w:lastColumn="0" w:lastRow="0" w:noHBand="0" w:noVBand="1" w:val="04A0"/>
      </w:tblPr>
      <w:tblGrid>
        <w:gridCol w:w="4680"/>
        <w:gridCol w:w="4680"/>
      </w:tblGrid>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Review period</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Total active Introduced Laboratories at year end</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Total Confirmed Transactions for the year</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Total Net Commission Revenue (₦)</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Total Executive Revenue Share paid (₦)</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States / regions covered</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Achievement against Q1–Q4 KPIs</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Key strategic achievements</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Areas for development</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CEO / Board assessment</w:t>
            </w:r>
          </w:p>
        </w:tc>
        <w:tc>
          <w:tcPr>
            <w:tcW w:type="dxa" w:w="5040"/>
            <w:tcMar>
              <w:top w:w="60" w:type="dxa"/>
              <w:bottom w:w="60" w:type="dxa"/>
              <w:start w:w="100" w:type="dxa"/>
              <w:end w:w="100" w:type="dxa"/>
              <w:left w:w="100" w:type="dxa"/>
              <w:right w:w="100" w:type="dxa"/>
            </w:tcMar>
          </w:tcPr>
          <w:p>
            <w:r/>
          </w:p>
        </w:tc>
      </w:tr>
      <w:tr>
        <w:tc>
          <w:tcPr>
            <w:tcW w:type="dxa" w:w="4320"/>
            <w:shd w:val="clear" w:color="auto" w:fill="EAF3FB"/>
            <w:tcMar>
              <w:top w:w="60" w:type="dxa"/>
              <w:bottom w:w="60" w:type="dxa"/>
              <w:start w:w="100" w:type="dxa"/>
              <w:end w:w="100" w:type="dxa"/>
              <w:left w:w="100" w:type="dxa"/>
              <w:right w:w="100" w:type="dxa"/>
            </w:tcMar>
          </w:tcPr>
          <w:p>
            <w:r/>
            <w:r>
              <w:rPr>
                <w:rFonts w:ascii="Calibri" w:hAnsi="Calibri"/>
                <w:b/>
                <w:color w:val="064B84"/>
                <w:sz w:val="19"/>
              </w:rPr>
              <w:t>Renewal recommendation (Clause 21)</w:t>
            </w:r>
          </w:p>
        </w:tc>
        <w:tc>
          <w:tcPr>
            <w:tcW w:type="dxa" w:w="5040"/>
            <w:tcMar>
              <w:top w:w="60" w:type="dxa"/>
              <w:bottom w:w="60" w:type="dxa"/>
              <w:start w:w="100" w:type="dxa"/>
              <w:end w:w="100" w:type="dxa"/>
              <w:left w:w="100" w:type="dxa"/>
              <w:right w:w="100" w:type="dxa"/>
            </w:tcMar>
          </w:tcPr>
          <w:p>
            <w:r/>
          </w:p>
        </w:tc>
      </w:tr>
    </w:tbl>
    <w:p>
      <w:r>
        <w:br w:type="page"/>
      </w:r>
    </w:p>
    <w:p>
      <w:pPr>
        <w:spacing w:after="40"/>
      </w:pPr>
      <w:r>
        <w:rPr>
          <w:rFonts w:ascii="Calibri" w:hAnsi="Calibri"/>
          <w:b/>
          <w:color w:val="047857"/>
          <w:sz w:val="22"/>
        </w:rPr>
        <w:t>APPENDIX E</w:t>
      </w:r>
    </w:p>
    <w:p>
      <w:pPr>
        <w:pStyle w:val="Heading1"/>
        <w:spacing w:before="0" w:after="120"/>
      </w:pPr>
      <w:r>
        <w:rPr>
          <w:rFonts w:ascii="Calibri" w:hAnsi="Calibri"/>
          <w:b/>
          <w:color w:val="064B84"/>
          <w:sz w:val="30"/>
        </w:rPr>
        <w:t>Appendix E — Revenue Calculation Examples</w:t>
      </w:r>
    </w:p>
    <w:p>
      <w:pPr>
        <w:pBdr>
          <w:bottom w:val="single" w:sz="12" w:space="1" w:color="059669"/>
        </w:pBdr>
        <w:spacing w:after="160"/>
      </w:pPr>
    </w:p>
    <w:p>
      <w:pPr>
        <w:spacing w:before="0" w:after="160" w:line="276" w:lineRule="auto"/>
      </w:pPr>
      <w:r>
        <w:rPr>
          <w:rFonts w:ascii="Calibri" w:hAnsi="Calibri"/>
          <w:b w:val="0"/>
          <w:i/>
          <w:color w:val="555F6D"/>
          <w:sz w:val="21"/>
        </w:rPr>
        <w:t>The following extended worked examples illustrate the calculation of the Executive Revenue Share. All figures are illustrative and expressed in Naira (₦).</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576"/>
            <w:shd w:val="clear" w:color="auto" w:fill="0259A0"/>
            <w:tcMar>
              <w:top w:w="60" w:type="dxa"/>
              <w:bottom w:w="60" w:type="dxa"/>
              <w:start w:w="100" w:type="dxa"/>
              <w:end w:w="100" w:type="dxa"/>
              <w:left w:w="100" w:type="dxa"/>
              <w:right w:w="100" w:type="dxa"/>
            </w:tcMar>
          </w:tcPr>
          <w:p>
            <w:r/>
            <w:r>
              <w:rPr>
                <w:rFonts w:ascii="Calibri" w:hAnsi="Calibri"/>
                <w:b/>
                <w:color w:val="FFFFFF"/>
                <w:sz w:val="16"/>
              </w:rPr>
              <w:t>#</w:t>
            </w:r>
          </w:p>
        </w:tc>
        <w:tc>
          <w:tcPr>
            <w:tcW w:type="dxa" w:w="2160"/>
            <w:shd w:val="clear" w:color="auto" w:fill="0259A0"/>
            <w:tcMar>
              <w:top w:w="60" w:type="dxa"/>
              <w:bottom w:w="60" w:type="dxa"/>
              <w:start w:w="100" w:type="dxa"/>
              <w:end w:w="100" w:type="dxa"/>
              <w:left w:w="100" w:type="dxa"/>
              <w:right w:w="100" w:type="dxa"/>
            </w:tcMar>
          </w:tcPr>
          <w:p>
            <w:r/>
            <w:r>
              <w:rPr>
                <w:rFonts w:ascii="Calibri" w:hAnsi="Calibri"/>
                <w:b/>
                <w:color w:val="FFFFFF"/>
                <w:sz w:val="16"/>
              </w:rPr>
              <w:t>Scenario</w:t>
            </w:r>
          </w:p>
        </w:tc>
        <w:tc>
          <w:tcPr>
            <w:tcW w:type="dxa" w:w="1440"/>
            <w:shd w:val="clear" w:color="auto" w:fill="0259A0"/>
            <w:tcMar>
              <w:top w:w="60" w:type="dxa"/>
              <w:bottom w:w="60" w:type="dxa"/>
              <w:start w:w="100" w:type="dxa"/>
              <w:end w:w="100" w:type="dxa"/>
              <w:left w:w="100" w:type="dxa"/>
              <w:right w:w="100" w:type="dxa"/>
            </w:tcMar>
          </w:tcPr>
          <w:p>
            <w:r/>
            <w:r>
              <w:rPr>
                <w:rFonts w:ascii="Calibri" w:hAnsi="Calibri"/>
                <w:b/>
                <w:color w:val="FFFFFF"/>
                <w:sz w:val="16"/>
              </w:rPr>
              <w:t>Lab billing (₦)</w:t>
            </w:r>
          </w:p>
        </w:tc>
        <w:tc>
          <w:tcPr>
            <w:tcW w:type="dxa" w:w="1368"/>
            <w:shd w:val="clear" w:color="auto" w:fill="0259A0"/>
            <w:tcMar>
              <w:top w:w="60" w:type="dxa"/>
              <w:bottom w:w="60" w:type="dxa"/>
              <w:start w:w="100" w:type="dxa"/>
              <w:end w:w="100" w:type="dxa"/>
              <w:left w:w="100" w:type="dxa"/>
              <w:right w:w="100" w:type="dxa"/>
            </w:tcMar>
          </w:tcPr>
          <w:p>
            <w:r/>
            <w:r>
              <w:rPr>
                <w:rFonts w:ascii="Calibri" w:hAnsi="Calibri"/>
                <w:b/>
                <w:color w:val="FFFFFF"/>
                <w:sz w:val="16"/>
              </w:rPr>
              <w:t>2% Comm. (₦)</w:t>
            </w:r>
          </w:p>
        </w:tc>
        <w:tc>
          <w:tcPr>
            <w:tcW w:type="dxa" w:w="1224"/>
            <w:shd w:val="clear" w:color="auto" w:fill="0259A0"/>
            <w:tcMar>
              <w:top w:w="60" w:type="dxa"/>
              <w:bottom w:w="60" w:type="dxa"/>
              <w:start w:w="100" w:type="dxa"/>
              <w:end w:w="100" w:type="dxa"/>
              <w:left w:w="100" w:type="dxa"/>
              <w:right w:w="100" w:type="dxa"/>
            </w:tcMar>
          </w:tcPr>
          <w:p>
            <w:r/>
            <w:r>
              <w:rPr>
                <w:rFonts w:ascii="Calibri" w:hAnsi="Calibri"/>
                <w:b/>
                <w:color w:val="FFFFFF"/>
                <w:sz w:val="16"/>
              </w:rPr>
              <w:t>Deduct. (₦)</w:t>
            </w:r>
          </w:p>
        </w:tc>
        <w:tc>
          <w:tcPr>
            <w:tcW w:type="dxa" w:w="1368"/>
            <w:shd w:val="clear" w:color="auto" w:fill="0259A0"/>
            <w:tcMar>
              <w:top w:w="60" w:type="dxa"/>
              <w:bottom w:w="60" w:type="dxa"/>
              <w:start w:w="100" w:type="dxa"/>
              <w:end w:w="100" w:type="dxa"/>
              <w:left w:w="100" w:type="dxa"/>
              <w:right w:w="100" w:type="dxa"/>
            </w:tcMar>
          </w:tcPr>
          <w:p>
            <w:r/>
            <w:r>
              <w:rPr>
                <w:rFonts w:ascii="Calibri" w:hAnsi="Calibri"/>
                <w:b/>
                <w:color w:val="FFFFFF"/>
                <w:sz w:val="16"/>
              </w:rPr>
              <w:t>Net (₦)</w:t>
            </w:r>
          </w:p>
        </w:tc>
        <w:tc>
          <w:tcPr>
            <w:tcW w:type="dxa" w:w="1368"/>
            <w:shd w:val="clear" w:color="auto" w:fill="0259A0"/>
            <w:tcMar>
              <w:top w:w="60" w:type="dxa"/>
              <w:bottom w:w="60" w:type="dxa"/>
              <w:start w:w="100" w:type="dxa"/>
              <w:end w:w="100" w:type="dxa"/>
              <w:left w:w="100" w:type="dxa"/>
              <w:right w:w="100" w:type="dxa"/>
            </w:tcMar>
          </w:tcPr>
          <w:p>
            <w:r/>
            <w:r>
              <w:rPr>
                <w:rFonts w:ascii="Calibri" w:hAnsi="Calibri"/>
                <w:b/>
                <w:color w:val="FFFFFF"/>
                <w:sz w:val="16"/>
              </w:rPr>
              <w:t>Share 30% (₦)</w:t>
            </w:r>
          </w:p>
        </w:tc>
      </w:tr>
      <w:tr>
        <w:tc>
          <w:tcPr>
            <w:tcW w:type="dxa" w:w="576"/>
            <w:tcMar>
              <w:top w:w="60" w:type="dxa"/>
              <w:bottom w:w="60" w:type="dxa"/>
              <w:start w:w="100" w:type="dxa"/>
              <w:end w:w="100" w:type="dxa"/>
              <w:left w:w="100" w:type="dxa"/>
              <w:right w:w="100" w:type="dxa"/>
            </w:tcMar>
          </w:tcPr>
          <w:p>
            <w:r/>
            <w:r>
              <w:rPr>
                <w:rFonts w:ascii="Calibri" w:hAnsi="Calibri"/>
                <w:sz w:val="17"/>
              </w:rPr>
              <w:t>A</w:t>
            </w:r>
          </w:p>
        </w:tc>
        <w:tc>
          <w:tcPr>
            <w:tcW w:type="dxa" w:w="2160"/>
            <w:tcMar>
              <w:top w:w="60" w:type="dxa"/>
              <w:bottom w:w="60" w:type="dxa"/>
              <w:start w:w="100" w:type="dxa"/>
              <w:end w:w="100" w:type="dxa"/>
              <w:left w:w="100" w:type="dxa"/>
              <w:right w:w="100" w:type="dxa"/>
            </w:tcMar>
          </w:tcPr>
          <w:p>
            <w:r/>
            <w:r>
              <w:rPr>
                <w:rFonts w:ascii="Calibri" w:hAnsi="Calibri"/>
                <w:b/>
                <w:color w:val="064B84"/>
                <w:sz w:val="17"/>
              </w:rPr>
              <w:t>Standard test</w:t>
            </w:r>
          </w:p>
        </w:tc>
        <w:tc>
          <w:tcPr>
            <w:tcW w:type="dxa" w:w="1440"/>
            <w:tcMar>
              <w:top w:w="60" w:type="dxa"/>
              <w:bottom w:w="60" w:type="dxa"/>
              <w:start w:w="100" w:type="dxa"/>
              <w:end w:w="100" w:type="dxa"/>
              <w:left w:w="100" w:type="dxa"/>
              <w:right w:w="100" w:type="dxa"/>
            </w:tcMar>
          </w:tcPr>
          <w:p>
            <w:pPr>
              <w:jc w:val="right"/>
            </w:pPr>
            <w:r/>
            <w:r>
              <w:rPr>
                <w:rFonts w:ascii="Calibri" w:hAnsi="Calibri"/>
                <w:sz w:val="17"/>
              </w:rPr>
              <w:t>800,000</w:t>
            </w:r>
          </w:p>
        </w:tc>
        <w:tc>
          <w:tcPr>
            <w:tcW w:type="dxa" w:w="1368"/>
            <w:tcMar>
              <w:top w:w="60" w:type="dxa"/>
              <w:bottom w:w="60" w:type="dxa"/>
              <w:start w:w="100" w:type="dxa"/>
              <w:end w:w="100" w:type="dxa"/>
              <w:left w:w="100" w:type="dxa"/>
              <w:right w:w="100" w:type="dxa"/>
            </w:tcMar>
          </w:tcPr>
          <w:p>
            <w:pPr>
              <w:jc w:val="right"/>
            </w:pPr>
            <w:r/>
            <w:r>
              <w:rPr>
                <w:rFonts w:ascii="Calibri" w:hAnsi="Calibri"/>
                <w:sz w:val="17"/>
              </w:rPr>
              <w:t>16,000</w:t>
            </w:r>
          </w:p>
        </w:tc>
        <w:tc>
          <w:tcPr>
            <w:tcW w:type="dxa" w:w="1224"/>
            <w:tcMar>
              <w:top w:w="60" w:type="dxa"/>
              <w:bottom w:w="60" w:type="dxa"/>
              <w:start w:w="100" w:type="dxa"/>
              <w:end w:w="100" w:type="dxa"/>
              <w:left w:w="100" w:type="dxa"/>
              <w:right w:w="100" w:type="dxa"/>
            </w:tcMar>
          </w:tcPr>
          <w:p>
            <w:pPr>
              <w:jc w:val="right"/>
            </w:pPr>
            <w:r/>
            <w:r>
              <w:rPr>
                <w:rFonts w:ascii="Calibri" w:hAnsi="Calibri"/>
                <w:sz w:val="17"/>
              </w:rPr>
              <w:t>0</w:t>
            </w:r>
          </w:p>
        </w:tc>
        <w:tc>
          <w:tcPr>
            <w:tcW w:type="dxa" w:w="1368"/>
            <w:tcMar>
              <w:top w:w="60" w:type="dxa"/>
              <w:bottom w:w="60" w:type="dxa"/>
              <w:start w:w="100" w:type="dxa"/>
              <w:end w:w="100" w:type="dxa"/>
              <w:left w:w="100" w:type="dxa"/>
              <w:right w:w="100" w:type="dxa"/>
            </w:tcMar>
          </w:tcPr>
          <w:p>
            <w:pPr>
              <w:jc w:val="right"/>
            </w:pPr>
            <w:r/>
            <w:r>
              <w:rPr>
                <w:rFonts w:ascii="Calibri" w:hAnsi="Calibri"/>
                <w:sz w:val="17"/>
              </w:rPr>
              <w:t>16,000</w:t>
            </w:r>
          </w:p>
        </w:tc>
        <w:tc>
          <w:tcPr>
            <w:tcW w:type="dxa" w:w="1368"/>
            <w:tcMar>
              <w:top w:w="60" w:type="dxa"/>
              <w:bottom w:w="60" w:type="dxa"/>
              <w:start w:w="100" w:type="dxa"/>
              <w:end w:w="100" w:type="dxa"/>
              <w:left w:w="100" w:type="dxa"/>
              <w:right w:w="100" w:type="dxa"/>
            </w:tcMar>
          </w:tcPr>
          <w:p>
            <w:pPr>
              <w:jc w:val="right"/>
            </w:pPr>
            <w:r/>
            <w:r>
              <w:rPr>
                <w:rFonts w:ascii="Calibri" w:hAnsi="Calibri"/>
                <w:b/>
                <w:color w:val="047857"/>
                <w:sz w:val="17"/>
              </w:rPr>
              <w:t>4,800</w:t>
            </w:r>
          </w:p>
        </w:tc>
      </w:tr>
      <w:tr>
        <w:tc>
          <w:tcPr>
            <w:tcW w:type="dxa" w:w="576"/>
            <w:shd w:val="clear" w:color="auto" w:fill="F2F4F7"/>
            <w:tcMar>
              <w:top w:w="60" w:type="dxa"/>
              <w:bottom w:w="60" w:type="dxa"/>
              <w:start w:w="100" w:type="dxa"/>
              <w:end w:w="100" w:type="dxa"/>
              <w:left w:w="100" w:type="dxa"/>
              <w:right w:w="100" w:type="dxa"/>
            </w:tcMar>
          </w:tcPr>
          <w:p>
            <w:r/>
            <w:r>
              <w:rPr>
                <w:rFonts w:ascii="Calibri" w:hAnsi="Calibri"/>
                <w:sz w:val="17"/>
              </w:rPr>
              <w:t>B</w:t>
            </w:r>
          </w:p>
        </w:tc>
        <w:tc>
          <w:tcPr>
            <w:tcW w:type="dxa" w:w="2160"/>
            <w:shd w:val="clear" w:color="auto" w:fill="F2F4F7"/>
            <w:tcMar>
              <w:top w:w="60" w:type="dxa"/>
              <w:bottom w:w="60" w:type="dxa"/>
              <w:start w:w="100" w:type="dxa"/>
              <w:end w:w="100" w:type="dxa"/>
              <w:left w:w="100" w:type="dxa"/>
              <w:right w:w="100" w:type="dxa"/>
            </w:tcMar>
          </w:tcPr>
          <w:p>
            <w:r/>
            <w:r>
              <w:rPr>
                <w:rFonts w:ascii="Calibri" w:hAnsi="Calibri"/>
                <w:b/>
                <w:color w:val="064B84"/>
                <w:sz w:val="17"/>
              </w:rPr>
              <w:t>Premium panel</w:t>
            </w:r>
          </w:p>
        </w:tc>
        <w:tc>
          <w:tcPr>
            <w:tcW w:type="dxa" w:w="1440"/>
            <w:shd w:val="clear" w:color="auto" w:fill="F2F4F7"/>
            <w:tcMar>
              <w:top w:w="60" w:type="dxa"/>
              <w:bottom w:w="60" w:type="dxa"/>
              <w:start w:w="100" w:type="dxa"/>
              <w:end w:w="100" w:type="dxa"/>
              <w:left w:w="100" w:type="dxa"/>
              <w:right w:w="100" w:type="dxa"/>
            </w:tcMar>
          </w:tcPr>
          <w:p>
            <w:pPr>
              <w:jc w:val="right"/>
            </w:pPr>
            <w:r/>
            <w:r>
              <w:rPr>
                <w:rFonts w:ascii="Calibri" w:hAnsi="Calibri"/>
                <w:sz w:val="17"/>
              </w:rPr>
              <w:t>3,000,000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sz w:val="17"/>
              </w:rPr>
              <w:t>60,000</w:t>
            </w:r>
          </w:p>
        </w:tc>
        <w:tc>
          <w:tcPr>
            <w:tcW w:type="dxa" w:w="1224"/>
            <w:shd w:val="clear" w:color="auto" w:fill="F2F4F7"/>
            <w:tcMar>
              <w:top w:w="60" w:type="dxa"/>
              <w:bottom w:w="60" w:type="dxa"/>
              <w:start w:w="100" w:type="dxa"/>
              <w:end w:w="100" w:type="dxa"/>
              <w:left w:w="100" w:type="dxa"/>
              <w:right w:w="100" w:type="dxa"/>
            </w:tcMar>
          </w:tcPr>
          <w:p>
            <w:pPr>
              <w:jc w:val="right"/>
            </w:pPr>
            <w:r/>
            <w:r>
              <w:rPr>
                <w:rFonts w:ascii="Calibri" w:hAnsi="Calibri"/>
                <w:sz w:val="17"/>
              </w:rPr>
              <w:t>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sz w:val="17"/>
              </w:rPr>
              <w:t>60,000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b/>
                <w:color w:val="047857"/>
                <w:sz w:val="17"/>
              </w:rPr>
              <w:t>18,000</w:t>
            </w:r>
          </w:p>
        </w:tc>
      </w:tr>
      <w:tr>
        <w:tc>
          <w:tcPr>
            <w:tcW w:type="dxa" w:w="576"/>
            <w:tcMar>
              <w:top w:w="60" w:type="dxa"/>
              <w:bottom w:w="60" w:type="dxa"/>
              <w:start w:w="100" w:type="dxa"/>
              <w:end w:w="100" w:type="dxa"/>
              <w:left w:w="100" w:type="dxa"/>
              <w:right w:w="100" w:type="dxa"/>
            </w:tcMar>
          </w:tcPr>
          <w:p>
            <w:r/>
            <w:r>
              <w:rPr>
                <w:rFonts w:ascii="Calibri" w:hAnsi="Calibri"/>
                <w:sz w:val="17"/>
              </w:rPr>
              <w:t>C</w:t>
            </w:r>
          </w:p>
        </w:tc>
        <w:tc>
          <w:tcPr>
            <w:tcW w:type="dxa" w:w="2160"/>
            <w:tcMar>
              <w:top w:w="60" w:type="dxa"/>
              <w:bottom w:w="60" w:type="dxa"/>
              <w:start w:w="100" w:type="dxa"/>
              <w:end w:w="100" w:type="dxa"/>
              <w:left w:w="100" w:type="dxa"/>
              <w:right w:w="100" w:type="dxa"/>
            </w:tcMar>
          </w:tcPr>
          <w:p>
            <w:r/>
            <w:r>
              <w:rPr>
                <w:rFonts w:ascii="Calibri" w:hAnsi="Calibri"/>
                <w:b/>
                <w:color w:val="064B84"/>
                <w:sz w:val="17"/>
              </w:rPr>
              <w:t>With bank/processing fees</w:t>
            </w:r>
          </w:p>
        </w:tc>
        <w:tc>
          <w:tcPr>
            <w:tcW w:type="dxa" w:w="1440"/>
            <w:tcMar>
              <w:top w:w="60" w:type="dxa"/>
              <w:bottom w:w="60" w:type="dxa"/>
              <w:start w:w="100" w:type="dxa"/>
              <w:end w:w="100" w:type="dxa"/>
              <w:left w:w="100" w:type="dxa"/>
              <w:right w:w="100" w:type="dxa"/>
            </w:tcMar>
          </w:tcPr>
          <w:p>
            <w:pPr>
              <w:jc w:val="right"/>
            </w:pPr>
            <w:r/>
            <w:r>
              <w:rPr>
                <w:rFonts w:ascii="Calibri" w:hAnsi="Calibri"/>
                <w:sz w:val="17"/>
              </w:rPr>
              <w:t>1,200,000</w:t>
            </w:r>
          </w:p>
        </w:tc>
        <w:tc>
          <w:tcPr>
            <w:tcW w:type="dxa" w:w="1368"/>
            <w:tcMar>
              <w:top w:w="60" w:type="dxa"/>
              <w:bottom w:w="60" w:type="dxa"/>
              <w:start w:w="100" w:type="dxa"/>
              <w:end w:w="100" w:type="dxa"/>
              <w:left w:w="100" w:type="dxa"/>
              <w:right w:w="100" w:type="dxa"/>
            </w:tcMar>
          </w:tcPr>
          <w:p>
            <w:pPr>
              <w:jc w:val="right"/>
            </w:pPr>
            <w:r/>
            <w:r>
              <w:rPr>
                <w:rFonts w:ascii="Calibri" w:hAnsi="Calibri"/>
                <w:sz w:val="17"/>
              </w:rPr>
              <w:t>24,000</w:t>
            </w:r>
          </w:p>
        </w:tc>
        <w:tc>
          <w:tcPr>
            <w:tcW w:type="dxa" w:w="1224"/>
            <w:tcMar>
              <w:top w:w="60" w:type="dxa"/>
              <w:bottom w:w="60" w:type="dxa"/>
              <w:start w:w="100" w:type="dxa"/>
              <w:end w:w="100" w:type="dxa"/>
              <w:left w:w="100" w:type="dxa"/>
              <w:right w:w="100" w:type="dxa"/>
            </w:tcMar>
          </w:tcPr>
          <w:p>
            <w:pPr>
              <w:jc w:val="right"/>
            </w:pPr>
            <w:r/>
            <w:r>
              <w:rPr>
                <w:rFonts w:ascii="Calibri" w:hAnsi="Calibri"/>
                <w:sz w:val="17"/>
              </w:rPr>
              <w:t>2,000</w:t>
            </w:r>
          </w:p>
        </w:tc>
        <w:tc>
          <w:tcPr>
            <w:tcW w:type="dxa" w:w="1368"/>
            <w:tcMar>
              <w:top w:w="60" w:type="dxa"/>
              <w:bottom w:w="60" w:type="dxa"/>
              <w:start w:w="100" w:type="dxa"/>
              <w:end w:w="100" w:type="dxa"/>
              <w:left w:w="100" w:type="dxa"/>
              <w:right w:w="100" w:type="dxa"/>
            </w:tcMar>
          </w:tcPr>
          <w:p>
            <w:pPr>
              <w:jc w:val="right"/>
            </w:pPr>
            <w:r/>
            <w:r>
              <w:rPr>
                <w:rFonts w:ascii="Calibri" w:hAnsi="Calibri"/>
                <w:sz w:val="17"/>
              </w:rPr>
              <w:t>22,000</w:t>
            </w:r>
          </w:p>
        </w:tc>
        <w:tc>
          <w:tcPr>
            <w:tcW w:type="dxa" w:w="1368"/>
            <w:tcMar>
              <w:top w:w="60" w:type="dxa"/>
              <w:bottom w:w="60" w:type="dxa"/>
              <w:start w:w="100" w:type="dxa"/>
              <w:end w:w="100" w:type="dxa"/>
              <w:left w:w="100" w:type="dxa"/>
              <w:right w:w="100" w:type="dxa"/>
            </w:tcMar>
          </w:tcPr>
          <w:p>
            <w:pPr>
              <w:jc w:val="right"/>
            </w:pPr>
            <w:r/>
            <w:r>
              <w:rPr>
                <w:rFonts w:ascii="Calibri" w:hAnsi="Calibri"/>
                <w:b/>
                <w:color w:val="047857"/>
                <w:sz w:val="17"/>
              </w:rPr>
              <w:t>6,600</w:t>
            </w:r>
          </w:p>
        </w:tc>
      </w:tr>
      <w:tr>
        <w:tc>
          <w:tcPr>
            <w:tcW w:type="dxa" w:w="576"/>
            <w:shd w:val="clear" w:color="auto" w:fill="F2F4F7"/>
            <w:tcMar>
              <w:top w:w="60" w:type="dxa"/>
              <w:bottom w:w="60" w:type="dxa"/>
              <w:start w:w="100" w:type="dxa"/>
              <w:end w:w="100" w:type="dxa"/>
              <w:left w:w="100" w:type="dxa"/>
              <w:right w:w="100" w:type="dxa"/>
            </w:tcMar>
          </w:tcPr>
          <w:p>
            <w:r/>
            <w:r>
              <w:rPr>
                <w:rFonts w:ascii="Calibri" w:hAnsi="Calibri"/>
                <w:sz w:val="17"/>
              </w:rPr>
              <w:t>D</w:t>
            </w:r>
          </w:p>
        </w:tc>
        <w:tc>
          <w:tcPr>
            <w:tcW w:type="dxa" w:w="2160"/>
            <w:shd w:val="clear" w:color="auto" w:fill="F2F4F7"/>
            <w:tcMar>
              <w:top w:w="60" w:type="dxa"/>
              <w:bottom w:w="60" w:type="dxa"/>
              <w:start w:w="100" w:type="dxa"/>
              <w:end w:w="100" w:type="dxa"/>
              <w:left w:w="100" w:type="dxa"/>
              <w:right w:w="100" w:type="dxa"/>
            </w:tcMar>
          </w:tcPr>
          <w:p>
            <w:r/>
            <w:r>
              <w:rPr>
                <w:rFonts w:ascii="Calibri" w:hAnsi="Calibri"/>
                <w:b/>
                <w:color w:val="064B84"/>
                <w:sz w:val="17"/>
              </w:rPr>
              <w:t>With partial refund</w:t>
            </w:r>
          </w:p>
        </w:tc>
        <w:tc>
          <w:tcPr>
            <w:tcW w:type="dxa" w:w="1440"/>
            <w:shd w:val="clear" w:color="auto" w:fill="F2F4F7"/>
            <w:tcMar>
              <w:top w:w="60" w:type="dxa"/>
              <w:bottom w:w="60" w:type="dxa"/>
              <w:start w:w="100" w:type="dxa"/>
              <w:end w:w="100" w:type="dxa"/>
              <w:left w:w="100" w:type="dxa"/>
              <w:right w:w="100" w:type="dxa"/>
            </w:tcMar>
          </w:tcPr>
          <w:p>
            <w:pPr>
              <w:jc w:val="right"/>
            </w:pPr>
            <w:r/>
            <w:r>
              <w:rPr>
                <w:rFonts w:ascii="Calibri" w:hAnsi="Calibri"/>
                <w:sz w:val="17"/>
              </w:rPr>
              <w:t>2,000,000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sz w:val="17"/>
              </w:rPr>
              <w:t>40,000</w:t>
            </w:r>
          </w:p>
        </w:tc>
        <w:tc>
          <w:tcPr>
            <w:tcW w:type="dxa" w:w="1224"/>
            <w:shd w:val="clear" w:color="auto" w:fill="F2F4F7"/>
            <w:tcMar>
              <w:top w:w="60" w:type="dxa"/>
              <w:bottom w:w="60" w:type="dxa"/>
              <w:start w:w="100" w:type="dxa"/>
              <w:end w:w="100" w:type="dxa"/>
              <w:left w:w="100" w:type="dxa"/>
              <w:right w:w="100" w:type="dxa"/>
            </w:tcMar>
          </w:tcPr>
          <w:p>
            <w:pPr>
              <w:jc w:val="right"/>
            </w:pPr>
            <w:r/>
            <w:r>
              <w:rPr>
                <w:rFonts w:ascii="Calibri" w:hAnsi="Calibri"/>
                <w:sz w:val="17"/>
              </w:rPr>
              <w:t>10,000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sz w:val="17"/>
              </w:rPr>
              <w:t>30,000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b/>
                <w:color w:val="047857"/>
                <w:sz w:val="17"/>
              </w:rPr>
              <w:t>9,000</w:t>
            </w:r>
          </w:p>
        </w:tc>
      </w:tr>
      <w:tr>
        <w:tc>
          <w:tcPr>
            <w:tcW w:type="dxa" w:w="576"/>
            <w:tcMar>
              <w:top w:w="60" w:type="dxa"/>
              <w:bottom w:w="60" w:type="dxa"/>
              <w:start w:w="100" w:type="dxa"/>
              <w:end w:w="100" w:type="dxa"/>
              <w:left w:w="100" w:type="dxa"/>
              <w:right w:w="100" w:type="dxa"/>
            </w:tcMar>
          </w:tcPr>
          <w:p>
            <w:r/>
            <w:r>
              <w:rPr>
                <w:rFonts w:ascii="Calibri" w:hAnsi="Calibri"/>
                <w:sz w:val="17"/>
              </w:rPr>
              <w:t>E</w:t>
            </w:r>
          </w:p>
        </w:tc>
        <w:tc>
          <w:tcPr>
            <w:tcW w:type="dxa" w:w="2160"/>
            <w:tcMar>
              <w:top w:w="60" w:type="dxa"/>
              <w:bottom w:w="60" w:type="dxa"/>
              <w:start w:w="100" w:type="dxa"/>
              <w:end w:w="100" w:type="dxa"/>
              <w:left w:w="100" w:type="dxa"/>
              <w:right w:w="100" w:type="dxa"/>
            </w:tcMar>
          </w:tcPr>
          <w:p>
            <w:r/>
            <w:r>
              <w:rPr>
                <w:rFonts w:ascii="Calibri" w:hAnsi="Calibri"/>
                <w:b/>
                <w:color w:val="064B84"/>
                <w:sz w:val="17"/>
              </w:rPr>
              <w:t>Monthly book – 5 labs</w:t>
            </w:r>
          </w:p>
        </w:tc>
        <w:tc>
          <w:tcPr>
            <w:tcW w:type="dxa" w:w="1440"/>
            <w:tcMar>
              <w:top w:w="60" w:type="dxa"/>
              <w:bottom w:w="60" w:type="dxa"/>
              <w:start w:w="100" w:type="dxa"/>
              <w:end w:w="100" w:type="dxa"/>
              <w:left w:w="100" w:type="dxa"/>
              <w:right w:w="100" w:type="dxa"/>
            </w:tcMar>
          </w:tcPr>
          <w:p>
            <w:pPr>
              <w:jc w:val="right"/>
            </w:pPr>
            <w:r/>
            <w:r>
              <w:rPr>
                <w:rFonts w:ascii="Calibri" w:hAnsi="Calibri"/>
                <w:sz w:val="17"/>
              </w:rPr>
              <w:t>25,000,000</w:t>
            </w:r>
          </w:p>
        </w:tc>
        <w:tc>
          <w:tcPr>
            <w:tcW w:type="dxa" w:w="1368"/>
            <w:tcMar>
              <w:top w:w="60" w:type="dxa"/>
              <w:bottom w:w="60" w:type="dxa"/>
              <w:start w:w="100" w:type="dxa"/>
              <w:end w:w="100" w:type="dxa"/>
              <w:left w:w="100" w:type="dxa"/>
              <w:right w:w="100" w:type="dxa"/>
            </w:tcMar>
          </w:tcPr>
          <w:p>
            <w:pPr>
              <w:jc w:val="right"/>
            </w:pPr>
            <w:r/>
            <w:r>
              <w:rPr>
                <w:rFonts w:ascii="Calibri" w:hAnsi="Calibri"/>
                <w:sz w:val="17"/>
              </w:rPr>
              <w:t>500,000</w:t>
            </w:r>
          </w:p>
        </w:tc>
        <w:tc>
          <w:tcPr>
            <w:tcW w:type="dxa" w:w="1224"/>
            <w:tcMar>
              <w:top w:w="60" w:type="dxa"/>
              <w:bottom w:w="60" w:type="dxa"/>
              <w:start w:w="100" w:type="dxa"/>
              <w:end w:w="100" w:type="dxa"/>
              <w:left w:w="100" w:type="dxa"/>
              <w:right w:w="100" w:type="dxa"/>
            </w:tcMar>
          </w:tcPr>
          <w:p>
            <w:pPr>
              <w:jc w:val="right"/>
            </w:pPr>
            <w:r/>
            <w:r>
              <w:rPr>
                <w:rFonts w:ascii="Calibri" w:hAnsi="Calibri"/>
                <w:sz w:val="17"/>
              </w:rPr>
              <w:t>35,000</w:t>
            </w:r>
          </w:p>
        </w:tc>
        <w:tc>
          <w:tcPr>
            <w:tcW w:type="dxa" w:w="1368"/>
            <w:tcMar>
              <w:top w:w="60" w:type="dxa"/>
              <w:bottom w:w="60" w:type="dxa"/>
              <w:start w:w="100" w:type="dxa"/>
              <w:end w:w="100" w:type="dxa"/>
              <w:left w:w="100" w:type="dxa"/>
              <w:right w:w="100" w:type="dxa"/>
            </w:tcMar>
          </w:tcPr>
          <w:p>
            <w:pPr>
              <w:jc w:val="right"/>
            </w:pPr>
            <w:r/>
            <w:r>
              <w:rPr>
                <w:rFonts w:ascii="Calibri" w:hAnsi="Calibri"/>
                <w:sz w:val="17"/>
              </w:rPr>
              <w:t>465,000</w:t>
            </w:r>
          </w:p>
        </w:tc>
        <w:tc>
          <w:tcPr>
            <w:tcW w:type="dxa" w:w="1368"/>
            <w:tcMar>
              <w:top w:w="60" w:type="dxa"/>
              <w:bottom w:w="60" w:type="dxa"/>
              <w:start w:w="100" w:type="dxa"/>
              <w:end w:w="100" w:type="dxa"/>
              <w:left w:w="100" w:type="dxa"/>
              <w:right w:w="100" w:type="dxa"/>
            </w:tcMar>
          </w:tcPr>
          <w:p>
            <w:pPr>
              <w:jc w:val="right"/>
            </w:pPr>
            <w:r/>
            <w:r>
              <w:rPr>
                <w:rFonts w:ascii="Calibri" w:hAnsi="Calibri"/>
                <w:b/>
                <w:color w:val="047857"/>
                <w:sz w:val="17"/>
              </w:rPr>
              <w:t>139,500</w:t>
            </w:r>
          </w:p>
        </w:tc>
      </w:tr>
      <w:tr>
        <w:tc>
          <w:tcPr>
            <w:tcW w:type="dxa" w:w="576"/>
            <w:shd w:val="clear" w:color="auto" w:fill="F2F4F7"/>
            <w:tcMar>
              <w:top w:w="60" w:type="dxa"/>
              <w:bottom w:w="60" w:type="dxa"/>
              <w:start w:w="100" w:type="dxa"/>
              <w:end w:w="100" w:type="dxa"/>
              <w:left w:w="100" w:type="dxa"/>
              <w:right w:w="100" w:type="dxa"/>
            </w:tcMar>
          </w:tcPr>
          <w:p>
            <w:r/>
            <w:r>
              <w:rPr>
                <w:rFonts w:ascii="Calibri" w:hAnsi="Calibri"/>
                <w:sz w:val="17"/>
              </w:rPr>
              <w:t>F</w:t>
            </w:r>
          </w:p>
        </w:tc>
        <w:tc>
          <w:tcPr>
            <w:tcW w:type="dxa" w:w="2160"/>
            <w:shd w:val="clear" w:color="auto" w:fill="F2F4F7"/>
            <w:tcMar>
              <w:top w:w="60" w:type="dxa"/>
              <w:bottom w:w="60" w:type="dxa"/>
              <w:start w:w="100" w:type="dxa"/>
              <w:end w:w="100" w:type="dxa"/>
              <w:left w:w="100" w:type="dxa"/>
              <w:right w:w="100" w:type="dxa"/>
            </w:tcMar>
          </w:tcPr>
          <w:p>
            <w:r/>
            <w:r>
              <w:rPr>
                <w:rFonts w:ascii="Calibri" w:hAnsi="Calibri"/>
                <w:b/>
                <w:color w:val="064B84"/>
                <w:sz w:val="17"/>
              </w:rPr>
              <w:t>Quarter aggregate</w:t>
            </w:r>
          </w:p>
        </w:tc>
        <w:tc>
          <w:tcPr>
            <w:tcW w:type="dxa" w:w="1440"/>
            <w:shd w:val="clear" w:color="auto" w:fill="F2F4F7"/>
            <w:tcMar>
              <w:top w:w="60" w:type="dxa"/>
              <w:bottom w:w="60" w:type="dxa"/>
              <w:start w:w="100" w:type="dxa"/>
              <w:end w:w="100" w:type="dxa"/>
              <w:left w:w="100" w:type="dxa"/>
              <w:right w:w="100" w:type="dxa"/>
            </w:tcMar>
          </w:tcPr>
          <w:p>
            <w:pPr>
              <w:jc w:val="right"/>
            </w:pPr>
            <w:r/>
            <w:r>
              <w:rPr>
                <w:rFonts w:ascii="Calibri" w:hAnsi="Calibri"/>
                <w:sz w:val="17"/>
              </w:rPr>
              <w:t>75,000,000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sz w:val="17"/>
              </w:rPr>
              <w:t>1,500,000</w:t>
            </w:r>
          </w:p>
        </w:tc>
        <w:tc>
          <w:tcPr>
            <w:tcW w:type="dxa" w:w="1224"/>
            <w:shd w:val="clear" w:color="auto" w:fill="F2F4F7"/>
            <w:tcMar>
              <w:top w:w="60" w:type="dxa"/>
              <w:bottom w:w="60" w:type="dxa"/>
              <w:start w:w="100" w:type="dxa"/>
              <w:end w:w="100" w:type="dxa"/>
              <w:left w:w="100" w:type="dxa"/>
              <w:right w:w="100" w:type="dxa"/>
            </w:tcMar>
          </w:tcPr>
          <w:p>
            <w:pPr>
              <w:jc w:val="right"/>
            </w:pPr>
            <w:r/>
            <w:r>
              <w:rPr>
                <w:rFonts w:ascii="Calibri" w:hAnsi="Calibri"/>
                <w:sz w:val="17"/>
              </w:rPr>
              <w:t>90,000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sz w:val="17"/>
              </w:rPr>
              <w:t>1,410,000</w:t>
            </w:r>
          </w:p>
        </w:tc>
        <w:tc>
          <w:tcPr>
            <w:tcW w:type="dxa" w:w="1368"/>
            <w:shd w:val="clear" w:color="auto" w:fill="F2F4F7"/>
            <w:tcMar>
              <w:top w:w="60" w:type="dxa"/>
              <w:bottom w:w="60" w:type="dxa"/>
              <w:start w:w="100" w:type="dxa"/>
              <w:end w:w="100" w:type="dxa"/>
              <w:left w:w="100" w:type="dxa"/>
              <w:right w:w="100" w:type="dxa"/>
            </w:tcMar>
          </w:tcPr>
          <w:p>
            <w:pPr>
              <w:jc w:val="right"/>
            </w:pPr>
            <w:r/>
            <w:r>
              <w:rPr>
                <w:rFonts w:ascii="Calibri" w:hAnsi="Calibri"/>
                <w:b/>
                <w:color w:val="047857"/>
                <w:sz w:val="17"/>
              </w:rPr>
              <w:t>423,000</w:t>
            </w:r>
          </w:p>
        </w:tc>
      </w:tr>
    </w:tbl>
    <w:p>
      <w:pPr>
        <w:spacing w:before="0" w:after="120" w:line="276" w:lineRule="auto"/>
      </w:pPr>
    </w:p>
    <w:p>
      <w:pPr>
        <w:spacing w:before="0" w:after="120" w:line="276" w:lineRule="auto"/>
      </w:pPr>
      <w:r>
        <w:rPr>
          <w:rFonts w:ascii="Calibri" w:hAnsi="Calibri"/>
          <w:b w:val="0"/>
          <w:i/>
          <w:color w:val="555F6D"/>
          <w:sz w:val="18"/>
        </w:rPr>
        <w:t>Note: Examples E and F aggregate multiple Confirmed Transactions across Introduced Laboratories. In all cases the Revenue Share is 30% of Net Commission Revenue actually received and confirmed by Poveon.</w:t>
      </w:r>
    </w:p>
    <w:p>
      <w:pPr>
        <w:spacing w:before="0" w:after="160" w:line="276" w:lineRule="auto"/>
      </w:pPr>
    </w:p>
    <w:p>
      <w:pPr>
        <w:pBdr>
          <w:top w:val="single" w:sz="8" w:space="2" w:color="059669"/>
        </w:pBdr>
        <w:spacing w:before="120"/>
        <w:jc w:val="center"/>
      </w:pPr>
      <w:r>
        <w:rPr>
          <w:rFonts w:ascii="Calibri" w:hAnsi="Calibri"/>
          <w:b/>
          <w:color w:val="555F6D"/>
          <w:sz w:val="18"/>
        </w:rPr>
        <w:t>—  END OF AGREEMENT  —</w:t>
      </w:r>
    </w:p>
    <w:sectPr w:rsidR="00FC693F" w:rsidRPr="0006063C" w:rsidSect="00034616">
      <w:headerReference w:type="default" r:id="rId10"/>
      <w:footerReference w:type="default" r:id="rId11"/>
      <w:pgSz w:w="12240" w:h="15840"/>
      <w:pgMar w:top="1440" w:right="1440" w:bottom="1296" w:left="1440" w:header="720" w:footer="576"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6048"/>
      <w:gridCol w:w="3312"/>
    </w:tblGrid>
    <w:tr>
      <w:tc>
        <w:tcPr>
          <w:tcW w:type="dxa" w:w="4680"/>
        </w:tcPr>
        <w:p>
          <w:r/>
          <w:r>
            <w:rPr>
              <w:rFonts w:ascii="Calibri" w:hAnsi="Calibri"/>
              <w:color w:val="555F6D"/>
              <w:sz w:val="16"/>
            </w:rPr>
            <w:t>Poveon LTD  ·  Strictly Private &amp; Confidential</w:t>
          </w:r>
        </w:p>
      </w:tc>
      <w:tc>
        <w:tcPr>
          <w:tcW w:type="dxa" w:w="4680"/>
        </w:tcPr>
        <w:p>
          <w:pPr>
            <w:jc w:val="right"/>
          </w:pPr>
          <w:r/>
          <w:r>
            <w:rPr>
              <w:rFonts w:ascii="Calibri" w:hAnsi="Calibri"/>
              <w:color w:val="555F6D"/>
              <w:sz w:val="16"/>
            </w:rPr>
            <w:t xml:space="preserve">Page </w:t>
          </w:r>
          <w:r>
            <w:rPr>
              <w:sz w:val="16"/>
            </w:rPr>
            <w:fldChar w:fldCharType="begin"/>
            <w:instrText xml:space="preserve">PAGE</w:instrText>
            <w:fldChar w:fldCharType="separate"/>
            <w:t>1</w:t>
            <w:fldChar w:fldCharType="end"/>
          </w:r>
          <w:r>
            <w:rPr>
              <w:rFonts w:ascii="Calibri" w:hAnsi="Calibri"/>
              <w:color w:val="555F6D"/>
              <w:sz w:val="16"/>
            </w:rPr>
            <w:t xml:space="preserve"> of </w:t>
          </w:r>
          <w:r>
            <w:rPr>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624"/>
      <w:gridCol w:w="2736"/>
    </w:tblGrid>
    <w:tr>
      <w:tc>
        <w:tcPr>
          <w:tcW w:type="dxa" w:w="4680"/>
        </w:tcPr>
        <w:p>
          <w:r/>
          <w:r>
            <w:rPr>
              <w:rFonts w:ascii="Calibri" w:hAnsi="Calibri"/>
              <w:b/>
              <w:color w:val="0259A0"/>
              <w:sz w:val="18"/>
            </w:rPr>
            <w:t>POVEON LTD</w:t>
          </w:r>
        </w:p>
        <w:p>
          <w:pPr>
            <w:spacing w:after="0"/>
          </w:pPr>
          <w:r>
            <w:rPr>
              <w:rFonts w:ascii="Calibri" w:hAnsi="Calibri"/>
              <w:i/>
              <w:color w:val="555F6D"/>
              <w:sz w:val="16"/>
            </w:rPr>
            <w:t>Executive Revenue Sharing &amp; Performance Agreement</w:t>
          </w:r>
        </w:p>
      </w:tc>
      <w:tc>
        <w:tcPr>
          <w:tcW w:type="dxa" w:w="4680"/>
        </w:tcPr>
        <w:p>
          <w:pPr>
            <w:jc w:val="right"/>
          </w:pPr>
          <w:r/>
          <w:r>
            <w:drawing>
              <wp:inline xmlns:a="http://schemas.openxmlformats.org/drawingml/2006/main" xmlns:pic="http://schemas.openxmlformats.org/drawingml/2006/picture">
                <wp:extent cx="310896" cy="308305"/>
                <wp:docPr id="1" name="Picture 1"/>
                <wp:cNvGraphicFramePr>
                  <a:graphicFrameLocks noChangeAspect="1"/>
                </wp:cNvGraphicFramePr>
                <a:graphic>
                  <a:graphicData uri="http://schemas.openxmlformats.org/drawingml/2006/picture">
                    <pic:pic>
                      <pic:nvPicPr>
                        <pic:cNvPr id="0" name="logo_header.png"/>
                        <pic:cNvPicPr/>
                      </pic:nvPicPr>
                      <pic:blipFill>
                        <a:blip r:embed="rId1"/>
                        <a:stretch>
                          <a:fillRect/>
                        </a:stretch>
                      </pic:blipFill>
                      <pic:spPr>
                        <a:xfrm>
                          <a:off x="0" y="0"/>
                          <a:ext cx="310896" cy="308305"/>
                        </a:xfrm>
                        <a:prstGeom prst="rect"/>
                      </pic:spPr>
                    </pic:pic>
                  </a:graphicData>
                </a:graphic>
              </wp:inline>
            </w:drawing>
          </w:r>
        </w:p>
      </w:tc>
    </w:tr>
  </w:tbl>
  <w:p>
    <w:pPr>
      <w:pBdr>
        <w:bottom w:val="single" w:sz="6" w:space="1" w:color="059669"/>
      </w:pBdr>
      <w:spacing w:after="4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64B8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