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participation from 40 COST countries and 220 proposers, this Action is able to transform the European finance sector into a more sustainable and digitally advanced landscape, ultimately enhancing Europe's global competitiveness. Achieving this ambitious goal necessitates the collaborative framework provided by a COST network.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 plan is structured into four specialized Working Groups (WGs):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WG1: Data-Driven Processes and Data Privacy</w:t>
      </w:r>
      <w:r w:rsidDel="00000000" w:rsidR="00000000" w:rsidRPr="00000000">
        <w:rPr>
          <w:rtl w:val="0"/>
        </w:rPr>
        <w:t xml:space="preserve"> focuses on safeguarding data through methods like differential privacy and federated learning, creating comprehensive guidelines essential for secure financial operations.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WG2: Generative AI in Finance</w:t>
      </w:r>
      <w:r w:rsidDel="00000000" w:rsidR="00000000" w:rsidRPr="00000000">
        <w:rPr>
          <w:rtl w:val="0"/>
        </w:rPr>
        <w:t xml:space="preserve"> leverages advanced AI techniques to innovate across various financial domains, such as portfolio optimization and risk management.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WG3: Explainable AI and Accountability</w:t>
      </w:r>
      <w:r w:rsidDel="00000000" w:rsidR="00000000" w:rsidRPr="00000000">
        <w:rPr>
          <w:rtl w:val="0"/>
        </w:rPr>
        <w:t xml:space="preserve"> aims to enhance transparency and trust in AI models used in finance, ensuring they are understandable and fair.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WG4: Sustainable Digital Finance</w:t>
      </w:r>
      <w:r w:rsidDel="00000000" w:rsidR="00000000" w:rsidRPr="00000000">
        <w:rPr>
          <w:rtl w:val="0"/>
        </w:rPr>
        <w:t xml:space="preserve"> advances sustainable finance initiatives by developing data-driven Environmental, Social, and Governance measurement tools.</w:t>
        <w:br w:type="textWrapping"/>
        <w:t xml:space="preserve">The Action has a substantial impact across scientific, technological, and socioeconomic domains in Europe. It outlines specific deliverables—including comprehensive reports, models, and algorithms—to be achieved within a 48-month timeframe. Recognizing potential risks like inconsistencies in data privacy regulations and limited adoption of XAI protocols, the Action includes contingency plans to address these challenges.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interdisciplinary network involving professionals from business, economics, computer science, law, mathematics ensures a holistic approach. Aligning with key strategic priorities such as the European Green Deal and the Digital Finance Package, the Action places a strong emphasis on involving young researchers and innovators and engaging stakeholders across disciplines.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