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jc w:val="left"/>
        <w:rPr>
          <w:b w:val="1"/>
          <w:color w:val="ff7958"/>
          <w:sz w:val="32"/>
          <w:szCs w:val="32"/>
        </w:rPr>
      </w:pPr>
      <w:r w:rsidDel="00000000" w:rsidR="00000000" w:rsidRPr="00000000">
        <w:rPr>
          <w:b w:val="1"/>
          <w:color w:val="ff7958"/>
          <w:sz w:val="32"/>
          <w:szCs w:val="32"/>
          <w:rtl w:val="0"/>
        </w:rPr>
        <w:t xml:space="preserve">TECHNICAL ANNEX</w:t>
      </w:r>
    </w:p>
    <w:p w:rsidR="00000000" w:rsidDel="00000000" w:rsidP="00000000" w:rsidRDefault="00000000" w:rsidRPr="00000000" w14:paraId="00000002">
      <w:pPr>
        <w:pStyle w:val="Heading1"/>
        <w:spacing w:after="0" w:before="0" w:line="240" w:lineRule="auto"/>
        <w:ind w:left="0" w:firstLine="0"/>
        <w:rPr>
          <w:sz w:val="28"/>
          <w:szCs w:val="28"/>
        </w:rPr>
      </w:pPr>
      <w:r w:rsidDel="00000000" w:rsidR="00000000" w:rsidRPr="00000000">
        <w:rPr>
          <w:sz w:val="28"/>
          <w:szCs w:val="28"/>
          <w:rtl w:val="0"/>
        </w:rPr>
        <w:t xml:space="preserve">1. S&amp;T EXCELLENCE</w:t>
      </w:r>
    </w:p>
    <w:p w:rsidR="00000000" w:rsidDel="00000000" w:rsidP="00000000" w:rsidRDefault="00000000" w:rsidRPr="00000000" w14:paraId="00000003">
      <w:pPr>
        <w:pStyle w:val="Heading2"/>
        <w:spacing w:after="0" w:before="0" w:line="240" w:lineRule="auto"/>
        <w:ind w:left="0" w:firstLine="0"/>
        <w:rPr/>
      </w:pPr>
      <w:r w:rsidDel="00000000" w:rsidR="00000000" w:rsidRPr="00000000">
        <w:rPr>
          <w:smallCaps w:val="1"/>
          <w:sz w:val="22"/>
          <w:szCs w:val="22"/>
          <w:rtl w:val="0"/>
        </w:rPr>
        <w:t xml:space="preserve">1.1 SOUNDNESS OF THE CHALLENGE </w:t>
      </w:r>
      <w:r w:rsidDel="00000000" w:rsidR="00000000" w:rsidRPr="00000000">
        <w:rPr>
          <w:rtl w:val="0"/>
        </w:rPr>
      </w:r>
    </w:p>
    <w:p w:rsidR="00000000" w:rsidDel="00000000" w:rsidP="00000000" w:rsidRDefault="00000000" w:rsidRPr="00000000" w14:paraId="00000004">
      <w:pPr>
        <w:pStyle w:val="Heading3"/>
        <w:tabs>
          <w:tab w:val="left" w:leader="none" w:pos="1843"/>
        </w:tabs>
        <w:spacing w:after="0" w:before="0" w:line="240" w:lineRule="auto"/>
        <w:ind w:left="0" w:firstLine="0"/>
        <w:rPr>
          <w:b w:val="1"/>
        </w:rPr>
      </w:pPr>
      <w:r w:rsidDel="00000000" w:rsidR="00000000" w:rsidRPr="00000000">
        <w:rPr>
          <w:b w:val="1"/>
          <w:smallCaps w:val="0"/>
          <w:sz w:val="20"/>
          <w:szCs w:val="20"/>
          <w:rtl w:val="0"/>
        </w:rPr>
        <w:t xml:space="preserve">1.1.1 </w:t>
      </w:r>
      <w:r w:rsidDel="00000000" w:rsidR="00000000" w:rsidRPr="00000000">
        <w:rPr>
          <w:b w:val="1"/>
          <w:smallCaps w:val="0"/>
          <w:sz w:val="20"/>
          <w:szCs w:val="20"/>
          <w:rtl w:val="0"/>
        </w:rPr>
        <w:t xml:space="preserve">DESCRIPTION OF THE STATE OF THE ART </w:t>
      </w:r>
      <w:r w:rsidDel="00000000" w:rsidR="00000000" w:rsidRPr="00000000">
        <w:rPr>
          <w:rtl w:val="0"/>
        </w:rPr>
      </w:r>
    </w:p>
    <w:p w:rsidR="00000000" w:rsidDel="00000000" w:rsidP="00000000" w:rsidRDefault="00000000" w:rsidRPr="00000000" w14:paraId="00000005">
      <w:pPr>
        <w:spacing w:after="0" w:before="0" w:line="240" w:lineRule="auto"/>
        <w:rPr>
          <w:b w:val="1"/>
        </w:rPr>
      </w:pPr>
      <w:r w:rsidDel="00000000" w:rsidR="00000000" w:rsidRPr="00000000">
        <w:rPr>
          <w:b w:val="1"/>
          <w:rtl w:val="0"/>
        </w:rPr>
        <w:t xml:space="preserve">The Action </w:t>
      </w:r>
      <w:r w:rsidDel="00000000" w:rsidR="00000000" w:rsidRPr="00000000">
        <w:rPr>
          <w:rtl w:val="0"/>
        </w:rPr>
        <w:t xml:space="preserve">will aim to develop a research framework that will address the key challenges associated with integrating cutting-edge digital technologies in the finance sector. In achieving this aim, the Action will drive forward the digitalization of finance while ensuring that core policy objectives, such as consumer and investor protection, fair competition and stability continue to be met as the digital transformation of the financial sector continues. </w:t>
      </w:r>
      <w:r w:rsidDel="00000000" w:rsidR="00000000" w:rsidRPr="00000000">
        <w:rPr>
          <w:b w:val="1"/>
          <w:rtl w:val="0"/>
        </w:rPr>
        <w:t xml:space="preserve"> </w:t>
      </w:r>
    </w:p>
    <w:p w:rsidR="00000000" w:rsidDel="00000000" w:rsidP="00000000" w:rsidRDefault="00000000" w:rsidRPr="00000000" w14:paraId="00000006">
      <w:pPr>
        <w:spacing w:after="0" w:before="0" w:line="240" w:lineRule="auto"/>
        <w:ind w:left="0" w:firstLine="0"/>
        <w:rPr/>
      </w:pPr>
      <w:r w:rsidDel="00000000" w:rsidR="00000000" w:rsidRPr="00000000">
        <w:rPr>
          <w:rtl w:val="0"/>
        </w:rPr>
        <w:t xml:space="preserve">In recent years, we have seen the emergence of new technologies, products and business models at an unprecedented speed, all summarised under the label </w:t>
      </w:r>
      <w:r w:rsidDel="00000000" w:rsidR="00000000" w:rsidRPr="00000000">
        <w:rPr>
          <w:b w:val="1"/>
          <w:rtl w:val="0"/>
        </w:rPr>
        <w:t xml:space="preserve">Digital Finance</w:t>
      </w:r>
      <w:r w:rsidDel="00000000" w:rsidR="00000000" w:rsidRPr="00000000">
        <w:rPr>
          <w:rtl w:val="0"/>
        </w:rPr>
        <w:t xml:space="preserve">. The digitalisation of the financial industry holds great promise. It offers the opportunity to make quick and cost-effective payments, enable the development of innovative financial products and services and foster wider access to financial services thus incorporating previously “unbanked” areas. Put simply, </w:t>
      </w:r>
      <w:r w:rsidDel="00000000" w:rsidR="00000000" w:rsidRPr="00000000">
        <w:rPr>
          <w:b w:val="1"/>
          <w:rtl w:val="0"/>
        </w:rPr>
        <w:t xml:space="preserve">digital technologies are expected to fundamentally transform the financial service industry.</w:t>
      </w:r>
      <w:r w:rsidDel="00000000" w:rsidR="00000000" w:rsidRPr="00000000">
        <w:rPr>
          <w:rtl w:val="0"/>
        </w:rPr>
        <w:t xml:space="preserve"> Some examples of the practitioners’ perspective in terms of the topic’s relevance come from an extensive analysis done by the World Economic Forum (WEF) (2020), which provides a comprehensive picture of how digital technologies are applied in financial services by both incumbents and Fintechs. The study finds that: </w:t>
      </w:r>
    </w:p>
    <w:p w:rsidR="00000000" w:rsidDel="00000000" w:rsidP="00000000" w:rsidRDefault="00000000" w:rsidRPr="00000000" w14:paraId="00000007">
      <w:pPr>
        <w:keepLines w:val="0"/>
        <w:widowControl w:val="0"/>
        <w:numPr>
          <w:ilvl w:val="0"/>
          <w:numId w:val="1"/>
        </w:numPr>
        <w:spacing w:after="0" w:before="0" w:line="240" w:lineRule="auto"/>
        <w:ind w:left="720" w:hanging="360"/>
      </w:pPr>
      <w:r w:rsidDel="00000000" w:rsidR="00000000" w:rsidRPr="00000000">
        <w:rPr>
          <w:rtl w:val="0"/>
        </w:rPr>
        <w:t xml:space="preserve">77% of practitioners anticipate innovative technologies to possess high or very high overall importance to their businesses in the future</w:t>
      </w:r>
    </w:p>
    <w:p w:rsidR="00000000" w:rsidDel="00000000" w:rsidP="00000000" w:rsidRDefault="00000000" w:rsidRPr="00000000" w14:paraId="00000008">
      <w:pPr>
        <w:keepLines w:val="0"/>
        <w:widowControl w:val="0"/>
        <w:numPr>
          <w:ilvl w:val="0"/>
          <w:numId w:val="1"/>
        </w:numPr>
        <w:spacing w:after="0" w:before="0" w:line="240" w:lineRule="auto"/>
        <w:ind w:left="720" w:hanging="360"/>
      </w:pPr>
      <w:r w:rsidDel="00000000" w:rsidR="00000000" w:rsidRPr="00000000">
        <w:rPr>
          <w:rtl w:val="0"/>
        </w:rPr>
        <w:t xml:space="preserve">Approximately 64% of practitioners anticipate employing innovative digital technologies in all of the following categories – generating new revenue potential through new products and processes, process automation, risk management, customer service and client acquisition </w:t>
      </w:r>
    </w:p>
    <w:p w:rsidR="00000000" w:rsidDel="00000000" w:rsidP="00000000" w:rsidRDefault="00000000" w:rsidRPr="00000000" w14:paraId="00000009">
      <w:pPr>
        <w:keepLines w:val="0"/>
        <w:widowControl w:val="0"/>
        <w:numPr>
          <w:ilvl w:val="0"/>
          <w:numId w:val="1"/>
        </w:numPr>
        <w:spacing w:after="0" w:before="0" w:line="240" w:lineRule="auto"/>
        <w:ind w:left="720" w:hanging="360"/>
      </w:pPr>
      <w:r w:rsidDel="00000000" w:rsidR="00000000" w:rsidRPr="00000000">
        <w:rPr>
          <w:rtl w:val="0"/>
        </w:rPr>
        <w:t xml:space="preserve">Overwhelmingly, practitioners expect that digital technologies will become a key success factor for specific financial service sectors</w:t>
      </w:r>
    </w:p>
    <w:p w:rsidR="00000000" w:rsidDel="00000000" w:rsidP="00000000" w:rsidRDefault="00000000" w:rsidRPr="00000000" w14:paraId="0000000A">
      <w:pPr>
        <w:spacing w:after="0" w:before="0" w:line="240" w:lineRule="auto"/>
        <w:rPr/>
      </w:pPr>
      <w:r w:rsidDel="00000000" w:rsidR="00000000" w:rsidRPr="00000000">
        <w:rPr>
          <w:rtl w:val="0"/>
        </w:rPr>
        <w:t xml:space="preserve">Despite promises, the fast adoption of innovative technologies in finance poses challenges and risks, encompassing legal issues like disclosure and oversight, technology-related concerns such as poor data quality, protection and privacy, lack of sufficient explainability, algorithmic bias, and inconsistency in ESG assessment. The European Commission has taken steps in addressing some challenges through GDPR, AI strategy, and digital finance package. These issues align with UN Sustainable Development Goals (Department of Economic and Social Affairs, Sustainable Development., 2023) and are increasingly relevant for financial service companies, as per the 2020 WEF study. To this point, the study done by WEF (2020) finds that: </w:t>
      </w:r>
      <w:r w:rsidDel="00000000" w:rsidR="00000000" w:rsidRPr="00000000">
        <w:rPr>
          <w:rtl w:val="0"/>
        </w:rPr>
      </w:r>
    </w:p>
    <w:p w:rsidR="00000000" w:rsidDel="00000000" w:rsidP="00000000" w:rsidRDefault="00000000" w:rsidRPr="00000000" w14:paraId="0000000B">
      <w:pPr>
        <w:numPr>
          <w:ilvl w:val="0"/>
          <w:numId w:val="3"/>
        </w:numPr>
        <w:spacing w:after="0" w:before="0" w:line="240" w:lineRule="auto"/>
        <w:ind w:left="720" w:hanging="360"/>
      </w:pPr>
      <w:r w:rsidDel="00000000" w:rsidR="00000000" w:rsidRPr="00000000">
        <w:rPr>
          <w:rtl w:val="0"/>
        </w:rPr>
        <w:t xml:space="preserve">91% of the surveyed practitioners consider data quality issues to be a key hurdle to deploying innovative digital technologies like machine learning in practice</w:t>
      </w:r>
    </w:p>
    <w:p w:rsidR="00000000" w:rsidDel="00000000" w:rsidP="00000000" w:rsidRDefault="00000000" w:rsidRPr="00000000" w14:paraId="0000000C">
      <w:pPr>
        <w:numPr>
          <w:ilvl w:val="0"/>
          <w:numId w:val="3"/>
        </w:numPr>
        <w:spacing w:after="0" w:before="0" w:line="240" w:lineRule="auto"/>
        <w:ind w:left="720" w:hanging="360"/>
      </w:pPr>
      <w:r w:rsidDel="00000000" w:rsidR="00000000" w:rsidRPr="00000000">
        <w:rPr>
          <w:rtl w:val="0"/>
        </w:rPr>
        <w:t xml:space="preserve">64% of practitioners consider deficits in trust and user adoption to be another major hindrance of the adoption of digital technologies in finance</w:t>
      </w:r>
    </w:p>
    <w:p w:rsidR="00000000" w:rsidDel="00000000" w:rsidP="00000000" w:rsidRDefault="00000000" w:rsidRPr="00000000" w14:paraId="0000000D">
      <w:pPr>
        <w:numPr>
          <w:ilvl w:val="0"/>
          <w:numId w:val="3"/>
        </w:numPr>
        <w:spacing w:after="0" w:before="0" w:line="240" w:lineRule="auto"/>
        <w:ind w:left="720" w:hanging="360"/>
      </w:pPr>
      <w:r w:rsidDel="00000000" w:rsidR="00000000" w:rsidRPr="00000000">
        <w:rPr>
          <w:rtl w:val="0"/>
        </w:rPr>
        <w:t xml:space="preserve">Complex models are often developed and evaluated within closed environments which do not match the conditions of real-world applications </w:t>
      </w:r>
    </w:p>
    <w:p w:rsidR="00000000" w:rsidDel="00000000" w:rsidP="00000000" w:rsidRDefault="00000000" w:rsidRPr="00000000" w14:paraId="0000000E">
      <w:pPr>
        <w:numPr>
          <w:ilvl w:val="0"/>
          <w:numId w:val="3"/>
        </w:numPr>
        <w:spacing w:after="0" w:before="0" w:line="240" w:lineRule="auto"/>
        <w:ind w:left="720" w:hanging="360"/>
      </w:pPr>
      <w:r w:rsidDel="00000000" w:rsidR="00000000" w:rsidRPr="00000000">
        <w:rPr>
          <w:rtl w:val="0"/>
        </w:rPr>
        <w:t xml:space="preserve">Firms are particularly wary of the potential for complex models to entrench biases in decision-making</w:t>
      </w:r>
    </w:p>
    <w:p w:rsidR="00000000" w:rsidDel="00000000" w:rsidP="00000000" w:rsidRDefault="00000000" w:rsidRPr="00000000" w14:paraId="0000000F">
      <w:pPr>
        <w:spacing w:after="0" w:before="0" w:line="240" w:lineRule="auto"/>
        <w:rPr/>
      </w:pPr>
      <w:r w:rsidDel="00000000" w:rsidR="00000000" w:rsidRPr="00000000">
        <w:rPr>
          <w:rtl w:val="0"/>
        </w:rPr>
        <w:t xml:space="preserve">Having in mind this gap between the theoretical capabilities of technology and its actual implementation in real-world scenarios, the Digital Finance COST Action will aim to develop a research framework that addresses the key technology-related huddles of implementing state-of-art technologies in finance applications. Specifically, the action will aim to: (i) bolster the EU's digital data market by enhancing data quality; (ii) establish clear guidelines for integrating generative AI into the financial sector by addressing challenges related to data privacy, regulatory compliance, market complexity, model robustness, and computational demands; (iii) develop and deploy domain-driven XAI solutions for the finance sector by solving some of the key challenges of deploying explainability to machine learning (ML) and deep learning (DL) models applied to financial use cases; and (iv) simulate sustainable relationships within the financial ecosystem.</w:t>
      </w:r>
    </w:p>
    <w:p w:rsidR="00000000" w:rsidDel="00000000" w:rsidP="00000000" w:rsidRDefault="00000000" w:rsidRPr="00000000" w14:paraId="00000010">
      <w:pPr>
        <w:spacing w:after="0" w:before="0" w:line="240" w:lineRule="auto"/>
        <w:ind w:left="0" w:firstLine="0"/>
        <w:rPr>
          <w:b w:val="1"/>
        </w:rPr>
      </w:pPr>
      <w:r w:rsidDel="00000000" w:rsidR="00000000" w:rsidRPr="00000000">
        <w:rPr>
          <w:rtl w:val="0"/>
        </w:rPr>
        <w:t xml:space="preserve">As a result, the </w:t>
      </w:r>
      <w:r w:rsidDel="00000000" w:rsidR="00000000" w:rsidRPr="00000000">
        <w:rPr>
          <w:b w:val="1"/>
          <w:rtl w:val="0"/>
        </w:rPr>
        <w:t xml:space="preserve">Action</w:t>
      </w:r>
      <w:r w:rsidDel="00000000" w:rsidR="00000000" w:rsidRPr="00000000">
        <w:rPr>
          <w:b w:val="1"/>
          <w:rtl w:val="0"/>
        </w:rPr>
        <w:t xml:space="preserve">’s</w:t>
      </w:r>
      <w:r w:rsidDel="00000000" w:rsidR="00000000" w:rsidRPr="00000000">
        <w:rPr>
          <w:b w:val="1"/>
          <w:rtl w:val="0"/>
        </w:rPr>
        <w:t xml:space="preserve"> research framework will contribute to one of EU’s key strategic orientation</w:t>
      </w:r>
      <w:r w:rsidDel="00000000" w:rsidR="00000000" w:rsidRPr="00000000">
        <w:rPr>
          <w:b w:val="1"/>
          <w:rtl w:val="0"/>
        </w:rPr>
        <w:t xml:space="preserve">s</w:t>
      </w:r>
      <w:r w:rsidDel="00000000" w:rsidR="00000000" w:rsidRPr="00000000">
        <w:rPr>
          <w:b w:val="1"/>
          <w:rtl w:val="0"/>
        </w:rPr>
        <w:t xml:space="preserve"> (Directorate-General for Research and Innovation, 2021) which is the promotion of an open strategic autonomy through the development of key digital, enabling and emerging technologies, sectors and value chains that further accelerate the digital and green transition of Europe.</w:t>
      </w:r>
    </w:p>
    <w:p w:rsidR="00000000" w:rsidDel="00000000" w:rsidP="00000000" w:rsidRDefault="00000000" w:rsidRPr="00000000" w14:paraId="00000011">
      <w:pPr>
        <w:spacing w:after="0" w:before="0" w:line="240" w:lineRule="auto"/>
        <w:ind w:left="0" w:firstLine="0"/>
        <w:rPr>
          <w:rFonts w:ascii="Times New Roman" w:cs="Times New Roman" w:eastAsia="Times New Roman" w:hAnsi="Times New Roman"/>
          <w:sz w:val="22"/>
          <w:szCs w:val="22"/>
        </w:rPr>
      </w:pPr>
      <w:r w:rsidDel="00000000" w:rsidR="00000000" w:rsidRPr="00000000">
        <w:rPr>
          <w:rtl w:val="0"/>
        </w:rPr>
        <w:t xml:space="preserve">We elaborate in more detail the four key technology-related pillars of the future function of finance, which in turn define the research objectives of the Action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numPr>
          <w:ilvl w:val="0"/>
          <w:numId w:val="2"/>
        </w:numPr>
        <w:spacing w:after="0" w:before="0" w:line="240" w:lineRule="auto"/>
        <w:ind w:left="720" w:hanging="360"/>
      </w:pPr>
      <w:r w:rsidDel="00000000" w:rsidR="00000000" w:rsidRPr="00000000">
        <w:rPr>
          <w:b w:val="1"/>
          <w:rtl w:val="0"/>
        </w:rPr>
        <w:t xml:space="preserve">Ensuring data protection, privacy and fairness in financial data (WG1).</w:t>
      </w:r>
      <w:r w:rsidDel="00000000" w:rsidR="00000000" w:rsidRPr="00000000">
        <w:rPr>
          <w:b w:val="1"/>
          <w:rtl w:val="0"/>
        </w:rPr>
        <w:t xml:space="preserve"> </w:t>
      </w:r>
      <w:r w:rsidDel="00000000" w:rsidR="00000000" w:rsidRPr="00000000">
        <w:rPr>
          <w:rtl w:val="0"/>
        </w:rPr>
        <w:t xml:space="preserve">The distinctive trait of the emerging new financial ecosystem is the increasing availability of data. Data is in the centre of the digital transformation and more is to come (EC, A European strategy for data, 2020). Both academia and industry are increasingly faced with data characterised with staggeringly high number of dimensions, high variability and high veracity. Utilising such data is accompanied by many challenges among which: How do we ensure that all dimensions (accuracy, consistency, completeness, currency, volatility and timeliness) of data quality are satisfied to a necessary extent? What are the key challenges and opportunities in developing a unified data privacy framework, including clear definitions and methods, for ensuring the security and compliance of financial applications through the integration of differential privacy and federated learning techniques? What are the most effective methods and techniques for assessing and mitigating biases in large financial datasets to achieve data fairness, and how do these methods impact decision-making processes and outcomes in various finance use cases?</w:t>
      </w:r>
      <w:r w:rsidDel="00000000" w:rsidR="00000000" w:rsidRPr="00000000">
        <w:rPr>
          <w:rtl w:val="0"/>
        </w:rPr>
      </w:r>
    </w:p>
    <w:p w:rsidR="00000000" w:rsidDel="00000000" w:rsidP="00000000" w:rsidRDefault="00000000" w:rsidRPr="00000000" w14:paraId="00000013">
      <w:pPr>
        <w:numPr>
          <w:ilvl w:val="0"/>
          <w:numId w:val="2"/>
        </w:numPr>
        <w:spacing w:after="0" w:before="0" w:line="240" w:lineRule="auto"/>
        <w:ind w:left="720" w:hanging="360"/>
      </w:pPr>
      <w:r w:rsidDel="00000000" w:rsidR="00000000" w:rsidRPr="00000000">
        <w:rPr>
          <w:b w:val="1"/>
          <w:rtl w:val="0"/>
        </w:rPr>
        <w:t xml:space="preserve">Develop and deploy end-to-end use cases of generative AI's applications in finance (WG2).</w:t>
      </w:r>
      <w:r w:rsidDel="00000000" w:rsidR="00000000" w:rsidRPr="00000000">
        <w:rPr>
          <w:rtl w:val="0"/>
        </w:rPr>
        <w:t xml:space="preserve"> Generative AI holds transformative potential for the finance sector, </w:t>
      </w:r>
      <w:r w:rsidDel="00000000" w:rsidR="00000000" w:rsidRPr="00000000">
        <w:rPr>
          <w:rtl w:val="0"/>
        </w:rPr>
        <w:t xml:space="preserve">offering capabilities that span from the simulation of intricate financial scenarios and the creation of novel investment strategies, to the generation of synthetic financial data for enhanced analytics. By leveraging these models, financial institutions can potentially devise innovative solutions that enhance risk management and portfolio optimization processes, predict market trends, and offer </w:t>
      </w:r>
      <w:r w:rsidDel="00000000" w:rsidR="00000000" w:rsidRPr="00000000">
        <w:rPr>
          <w:rtl w:val="0"/>
        </w:rPr>
        <w:t xml:space="preserve">personalized financial products </w:t>
      </w:r>
      <w:r w:rsidDel="00000000" w:rsidR="00000000" w:rsidRPr="00000000">
        <w:rPr>
          <w:rtl w:val="0"/>
        </w:rPr>
        <w:t xml:space="preserve">tailored to individual consumer preferences. However, the journey to integrate generative AI into finance is riddled with challenges: </w:t>
      </w:r>
      <w:r w:rsidDel="00000000" w:rsidR="00000000" w:rsidRPr="00000000">
        <w:rPr>
          <w:rFonts w:ascii="Roboto" w:cs="Roboto" w:eastAsia="Roboto" w:hAnsi="Roboto"/>
          <w:rtl w:val="0"/>
        </w:rPr>
        <w:t xml:space="preserve">How can sensitive financial data be processed by generative AI models without risking unintentional disclosures? What are the potential applications and limitations of large language models (LLM) in predicting financial market movements, and how can these models be effectively integrated into existing financial forecasting methodologies? How do we assess the suitability and effectiveness of LLM in the specific applications of portfolio optimization and risk management? How can the potential of generative AI be fully harnessed in the finance sector while ensuring no compromises on security, ethics, or regulatory compliance?</w:t>
      </w:r>
      <w:r w:rsidDel="00000000" w:rsidR="00000000" w:rsidRPr="00000000">
        <w:rPr>
          <w:rtl w:val="0"/>
        </w:rPr>
      </w:r>
    </w:p>
    <w:p w:rsidR="00000000" w:rsidDel="00000000" w:rsidP="00000000" w:rsidRDefault="00000000" w:rsidRPr="00000000" w14:paraId="00000014">
      <w:pPr>
        <w:numPr>
          <w:ilvl w:val="0"/>
          <w:numId w:val="2"/>
        </w:numPr>
        <w:spacing w:after="0" w:before="0" w:line="240" w:lineRule="auto"/>
        <w:ind w:left="720" w:hanging="360"/>
      </w:pPr>
      <w:r w:rsidDel="00000000" w:rsidR="00000000" w:rsidRPr="00000000">
        <w:rPr>
          <w:b w:val="1"/>
          <w:rtl w:val="0"/>
        </w:rPr>
        <w:t xml:space="preserve">Ensure explainability and fairness of AI-based systems in finance (WG3).</w:t>
      </w:r>
      <w:r w:rsidDel="00000000" w:rsidR="00000000" w:rsidRPr="00000000">
        <w:rPr>
          <w:rtl w:val="0"/>
        </w:rPr>
        <w:t xml:space="preserve"> </w:t>
      </w:r>
      <w:r w:rsidDel="00000000" w:rsidR="00000000" w:rsidRPr="00000000">
        <w:rPr>
          <w:rFonts w:ascii="Roboto" w:cs="Roboto" w:eastAsia="Roboto" w:hAnsi="Roboto"/>
          <w:rtl w:val="0"/>
        </w:rPr>
        <w:t xml:space="preserve">In order to address the “black box” challenge of AI solutions, the concept of eXplainable AI (XAI) emerged introducing a suite of techniques attempting to explain to users how complex models arrived at certain decisions. For the most part, these techniques, introduced primarily through academic efforts, are not tailored to financial use cases and datasets and as such their ability to bring forward robust and stable explanations concerning the inner-working of complex models applied in finance, is limited. In this context, pending research questions are: To what extent existing XAI tools address the explainability needs of different stakeholders within the financial value chain? How can we build XAI methods that are not perturbation-based and thus maintain the natural time ordering and dependence structures of the data? How can we make sure that algorithmic systems do not yield socially-biassed outcomes, thereby compounding inequalities? How can we deal with the persisting latency in computing and showing explanations in real time? How can XAI platforms enhance ethics in the use of AI predictive models? </w:t>
      </w:r>
    </w:p>
    <w:p w:rsidR="00000000" w:rsidDel="00000000" w:rsidP="00000000" w:rsidRDefault="00000000" w:rsidRPr="00000000" w14:paraId="00000015">
      <w:pPr>
        <w:numPr>
          <w:ilvl w:val="0"/>
          <w:numId w:val="2"/>
        </w:numPr>
        <w:spacing w:after="0" w:before="0" w:line="240" w:lineRule="auto"/>
        <w:ind w:left="720" w:hanging="360"/>
      </w:pPr>
      <w:r w:rsidDel="00000000" w:rsidR="00000000" w:rsidRPr="00000000">
        <w:rPr>
          <w:b w:val="1"/>
          <w:rtl w:val="0"/>
        </w:rPr>
        <w:t xml:space="preserve">Streamlining ESG assessment and reporting (WG4)</w:t>
      </w:r>
      <w:r w:rsidDel="00000000" w:rsidR="00000000" w:rsidRPr="00000000">
        <w:rPr>
          <w:rtl w:val="0"/>
        </w:rPr>
        <w:t xml:space="preserve">. </w:t>
      </w:r>
      <w:r w:rsidDel="00000000" w:rsidR="00000000" w:rsidRPr="00000000">
        <w:rPr>
          <w:rtl w:val="0"/>
        </w:rPr>
        <w:t xml:space="preserve">Sustainable finance will have a key role to play in the future function of finance as climate change and environmental degradation are becoming an existential threat to Europe and the world (EC, European green deal, 2019). As clearly stated in the European Green Deal strategy, sustainable finance and investment will be key to fostering sustainable global development. Though inevitable, transitioning to a sustainable future with inclusive, green economies and resilient ecosystems is associated with many challenges. With the COST Action, we will aim to answer the following research questions: What are the key components and methodological considerations in developing a real-time, data-driven ESG (Environmental, Social, and Governance) scoring model that integrates sentiment analysis obtained through the utilisation of LLM? How can the resulting model be effectively disseminated, either as an open-source tool or as a policy recommendation, to enhance sustainability assessments and regulatory oversight in the financial sector? How do different data-driven ESG measurement techniques, incorporating LLM for sentiment analysis and news report analysis, compare in terms of accuracy, reliability, and suitability for assessing the sustainability performance of organizations, and what are the implications for informed decision-making by investors and stakeholders?</w:t>
      </w:r>
    </w:p>
    <w:p w:rsidR="00000000" w:rsidDel="00000000" w:rsidP="00000000" w:rsidRDefault="00000000" w:rsidRPr="00000000" w14:paraId="00000016">
      <w:pPr>
        <w:spacing w:after="0" w:before="0" w:line="240" w:lineRule="auto"/>
        <w:rPr/>
      </w:pPr>
      <w:r w:rsidDel="00000000" w:rsidR="00000000" w:rsidRPr="00000000">
        <w:rPr>
          <w:rtl w:val="0"/>
        </w:rPr>
      </w:r>
    </w:p>
    <w:p w:rsidR="00000000" w:rsidDel="00000000" w:rsidP="00000000" w:rsidRDefault="00000000" w:rsidRPr="00000000" w14:paraId="00000017">
      <w:pPr>
        <w:spacing w:after="0" w:before="0" w:line="240" w:lineRule="auto"/>
        <w:rPr/>
      </w:pPr>
      <w:r w:rsidDel="00000000" w:rsidR="00000000" w:rsidRPr="00000000">
        <w:rPr>
          <w:rtl w:val="0"/>
        </w:rPr>
        <w:t xml:space="preserve">In this context, the Action will ensure that the European finance industry will stay globally competitive, give European consumers access to innovative financial products, while ensuring consumer protection and financial stability. </w:t>
      </w:r>
    </w:p>
    <w:p w:rsidR="00000000" w:rsidDel="00000000" w:rsidP="00000000" w:rsidRDefault="00000000" w:rsidRPr="00000000" w14:paraId="00000018">
      <w:pPr>
        <w:spacing w:after="0" w:before="0" w:line="240" w:lineRule="auto"/>
        <w:rPr/>
      </w:pPr>
      <w:r w:rsidDel="00000000" w:rsidR="00000000" w:rsidRPr="00000000">
        <w:rPr>
          <w:rtl w:val="0"/>
        </w:rPr>
        <w:t xml:space="preserve">A research initiative aimed at overcoming the obstacles associated with AI deployment in finance demands a </w:t>
      </w:r>
      <w:r w:rsidDel="00000000" w:rsidR="00000000" w:rsidRPr="00000000">
        <w:rPr>
          <w:b w:val="1"/>
          <w:rtl w:val="0"/>
        </w:rPr>
        <w:t xml:space="preserve">transdisciplinary, international research network for several compelling reasons</w:t>
      </w:r>
      <w:r w:rsidDel="00000000" w:rsidR="00000000" w:rsidRPr="00000000">
        <w:rPr>
          <w:rtl w:val="0"/>
        </w:rPr>
        <w:t xml:space="preserve">. First, financial systems are by design intricately interconnected and globally interdependent, influenced by an array of factors that transcend national boundaries. Researchers from different regions bring valuable perspectives to the table, shedding light on regional nuances and providing a comprehensive understanding of the global financial landscape. Second, addressing these challenges goes beyond the confines of single disciplines. It involves a blend of expertise from computer science, economics, law, ethics, regulation, and cybersecurity. A transdisciplinary approach ensures that all aspects of the problem are thoroughly explored and integrated into potential solutions. Thirdly, financial data is diverse and subject to regional regulations. Collaboration on an international scale facilitates the aggregation of heterogeneous datasets, addresses data privacy concerns, and establishes common data standards crucial for the development and training of AI models. Fourth, financial regulations vary across countries, and ethical considerations are essential. An international research network can facilitate the exchange of regulatory insights and ethical best practices, ensuring that AI systems are compliant with international standards. Lastly, collaboration on an international scale accelerates the development of AI solutions for finance. By pooling resources, knowledge, and expertise from researchers and institutions across Europe, collaborative efforts can drive innovation, leading to more effective and globally applicable solutions.</w:t>
      </w:r>
    </w:p>
    <w:p w:rsidR="00000000" w:rsidDel="00000000" w:rsidP="00000000" w:rsidRDefault="00000000" w:rsidRPr="00000000" w14:paraId="00000019">
      <w:pPr>
        <w:spacing w:after="0" w:before="0" w:line="240" w:lineRule="auto"/>
        <w:rPr>
          <w:b w:val="1"/>
        </w:rPr>
      </w:pPr>
      <w:r w:rsidDel="00000000" w:rsidR="00000000" w:rsidRPr="00000000">
        <w:rPr>
          <w:rtl w:val="0"/>
        </w:rPr>
      </w:r>
    </w:p>
    <w:p w:rsidR="00000000" w:rsidDel="00000000" w:rsidP="00000000" w:rsidRDefault="00000000" w:rsidRPr="00000000" w14:paraId="0000001A">
      <w:pPr>
        <w:pStyle w:val="Heading3"/>
        <w:tabs>
          <w:tab w:val="left" w:leader="none" w:pos="1843"/>
          <w:tab w:val="left" w:leader="none" w:pos="851"/>
        </w:tabs>
        <w:spacing w:after="0" w:before="0" w:line="240" w:lineRule="auto"/>
        <w:ind w:left="0" w:firstLine="0"/>
        <w:rPr>
          <w:b w:val="1"/>
        </w:rPr>
      </w:pPr>
      <w:r w:rsidDel="00000000" w:rsidR="00000000" w:rsidRPr="00000000">
        <w:rPr>
          <w:b w:val="1"/>
          <w:sz w:val="20"/>
          <w:szCs w:val="20"/>
          <w:rtl w:val="0"/>
        </w:rPr>
        <w:t xml:space="preserve">1.1.1 </w:t>
      </w:r>
      <w:r w:rsidDel="00000000" w:rsidR="00000000" w:rsidRPr="00000000">
        <w:rPr>
          <w:b w:val="1"/>
          <w:sz w:val="20"/>
          <w:szCs w:val="20"/>
          <w:rtl w:val="0"/>
        </w:rPr>
        <w:t xml:space="preserve">DESCRIPTION OF THE CHALLENGE (MAIN AIM) </w:t>
      </w:r>
      <w:r w:rsidDel="00000000" w:rsidR="00000000" w:rsidRPr="00000000">
        <w:rPr>
          <w:rtl w:val="0"/>
        </w:rPr>
      </w:r>
    </w:p>
    <w:p w:rsidR="00000000" w:rsidDel="00000000" w:rsidP="00000000" w:rsidRDefault="00000000" w:rsidRPr="00000000" w14:paraId="0000001B">
      <w:pPr>
        <w:spacing w:after="0" w:before="0" w:line="240" w:lineRule="auto"/>
        <w:rPr/>
      </w:pPr>
      <w:r w:rsidDel="00000000" w:rsidR="00000000" w:rsidRPr="00000000">
        <w:rPr>
          <w:rtl w:val="0"/>
        </w:rPr>
        <w:t xml:space="preserve">The Action will establish a cross-border network of professionals across finance, mathematics, statistics, computer sciences, law and ethics, focusing on solving the main hurdles of integrating AI systems into the different functions of finance. The main goal is to develop a collaborative platform that derives AI-driven, robust, explainable and sustainable systems that will support the digital transformation of finance. Currently, </w:t>
      </w:r>
      <w:r w:rsidDel="00000000" w:rsidR="00000000" w:rsidRPr="00000000">
        <w:rPr>
          <w:b w:val="1"/>
          <w:rtl w:val="0"/>
        </w:rPr>
        <w:t xml:space="preserve">there exists a significant gap between the theoretical possibilities of AI-based systems and the actual feasibility of implementing these capabilities in real-world scenarios in finance</w:t>
      </w:r>
      <w:r w:rsidDel="00000000" w:rsidR="00000000" w:rsidRPr="00000000">
        <w:rPr>
          <w:rtl w:val="0"/>
        </w:rPr>
        <w:t xml:space="preserve">. While numerous researchers have established the effectiveness of AI-based systems across diverse predictive tasks (Dingli and Fournier, 2017, Di Persio and Honchar, 2017, Sen and Mehtab, 2021, Yang, 2021, Shi et al., 2022), there remains a critical need for research focused on identifying (and addressing) the key barriers hindering their widespread adoption in real-world financial use cases. Specifically, through joint international efforts and interdisciplinary expertise, the COST Action will aim to address hurdles related with the different stages of building and deploying AI-based systems. In order to ensure that all dimensions of data quality are satisfied, the COST action will: develop a comprehensive data quality assessment framework, establish a unified data privacy framework for financial applications, and identify effective methods for assessing and mitigating biases in large financial datasets. Looking at the model deployment hurdles that industry is faced with, the COST Action will: prototype and deploy end-to-end generative AI use cases in finance, propose guidelines for sensitive financial data processing by AI models, introduce novel metrics for evaluating the utility of large language models for financial market prediction, and run an assessment of their suitability for portfolio optimization and risk management. For the purpose of bringing suitable level of explainability and trust into deployed AI systems in finance, the COST Action will: evaluate existing XAI tools, propose novel finance-specific XAI methods, train and test strategies for preventing socially-biassed outcomes in AI-based risk management systems, and research into real-time solutions for reducing latency in AI explanations. Finally, in order to ensure a data-driven assessment of sustainability, the COST Action will: create a real-time, data-driven ESG scoring model integrating sentiment analysis, document methods for effective dissemination (either as an open-source tool or policy recommendations), and conduct a comparative analysis of data-driven ESG measurement techniques, including the utilization of LLM for enhanced sustainability assessments and regulatory oversight in finance.</w:t>
      </w:r>
    </w:p>
    <w:p w:rsidR="00000000" w:rsidDel="00000000" w:rsidP="00000000" w:rsidRDefault="00000000" w:rsidRPr="00000000" w14:paraId="0000001C">
      <w:pPr>
        <w:spacing w:after="0" w:before="0" w:line="240" w:lineRule="auto"/>
        <w:ind w:left="0" w:firstLine="0"/>
        <w:rPr/>
      </w:pPr>
      <w:r w:rsidDel="00000000" w:rsidR="00000000" w:rsidRPr="00000000">
        <w:rPr>
          <w:rtl w:val="0"/>
        </w:rPr>
        <w:t xml:space="preserve">The ultimate goal of the Action is to blend diverse expertise that allows us to optimally use high-dimensional data and state-of-art AI systems to push forward the digitalization of the functions of finance. Emerging AI technologies, distinct from conventional methods, present clear benefits for the financial sector. The effectiveness of these methods will be measured and contextualised in terms of their practicality and challenges of real-world implementation. While the focus is on financial applications, the outcomes will be applicable to wider fields, and efforts will be made to share insights across different industry domains.</w:t>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pStyle w:val="Heading2"/>
        <w:spacing w:after="0" w:before="0" w:line="240" w:lineRule="auto"/>
        <w:ind w:left="0" w:firstLine="0"/>
        <w:rPr>
          <w:smallCaps w:val="1"/>
          <w:sz w:val="22"/>
          <w:szCs w:val="22"/>
        </w:rPr>
      </w:pPr>
      <w:r w:rsidDel="00000000" w:rsidR="00000000" w:rsidRPr="00000000">
        <w:rPr>
          <w:rtl w:val="0"/>
        </w:rPr>
      </w:r>
    </w:p>
    <w:p w:rsidR="00000000" w:rsidDel="00000000" w:rsidP="00000000" w:rsidRDefault="00000000" w:rsidRPr="00000000" w14:paraId="0000001F">
      <w:pPr>
        <w:pStyle w:val="Heading2"/>
        <w:spacing w:after="0" w:before="0" w:line="240" w:lineRule="auto"/>
        <w:ind w:left="0" w:firstLine="0"/>
        <w:rPr>
          <w:smallCaps w:val="1"/>
          <w:sz w:val="22"/>
          <w:szCs w:val="22"/>
        </w:rPr>
      </w:pPr>
      <w:r w:rsidDel="00000000" w:rsidR="00000000" w:rsidRPr="00000000">
        <w:rPr>
          <w:rtl w:val="0"/>
        </w:rPr>
      </w:r>
    </w:p>
    <w:p w:rsidR="00000000" w:rsidDel="00000000" w:rsidP="00000000" w:rsidRDefault="00000000" w:rsidRPr="00000000" w14:paraId="00000020">
      <w:pPr>
        <w:pStyle w:val="Heading2"/>
        <w:spacing w:after="0" w:before="0" w:line="240" w:lineRule="auto"/>
        <w:ind w:left="0" w:firstLine="0"/>
        <w:rPr>
          <w:smallCaps w:val="1"/>
          <w:sz w:val="22"/>
          <w:szCs w:val="22"/>
        </w:rPr>
      </w:pPr>
      <w:r w:rsidDel="00000000" w:rsidR="00000000" w:rsidRPr="00000000">
        <w:rPr>
          <w:rtl w:val="0"/>
        </w:rPr>
      </w:r>
    </w:p>
    <w:p w:rsidR="00000000" w:rsidDel="00000000" w:rsidP="00000000" w:rsidRDefault="00000000" w:rsidRPr="00000000" w14:paraId="00000021">
      <w:pPr>
        <w:pStyle w:val="Heading2"/>
        <w:spacing w:after="0" w:before="0" w:line="240" w:lineRule="auto"/>
        <w:ind w:left="0" w:firstLine="0"/>
        <w:rPr>
          <w:smallCaps w:val="1"/>
          <w:sz w:val="22"/>
          <w:szCs w:val="22"/>
        </w:rPr>
      </w:pPr>
      <w:r w:rsidDel="00000000" w:rsidR="00000000" w:rsidRPr="00000000">
        <w:rPr>
          <w:rtl w:val="0"/>
        </w:rPr>
      </w:r>
    </w:p>
    <w:p w:rsidR="00000000" w:rsidDel="00000000" w:rsidP="00000000" w:rsidRDefault="00000000" w:rsidRPr="00000000" w14:paraId="00000022">
      <w:pPr>
        <w:pStyle w:val="Heading2"/>
        <w:spacing w:after="0" w:before="0" w:line="240" w:lineRule="auto"/>
        <w:ind w:left="0" w:firstLine="0"/>
        <w:rPr>
          <w:smallCaps w:val="1"/>
          <w:sz w:val="22"/>
          <w:szCs w:val="22"/>
        </w:rPr>
      </w:pPr>
      <w:r w:rsidDel="00000000" w:rsidR="00000000" w:rsidRPr="00000000">
        <w:rPr>
          <w:smallCaps w:val="1"/>
          <w:sz w:val="22"/>
          <w:szCs w:val="22"/>
          <w:rtl w:val="0"/>
        </w:rPr>
        <w:t xml:space="preserve">1.2 </w:t>
      </w:r>
      <w:r w:rsidDel="00000000" w:rsidR="00000000" w:rsidRPr="00000000">
        <w:rPr>
          <w:smallCaps w:val="1"/>
          <w:sz w:val="22"/>
          <w:szCs w:val="22"/>
          <w:rtl w:val="0"/>
        </w:rPr>
        <w:t xml:space="preserve">PROGRESS BEYOND THE STATE OF THE ART </w:t>
      </w:r>
    </w:p>
    <w:p w:rsidR="00000000" w:rsidDel="00000000" w:rsidP="00000000" w:rsidRDefault="00000000" w:rsidRPr="00000000" w14:paraId="00000023">
      <w:pPr>
        <w:pStyle w:val="Heading3"/>
        <w:tabs>
          <w:tab w:val="left" w:leader="none" w:pos="1843"/>
          <w:tab w:val="left" w:leader="none" w:pos="851"/>
        </w:tabs>
        <w:spacing w:after="0" w:before="0" w:line="240" w:lineRule="auto"/>
        <w:ind w:left="0" w:firstLine="0"/>
        <w:rPr>
          <w:b w:val="1"/>
          <w:sz w:val="20"/>
          <w:szCs w:val="20"/>
        </w:rPr>
      </w:pPr>
      <w:r w:rsidDel="00000000" w:rsidR="00000000" w:rsidRPr="00000000">
        <w:rPr>
          <w:b w:val="1"/>
          <w:sz w:val="20"/>
          <w:szCs w:val="20"/>
          <w:rtl w:val="0"/>
        </w:rPr>
        <w:t xml:space="preserve">1.2.1 </w:t>
      </w:r>
      <w:r w:rsidDel="00000000" w:rsidR="00000000" w:rsidRPr="00000000">
        <w:rPr>
          <w:b w:val="1"/>
          <w:sz w:val="20"/>
          <w:szCs w:val="20"/>
          <w:rtl w:val="0"/>
        </w:rPr>
        <w:t xml:space="preserve">APP</w:t>
      </w:r>
      <w:r w:rsidDel="00000000" w:rsidR="00000000" w:rsidRPr="00000000">
        <w:rPr>
          <w:b w:val="1"/>
          <w:sz w:val="20"/>
          <w:szCs w:val="20"/>
          <w:rtl w:val="0"/>
        </w:rPr>
        <w:t xml:space="preserve">ROACH TO THE CHALLENGE AND PROGRESS BEYOND THE STATE OF THE ART</w:t>
      </w:r>
      <w:r w:rsidDel="00000000" w:rsidR="00000000" w:rsidRPr="00000000">
        <w:rPr>
          <w:b w:val="1"/>
          <w:sz w:val="20"/>
          <w:szCs w:val="20"/>
          <w:rtl w:val="0"/>
        </w:rPr>
        <w:t xml:space="preserve"> </w:t>
      </w:r>
    </w:p>
    <w:p w:rsidR="00000000" w:rsidDel="00000000" w:rsidP="00000000" w:rsidRDefault="00000000" w:rsidRPr="00000000" w14:paraId="00000024">
      <w:pPr>
        <w:tabs>
          <w:tab w:val="left" w:leader="none" w:pos="1843"/>
          <w:tab w:val="left" w:leader="none" w:pos="851"/>
        </w:tabs>
        <w:spacing w:after="0" w:lineRule="auto"/>
        <w:ind w:left="0" w:firstLine="0"/>
        <w:rPr/>
      </w:pPr>
      <w:r w:rsidDel="00000000" w:rsidR="00000000" w:rsidRPr="00000000">
        <w:rPr>
          <w:rtl w:val="0"/>
        </w:rPr>
        <w:t xml:space="preserve">From a methodological perspective, the Action will focus on bringing forward several contributions to the literature. </w:t>
      </w:r>
    </w:p>
    <w:p w:rsidR="00000000" w:rsidDel="00000000" w:rsidP="00000000" w:rsidRDefault="00000000" w:rsidRPr="00000000" w14:paraId="00000025">
      <w:pPr>
        <w:tabs>
          <w:tab w:val="left" w:leader="none" w:pos="1843"/>
          <w:tab w:val="left" w:leader="none" w:pos="851"/>
        </w:tabs>
        <w:spacing w:after="0" w:lineRule="auto"/>
        <w:ind w:left="0" w:firstLine="0"/>
        <w:rPr/>
      </w:pPr>
      <w:r w:rsidDel="00000000" w:rsidR="00000000" w:rsidRPr="00000000">
        <w:rPr>
          <w:rtl w:val="0"/>
        </w:rPr>
        <w:t xml:space="preserve">In the context of ensuring data quality, privacy and protection, the COST action will test different state-of-art techniques proposed in the literature for tackling privacy issues in deep and federated learning (FL). Particularly, we will focus on differential privacy (DP). The primary aim of differential privacy (DP) is to enable the examination of dataset characteristics related to a population as a whole, all while safeguarding individual privacy (Dwork, 2006, Dwork 2008, Ouadrhiri et al., 2022). In simpler terms, DP involves introducing perturbations, either in statistical inquiries or the original dataset, to prevent an adversary from determining whether a specific individual is part of the dataset or not. This approach is considered a de facto standard for protecting users’ privacy in statistical computations. The COST action will run and compare several applications of DP for financial data sets and time series. </w:t>
      </w:r>
    </w:p>
    <w:p w:rsidR="00000000" w:rsidDel="00000000" w:rsidP="00000000" w:rsidRDefault="00000000" w:rsidRPr="00000000" w14:paraId="00000026">
      <w:pPr>
        <w:tabs>
          <w:tab w:val="left" w:leader="none" w:pos="1843"/>
          <w:tab w:val="left" w:leader="none" w:pos="851"/>
        </w:tabs>
        <w:spacing w:after="0" w:lineRule="auto"/>
        <w:ind w:left="0" w:firstLine="0"/>
        <w:rPr/>
      </w:pPr>
      <w:r w:rsidDel="00000000" w:rsidR="00000000" w:rsidRPr="00000000">
        <w:rPr>
          <w:rtl w:val="0"/>
        </w:rPr>
        <w:t xml:space="preserve">Considering the application of generative AI in finance, the COST action will aim to develop end-to-end use cases which will detail the entire pipeline of building AI-systems incorporating LLMs for financial applications. Large Language Models (LLMs) have been shown to be very effective on a variety of language tasks (information and knowledge queries, analysing text data, generating briefs and reports) (Wu et al., 2023). However, most of the implementations available in the literature do not take into consideration the practical constraints (like regulatory compliance, scalability, privacy concerns, etc.) in which the financial sector operates. To this end, the COST Action will aim to assess the potential and limitations of large language models (LLM) for various financial applications (i.e. predicting financial markets, enhancing risk management and portfolio optimization processes) and propose guidelines for effectively integrating their outputs into classic methodologies for classification and prediction. </w:t>
      </w:r>
    </w:p>
    <w:p w:rsidR="00000000" w:rsidDel="00000000" w:rsidP="00000000" w:rsidRDefault="00000000" w:rsidRPr="00000000" w14:paraId="00000027">
      <w:pPr>
        <w:tabs>
          <w:tab w:val="left" w:leader="none" w:pos="1843"/>
          <w:tab w:val="left" w:leader="none" w:pos="851"/>
        </w:tabs>
        <w:spacing w:after="0" w:lineRule="auto"/>
        <w:ind w:left="0" w:firstLine="0"/>
        <w:rPr/>
      </w:pPr>
      <w:r w:rsidDel="00000000" w:rsidR="00000000" w:rsidRPr="00000000">
        <w:rPr>
          <w:rtl w:val="0"/>
        </w:rPr>
        <w:t xml:space="preserve">Furthermore, the COST Action will also aim at proposing solutions for the growing “trust” issues with complex models. The introduction of complex ML and DL methods for financial use cases (i.e. time series forecasting or credit scoring), potentially enables higher predictive accuracy but this comes at the cost of higher complexity and thus lower interpretability. ML models are referred to as “black boxes” because it is often difficult to understand how variables are jointly related to arrive at a certain output (Arrieta et al., 2019). This reduced ability to understand the inner workings and mechanisms of complex models unavoidably affects their trustworthiness and the willingness among practitioners to deploy such methods in sensitive domains such as finance. As a result, the scientific interest in the field of eXplainable artificial intelligence (XAI) has grown tremendously within the last few years (Gunning et al., 2019, Linardatos et al., 2021, Dazeley et al., 2021 and Saeed and Omlin, 2023). XAI aims at introducing a suite of techniques attempting to communicate understandable information about how an already developed model produces its predictions for any given input (Arrieta et al., 2019). The growing popularity of the topic notwithstanding, research on XAI in finance remains limited and most of the existing explainability techniques are not suited for time series, let alone for non-stationary financial time series and their somehow notorious stylized facts. Many state-of-the-art XAI methods are originally tailored for certain input types such as images (ex. Saliency Maps) or text (ex. LRP) and have later been adjusted to suit tabular data as well. However, the temporal dimension is often omitted, and the literature currently offers only a limited consideration of the topic. Notable examples are interpretable decision trees for time series classification (papers) and using attention mechanisms (papers) with none of the applications looking specifically at explainability for financial data. To address this gap in the literature as well as in the considered application field, the COST Action will focus on investigating the utility of existing XAI methods and proposing novel methods that are specifically tailored for financial applications.</w:t>
      </w:r>
    </w:p>
    <w:p w:rsidR="00000000" w:rsidDel="00000000" w:rsidP="00000000" w:rsidRDefault="00000000" w:rsidRPr="00000000" w14:paraId="00000028">
      <w:pPr>
        <w:tabs>
          <w:tab w:val="left" w:leader="none" w:pos="1843"/>
          <w:tab w:val="left" w:leader="none" w:pos="851"/>
        </w:tabs>
        <w:spacing w:after="0" w:lineRule="auto"/>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pStyle w:val="Heading3"/>
        <w:tabs>
          <w:tab w:val="left" w:leader="none" w:pos="1843"/>
          <w:tab w:val="left" w:leader="none" w:pos="851"/>
        </w:tabs>
        <w:spacing w:after="0" w:before="0" w:line="240" w:lineRule="auto"/>
        <w:ind w:left="0" w:firstLine="0"/>
        <w:rPr>
          <w:sz w:val="20"/>
          <w:szCs w:val="20"/>
        </w:rPr>
      </w:pPr>
      <w:r w:rsidDel="00000000" w:rsidR="00000000" w:rsidRPr="00000000">
        <w:rPr>
          <w:b w:val="1"/>
          <w:sz w:val="20"/>
          <w:szCs w:val="20"/>
          <w:rtl w:val="0"/>
        </w:rPr>
        <w:t xml:space="preserve">1.2.2 OBJECTIVES</w:t>
      </w:r>
      <w:r w:rsidDel="00000000" w:rsidR="00000000" w:rsidRPr="00000000">
        <w:rPr>
          <w:rtl w:val="0"/>
        </w:rPr>
      </w:r>
    </w:p>
    <w:p w:rsidR="00000000" w:rsidDel="00000000" w:rsidP="00000000" w:rsidRDefault="00000000" w:rsidRPr="00000000" w14:paraId="0000002A">
      <w:pPr>
        <w:pStyle w:val="Heading4"/>
        <w:tabs>
          <w:tab w:val="left" w:leader="none" w:pos="1843"/>
          <w:tab w:val="left" w:leader="none" w:pos="993"/>
        </w:tabs>
        <w:spacing w:after="0" w:before="0" w:line="240" w:lineRule="auto"/>
        <w:ind w:left="0" w:firstLine="0"/>
        <w:rPr>
          <w:i w:val="0"/>
          <w:sz w:val="20"/>
          <w:szCs w:val="20"/>
        </w:rPr>
      </w:pPr>
      <w:r w:rsidDel="00000000" w:rsidR="00000000" w:rsidRPr="00000000">
        <w:rPr>
          <w:i w:val="0"/>
          <w:sz w:val="20"/>
          <w:szCs w:val="20"/>
          <w:rtl w:val="0"/>
        </w:rPr>
        <w:t xml:space="preserve">1.2.2.1 R</w:t>
      </w:r>
      <w:r w:rsidDel="00000000" w:rsidR="00000000" w:rsidRPr="00000000">
        <w:rPr>
          <w:i w:val="0"/>
          <w:sz w:val="20"/>
          <w:szCs w:val="20"/>
          <w:rtl w:val="0"/>
        </w:rPr>
        <w:t xml:space="preserve">esearch Coordination Objectives</w:t>
      </w:r>
      <w:r w:rsidDel="00000000" w:rsidR="00000000" w:rsidRPr="00000000">
        <w:rPr>
          <w:rtl w:val="0"/>
        </w:rPr>
      </w:r>
    </w:p>
    <w:p w:rsidR="00000000" w:rsidDel="00000000" w:rsidP="00000000" w:rsidRDefault="00000000" w:rsidRPr="00000000" w14:paraId="0000002B">
      <w:pPr>
        <w:tabs>
          <w:tab w:val="left" w:leader="none" w:pos="1843"/>
          <w:tab w:val="left" w:leader="none" w:pos="993"/>
        </w:tabs>
        <w:spacing w:after="0" w:before="0" w:line="240" w:lineRule="auto"/>
        <w:rPr/>
      </w:pPr>
      <w:r w:rsidDel="00000000" w:rsidR="00000000" w:rsidRPr="00000000">
        <w:rPr>
          <w:rtl w:val="0"/>
        </w:rPr>
        <w:t xml:space="preserve">The scientific progress will be pursued by capitalising on the COST research coordination tools. The specific objectives in this respect are shown below. </w:t>
      </w:r>
    </w:p>
    <w:p w:rsidR="00000000" w:rsidDel="00000000" w:rsidP="00000000" w:rsidRDefault="00000000" w:rsidRPr="00000000" w14:paraId="0000002C">
      <w:pPr>
        <w:tabs>
          <w:tab w:val="left" w:leader="none" w:pos="1843"/>
          <w:tab w:val="left" w:leader="none" w:pos="993"/>
        </w:tabs>
        <w:spacing w:after="0" w:before="0" w:line="240" w:lineRule="auto"/>
        <w:rPr/>
      </w:pPr>
      <w:r w:rsidDel="00000000" w:rsidR="00000000" w:rsidRPr="00000000">
        <w:rPr>
          <w:rtl w:val="0"/>
        </w:rPr>
      </w:r>
    </w:p>
    <w:p w:rsidR="00000000" w:rsidDel="00000000" w:rsidP="00000000" w:rsidRDefault="00000000" w:rsidRPr="00000000" w14:paraId="0000002D">
      <w:pPr>
        <w:tabs>
          <w:tab w:val="left" w:leader="none" w:pos="1843"/>
          <w:tab w:val="left" w:leader="none" w:pos="993"/>
        </w:tabs>
        <w:spacing w:after="0" w:before="0" w:line="240" w:lineRule="auto"/>
        <w:rPr/>
      </w:pPr>
      <w:r w:rsidDel="00000000" w:rsidR="00000000" w:rsidRPr="00000000">
        <w:rPr>
          <w:rtl w:val="0"/>
        </w:rPr>
        <w:t xml:space="preserve">RC1. </w:t>
      </w:r>
      <w:r w:rsidDel="00000000" w:rsidR="00000000" w:rsidRPr="00000000">
        <w:rPr>
          <w:b w:val="1"/>
          <w:rtl w:val="0"/>
        </w:rPr>
        <w:t xml:space="preserve">Unified Data Pri</w:t>
      </w:r>
      <w:r w:rsidDel="00000000" w:rsidR="00000000" w:rsidRPr="00000000">
        <w:rPr>
          <w:b w:val="1"/>
          <w:rtl w:val="0"/>
        </w:rPr>
        <w:t xml:space="preserve">vacy Framework</w:t>
      </w:r>
      <w:r w:rsidDel="00000000" w:rsidR="00000000" w:rsidRPr="00000000">
        <w:rPr>
          <w:b w:val="1"/>
          <w:rtl w:val="0"/>
        </w:rPr>
        <w:t xml:space="preserve"> (WG1)</w:t>
      </w:r>
      <w:r w:rsidDel="00000000" w:rsidR="00000000" w:rsidRPr="00000000">
        <w:rPr>
          <w:rtl w:val="0"/>
        </w:rPr>
        <w:t xml:space="preserve">: Deve</w:t>
      </w:r>
      <w:r w:rsidDel="00000000" w:rsidR="00000000" w:rsidRPr="00000000">
        <w:rPr>
          <w:rtl w:val="0"/>
        </w:rPr>
        <w:t xml:space="preserve">lop a common framework and set of definitions for data privacy methods, specifically focused on differential privacy and federated learning techniques in financial applications. </w:t>
      </w:r>
      <w:r w:rsidDel="00000000" w:rsidR="00000000" w:rsidRPr="00000000">
        <w:rPr>
          <w:rtl w:val="0"/>
        </w:rPr>
      </w:r>
    </w:p>
    <w:p w:rsidR="00000000" w:rsidDel="00000000" w:rsidP="00000000" w:rsidRDefault="00000000" w:rsidRPr="00000000" w14:paraId="0000002E">
      <w:pPr>
        <w:tabs>
          <w:tab w:val="left" w:leader="none" w:pos="1843"/>
          <w:tab w:val="left" w:leader="none" w:pos="993"/>
        </w:tabs>
        <w:spacing w:after="0" w:before="0" w:line="240" w:lineRule="auto"/>
        <w:rPr/>
      </w:pPr>
      <w:r w:rsidDel="00000000" w:rsidR="00000000" w:rsidRPr="00000000">
        <w:rPr>
          <w:rtl w:val="0"/>
        </w:rPr>
        <w:t xml:space="preserve">RC</w:t>
      </w:r>
      <w:r w:rsidDel="00000000" w:rsidR="00000000" w:rsidRPr="00000000">
        <w:rPr>
          <w:rtl w:val="0"/>
        </w:rPr>
        <w:t xml:space="preserve">2. </w:t>
      </w:r>
      <w:sdt>
        <w:sdtPr>
          <w:tag w:val="goog_rdk_0"/>
        </w:sdtPr>
        <w:sdtContent>
          <w:commentRangeStart w:id="0"/>
        </w:sdtContent>
      </w:sdt>
      <w:sdt>
        <w:sdtPr>
          <w:tag w:val="goog_rdk_1"/>
        </w:sdtPr>
        <w:sdtContent>
          <w:commentRangeStart w:id="1"/>
        </w:sdtContent>
      </w:sdt>
      <w:r w:rsidDel="00000000" w:rsidR="00000000" w:rsidRPr="00000000">
        <w:rPr>
          <w:b w:val="1"/>
          <w:rtl w:val="0"/>
        </w:rPr>
        <w:t xml:space="preserve">Data Sourcing Standardization for</w:t>
      </w:r>
      <w:commentRangeEnd w:id="0"/>
      <w:r w:rsidDel="00000000" w:rsidR="00000000" w:rsidRPr="00000000">
        <w:commentReference w:id="0"/>
      </w:r>
      <w:commentRangeEnd w:id="1"/>
      <w:r w:rsidDel="00000000" w:rsidR="00000000" w:rsidRPr="00000000">
        <w:commentReference w:id="1"/>
      </w:r>
      <w:r w:rsidDel="00000000" w:rsidR="00000000" w:rsidRPr="00000000">
        <w:rPr>
          <w:b w:val="1"/>
          <w:rtl w:val="0"/>
        </w:rPr>
        <w:t xml:space="preserve"> Large Language Models</w:t>
      </w:r>
      <w:r w:rsidDel="00000000" w:rsidR="00000000" w:rsidRPr="00000000">
        <w:rPr>
          <w:b w:val="1"/>
          <w:rtl w:val="0"/>
        </w:rPr>
        <w:t xml:space="preserve"> (WG2)</w:t>
      </w:r>
      <w:r w:rsidDel="00000000" w:rsidR="00000000" w:rsidRPr="00000000">
        <w:rPr>
          <w:rtl w:val="0"/>
        </w:rPr>
        <w:t xml:space="preserve">: Coordinate the collection and curation of financial datasets, and establish a standard set of performance metrics specifically for Transformer Neural Networks used in portfolio optimization and risk management.</w:t>
      </w:r>
      <w:r w:rsidDel="00000000" w:rsidR="00000000" w:rsidRPr="00000000">
        <w:rPr>
          <w:rtl w:val="0"/>
        </w:rPr>
      </w:r>
    </w:p>
    <w:p w:rsidR="00000000" w:rsidDel="00000000" w:rsidP="00000000" w:rsidRDefault="00000000" w:rsidRPr="00000000" w14:paraId="0000002F">
      <w:pPr>
        <w:tabs>
          <w:tab w:val="left" w:leader="none" w:pos="1843"/>
          <w:tab w:val="left" w:leader="none" w:pos="993"/>
        </w:tabs>
        <w:spacing w:after="0" w:before="0" w:line="240" w:lineRule="auto"/>
        <w:rPr/>
      </w:pPr>
      <w:r w:rsidDel="00000000" w:rsidR="00000000" w:rsidRPr="00000000">
        <w:rPr>
          <w:rtl w:val="0"/>
        </w:rPr>
        <w:t xml:space="preserve">RC3. </w:t>
      </w:r>
      <w:r w:rsidDel="00000000" w:rsidR="00000000" w:rsidRPr="00000000">
        <w:rPr>
          <w:b w:val="1"/>
          <w:rtl w:val="0"/>
        </w:rPr>
        <w:t xml:space="preserve">Harmonized Protocols for XAI (WG3)</w:t>
      </w:r>
      <w:r w:rsidDel="00000000" w:rsidR="00000000" w:rsidRPr="00000000">
        <w:rPr>
          <w:rtl w:val="0"/>
        </w:rPr>
        <w:t xml:space="preserve">: Develop standardized protocols for experimentation and data collection in explainable AI, particularly focused on non-perturbative XAI methods applicable to financial time-series data.</w:t>
      </w:r>
    </w:p>
    <w:p w:rsidR="00000000" w:rsidDel="00000000" w:rsidP="00000000" w:rsidRDefault="00000000" w:rsidRPr="00000000" w14:paraId="00000030">
      <w:pPr>
        <w:tabs>
          <w:tab w:val="left" w:leader="none" w:pos="1843"/>
          <w:tab w:val="left" w:leader="none" w:pos="993"/>
        </w:tabs>
        <w:spacing w:after="0" w:before="0" w:line="240" w:lineRule="auto"/>
        <w:rPr/>
      </w:pPr>
      <w:r w:rsidDel="00000000" w:rsidR="00000000" w:rsidRPr="00000000">
        <w:rPr>
          <w:rtl w:val="0"/>
        </w:rPr>
        <w:t xml:space="preserve">RC4. </w:t>
      </w:r>
      <w:r w:rsidDel="00000000" w:rsidR="00000000" w:rsidRPr="00000000">
        <w:rPr>
          <w:b w:val="1"/>
          <w:rtl w:val="0"/>
        </w:rPr>
        <w:t xml:space="preserve">Comparative Assessment of ESG Measurement (WG4)</w:t>
      </w:r>
      <w:r w:rsidDel="00000000" w:rsidR="00000000" w:rsidRPr="00000000">
        <w:rPr>
          <w:rtl w:val="0"/>
        </w:rPr>
        <w:t xml:space="preserve">: Conduct a comparative analysis and performance assessment of data-driven ESG measurement techniques, including the use of Large Language Models for sentiment analysis and news reports' analysis.</w:t>
      </w:r>
    </w:p>
    <w:p w:rsidR="00000000" w:rsidDel="00000000" w:rsidP="00000000" w:rsidRDefault="00000000" w:rsidRPr="00000000" w14:paraId="00000031">
      <w:pPr>
        <w:tabs>
          <w:tab w:val="left" w:leader="none" w:pos="1843"/>
          <w:tab w:val="left" w:leader="none" w:pos="993"/>
        </w:tabs>
        <w:spacing w:after="0" w:before="0" w:line="240" w:lineRule="auto"/>
        <w:rPr/>
      </w:pPr>
      <w:r w:rsidDel="00000000" w:rsidR="00000000" w:rsidRPr="00000000">
        <w:rPr>
          <w:rtl w:val="0"/>
        </w:rPr>
        <w:t xml:space="preserve">RC5. </w:t>
      </w:r>
      <w:r w:rsidDel="00000000" w:rsidR="00000000" w:rsidRPr="00000000">
        <w:rPr>
          <w:b w:val="1"/>
          <w:rtl w:val="0"/>
        </w:rPr>
        <w:t xml:space="preserve">Shared Resource Portal (All WGs)</w:t>
      </w:r>
      <w:r w:rsidDel="00000000" w:rsidR="00000000" w:rsidRPr="00000000">
        <w:rPr>
          <w:rtl w:val="0"/>
        </w:rPr>
        <w:t xml:space="preserve">: Establish a centralized digital portal where resources like adatasets, software tools, and methodological guidelines can be shared across all WGs to accelerate research in data-driven processes, generative AI, XAI, and sustainable digital finance.</w:t>
      </w:r>
    </w:p>
    <w:p w:rsidR="00000000" w:rsidDel="00000000" w:rsidP="00000000" w:rsidRDefault="00000000" w:rsidRPr="00000000" w14:paraId="00000032">
      <w:pPr>
        <w:tabs>
          <w:tab w:val="left" w:leader="none" w:pos="1843"/>
          <w:tab w:val="left" w:leader="none" w:pos="993"/>
        </w:tabs>
        <w:spacing w:after="0" w:before="0" w:line="240" w:lineRule="auto"/>
        <w:rPr/>
      </w:pPr>
      <w:r w:rsidDel="00000000" w:rsidR="00000000" w:rsidRPr="00000000">
        <w:rPr>
          <w:rtl w:val="0"/>
        </w:rPr>
        <w:t xml:space="preserve">RC6. </w:t>
      </w:r>
      <w:r w:rsidDel="00000000" w:rsidR="00000000" w:rsidRPr="00000000">
        <w:rPr>
          <w:b w:val="1"/>
          <w:rtl w:val="0"/>
        </w:rPr>
        <w:t xml:space="preserve">International Coordination for Fairness Models (WG1)</w:t>
      </w:r>
      <w:r w:rsidDel="00000000" w:rsidR="00000000" w:rsidRPr="00000000">
        <w:rPr>
          <w:rtl w:val="0"/>
        </w:rPr>
        <w:t xml:space="preserve">: Coordinate with international bodies and standardization agencies to establish guidelines that ensure fairness and data protection in financial algorithms, leveraging differential privacy and federated learning methodologies.</w:t>
      </w:r>
    </w:p>
    <w:p w:rsidR="00000000" w:rsidDel="00000000" w:rsidP="00000000" w:rsidRDefault="00000000" w:rsidRPr="00000000" w14:paraId="00000033">
      <w:pPr>
        <w:tabs>
          <w:tab w:val="left" w:leader="none" w:pos="1843"/>
          <w:tab w:val="left" w:leader="none" w:pos="993"/>
        </w:tabs>
        <w:spacing w:after="0" w:before="0" w:line="240" w:lineRule="auto"/>
        <w:rPr/>
      </w:pPr>
      <w:r w:rsidDel="00000000" w:rsidR="00000000" w:rsidRPr="00000000">
        <w:rPr>
          <w:rtl w:val="0"/>
        </w:rPr>
        <w:t xml:space="preserve">RC7. </w:t>
      </w:r>
      <w:r w:rsidDel="00000000" w:rsidR="00000000" w:rsidRPr="00000000">
        <w:rPr>
          <w:b w:val="1"/>
          <w:rtl w:val="0"/>
        </w:rPr>
        <w:t xml:space="preserve">Stakeholder Input for Algorithmic Bias Mitigation (WG3)</w:t>
      </w:r>
      <w:r w:rsidDel="00000000" w:rsidR="00000000" w:rsidRPr="00000000">
        <w:rPr>
          <w:rtl w:val="0"/>
        </w:rPr>
        <w:t xml:space="preserve">: Engage with policymakers and regulatory bodies to translate the WG's findings on algorithmic bias mitigation into actionable policies.</w:t>
      </w:r>
    </w:p>
    <w:p w:rsidR="00000000" w:rsidDel="00000000" w:rsidP="00000000" w:rsidRDefault="00000000" w:rsidRPr="00000000" w14:paraId="00000034">
      <w:pPr>
        <w:tabs>
          <w:tab w:val="left" w:leader="none" w:pos="1843"/>
          <w:tab w:val="left" w:leader="none" w:pos="993"/>
        </w:tabs>
        <w:spacing w:after="0" w:before="0" w:line="240" w:lineRule="auto"/>
        <w:rPr/>
      </w:pPr>
      <w:r w:rsidDel="00000000" w:rsidR="00000000" w:rsidRPr="00000000">
        <w:rPr>
          <w:rtl w:val="0"/>
        </w:rPr>
        <w:t xml:space="preserve">RC8. </w:t>
      </w:r>
      <w:r w:rsidDel="00000000" w:rsidR="00000000" w:rsidRPr="00000000">
        <w:rPr>
          <w:b w:val="1"/>
          <w:rtl w:val="0"/>
        </w:rPr>
        <w:t xml:space="preserve">Tangible Output for Real-Time ESG Scoring (WG4)</w:t>
      </w:r>
      <w:r w:rsidDel="00000000" w:rsidR="00000000" w:rsidRPr="00000000">
        <w:rPr>
          <w:rtl w:val="0"/>
        </w:rPr>
        <w:t xml:space="preserve">: Develop a real-time, data-driven ESG scoring model that leverages sentiment analysis and other language model-based techniques, to be shared as an open-source tool or as a policy recommendation for financial regulatory bodies.</w:t>
      </w:r>
    </w:p>
    <w:p w:rsidR="00000000" w:rsidDel="00000000" w:rsidP="00000000" w:rsidRDefault="00000000" w:rsidRPr="00000000" w14:paraId="00000035">
      <w:pPr>
        <w:tabs>
          <w:tab w:val="left" w:leader="none" w:pos="1843"/>
          <w:tab w:val="left" w:leader="none" w:pos="993"/>
        </w:tabs>
        <w:spacing w:after="0" w:before="0" w:line="240" w:lineRule="auto"/>
        <w:ind w:left="0" w:firstLine="0"/>
        <w:rPr/>
      </w:pPr>
      <w:r w:rsidDel="00000000" w:rsidR="00000000" w:rsidRPr="00000000">
        <w:rPr>
          <w:rtl w:val="0"/>
        </w:rPr>
      </w:r>
    </w:p>
    <w:p w:rsidR="00000000" w:rsidDel="00000000" w:rsidP="00000000" w:rsidRDefault="00000000" w:rsidRPr="00000000" w14:paraId="00000036">
      <w:pPr>
        <w:pStyle w:val="Heading4"/>
        <w:tabs>
          <w:tab w:val="left" w:leader="none" w:pos="1843"/>
          <w:tab w:val="left" w:leader="none" w:pos="993"/>
        </w:tabs>
        <w:spacing w:after="0" w:before="0" w:line="240" w:lineRule="auto"/>
        <w:ind w:left="0" w:firstLine="0"/>
        <w:rPr>
          <w:b w:val="1"/>
          <w:i w:val="0"/>
          <w:sz w:val="20"/>
          <w:szCs w:val="20"/>
        </w:rPr>
      </w:pPr>
      <w:r w:rsidDel="00000000" w:rsidR="00000000" w:rsidRPr="00000000">
        <w:rPr>
          <w:b w:val="1"/>
          <w:i w:val="0"/>
          <w:sz w:val="20"/>
          <w:szCs w:val="20"/>
          <w:rtl w:val="0"/>
        </w:rPr>
        <w:t xml:space="preserve">1.2.2.2 C</w:t>
      </w:r>
      <w:r w:rsidDel="00000000" w:rsidR="00000000" w:rsidRPr="00000000">
        <w:rPr>
          <w:b w:val="1"/>
          <w:i w:val="0"/>
          <w:sz w:val="20"/>
          <w:szCs w:val="20"/>
          <w:rtl w:val="0"/>
        </w:rPr>
        <w:t xml:space="preserve">apacity-building Ob</w:t>
      </w:r>
      <w:r w:rsidDel="00000000" w:rsidR="00000000" w:rsidRPr="00000000">
        <w:rPr>
          <w:b w:val="1"/>
          <w:i w:val="0"/>
          <w:sz w:val="20"/>
          <w:szCs w:val="20"/>
          <w:rtl w:val="0"/>
        </w:rPr>
        <w:t xml:space="preserve">jectives</w:t>
      </w:r>
    </w:p>
    <w:p w:rsidR="00000000" w:rsidDel="00000000" w:rsidP="00000000" w:rsidRDefault="00000000" w:rsidRPr="00000000" w14:paraId="00000037">
      <w:pPr>
        <w:tabs>
          <w:tab w:val="left" w:leader="none" w:pos="1843"/>
          <w:tab w:val="left" w:leader="none" w:pos="993"/>
        </w:tabs>
        <w:spacing w:after="0" w:lineRule="auto"/>
        <w:rPr/>
      </w:pPr>
      <w:r w:rsidDel="00000000" w:rsidR="00000000" w:rsidRPr="00000000">
        <w:rPr>
          <w:rtl w:val="0"/>
        </w:rPr>
        <w:t xml:space="preserve">The focus of capacity-building goals, achieved through the facilitation of knowledge exchange and collaborative research agenda development, will be centred around the following subject areas:</w:t>
      </w: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tl w:val="0"/>
        </w:rPr>
        <w:t xml:space="preserve">CB1. </w:t>
      </w:r>
      <w:r w:rsidDel="00000000" w:rsidR="00000000" w:rsidRPr="00000000">
        <w:rPr>
          <w:b w:val="1"/>
          <w:rtl w:val="0"/>
        </w:rPr>
        <w:t xml:space="preserve">Joint Research Agenda o</w:t>
      </w:r>
      <w:r w:rsidDel="00000000" w:rsidR="00000000" w:rsidRPr="00000000">
        <w:rPr>
          <w:b w:val="1"/>
          <w:rtl w:val="0"/>
        </w:rPr>
        <w:t xml:space="preserve">n Data Privacy</w:t>
      </w:r>
      <w:r w:rsidDel="00000000" w:rsidR="00000000" w:rsidRPr="00000000">
        <w:rPr>
          <w:rtl w:val="0"/>
        </w:rPr>
        <w:t xml:space="preserve"> (D1): Foster knowledge exchange between legal experts, data scientists, and policymakers to develop a joint research agenda focused on creating comprehensive data privacy guidelines for financial applications.</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t xml:space="preserve">CB2: </w:t>
      </w:r>
      <w:r w:rsidDel="00000000" w:rsidR="00000000" w:rsidRPr="00000000">
        <w:rPr>
          <w:b w:val="1"/>
          <w:rtl w:val="0"/>
        </w:rPr>
        <w:t xml:space="preserve">Interdisciplinary Collaboration for Fairness in Financial Algorithms</w:t>
      </w:r>
      <w:r w:rsidDel="00000000" w:rsidR="00000000" w:rsidRPr="00000000">
        <w:rPr>
          <w:rtl w:val="0"/>
        </w:rPr>
        <w:t xml:space="preserve"> (D2, D9): Bridge the gap between ethics, data science, and finance to facilitate interdisciplinary research aimed at fairness models and algorithmic bias mitigation in financial algorithms.</w:t>
      </w:r>
    </w:p>
    <w:p w:rsidR="00000000" w:rsidDel="00000000" w:rsidP="00000000" w:rsidRDefault="00000000" w:rsidRPr="00000000" w14:paraId="0000003A">
      <w:pPr>
        <w:spacing w:after="0" w:before="0" w:line="240" w:lineRule="auto"/>
        <w:rPr/>
      </w:pPr>
      <w:r w:rsidDel="00000000" w:rsidR="00000000" w:rsidRPr="00000000">
        <w:rPr>
          <w:rtl w:val="0"/>
        </w:rPr>
        <w:t xml:space="preserve">CB3. </w:t>
      </w:r>
      <w:r w:rsidDel="00000000" w:rsidR="00000000" w:rsidRPr="00000000">
        <w:rPr>
          <w:b w:val="1"/>
          <w:rtl w:val="0"/>
        </w:rPr>
        <w:t xml:space="preserve">Young Researchers </w:t>
      </w:r>
      <w:r w:rsidDel="00000000" w:rsidR="00000000" w:rsidRPr="00000000">
        <w:rPr>
          <w:b w:val="1"/>
          <w:rtl w:val="0"/>
        </w:rPr>
        <w:t xml:space="preserve">in Federated Learning</w:t>
      </w:r>
      <w:r w:rsidDel="00000000" w:rsidR="00000000" w:rsidRPr="00000000">
        <w:rPr>
          <w:rtl w:val="0"/>
        </w:rPr>
        <w:t xml:space="preserve"> (D3): Engage young researchers and innovators to contribute to the report on federated learning techniques and protocols, thereby building their capacity in this emerging field.</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t xml:space="preserve">CB4. </w:t>
      </w:r>
      <w:r w:rsidDel="00000000" w:rsidR="00000000" w:rsidRPr="00000000">
        <w:rPr>
          <w:b w:val="1"/>
          <w:rtl w:val="0"/>
        </w:rPr>
        <w:t xml:space="preserve">Stakeholder Platform for Generative AI in Finance</w:t>
      </w:r>
      <w:r w:rsidDel="00000000" w:rsidR="00000000" w:rsidRPr="00000000">
        <w:rPr>
          <w:rtl w:val="0"/>
        </w:rPr>
        <w:t xml:space="preserve"> (D4, D5, D6): Act as a trans-national practice community inv</w:t>
      </w:r>
      <w:r w:rsidDel="00000000" w:rsidR="00000000" w:rsidRPr="00000000">
        <w:rPr>
          <w:rtl w:val="0"/>
        </w:rPr>
        <w:t xml:space="preserve">olving financial institutions, AI researchers, and regulators to foster the adoption of Generative AI models for portfolio optimization, risk, and personalized financial advice. </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t xml:space="preserve">CB5. </w:t>
      </w:r>
      <w:r w:rsidDel="00000000" w:rsidR="00000000" w:rsidRPr="00000000">
        <w:rPr>
          <w:b w:val="1"/>
          <w:rtl w:val="0"/>
        </w:rPr>
        <w:t xml:space="preserve">Inclusive XAI Methods </w:t>
      </w:r>
      <w:r w:rsidDel="00000000" w:rsidR="00000000" w:rsidRPr="00000000">
        <w:rPr>
          <w:rtl w:val="0"/>
        </w:rPr>
        <w:t xml:space="preserve">(D7, D8): Involve under-represented genders and teams from countries/regions with less capacity in the field to contribute to the development of scalable XAI methods and transparent Transformer Neural Networks.</w:t>
      </w:r>
    </w:p>
    <w:p w:rsidR="00000000" w:rsidDel="00000000" w:rsidP="00000000" w:rsidRDefault="00000000" w:rsidRPr="00000000" w14:paraId="0000003D">
      <w:pPr>
        <w:spacing w:after="0" w:before="0" w:line="240" w:lineRule="auto"/>
        <w:rPr/>
      </w:pPr>
      <w:r w:rsidDel="00000000" w:rsidR="00000000" w:rsidRPr="00000000">
        <w:rPr>
          <w:rtl w:val="0"/>
        </w:rPr>
        <w:t xml:space="preserve">CB6. </w:t>
      </w:r>
      <w:r w:rsidDel="00000000" w:rsidR="00000000" w:rsidRPr="00000000">
        <w:rPr>
          <w:b w:val="1"/>
          <w:rtl w:val="0"/>
        </w:rPr>
        <w:t xml:space="preserve">Sustainability Focus in Digital Finance</w:t>
      </w:r>
      <w:r w:rsidDel="00000000" w:rsidR="00000000" w:rsidRPr="00000000">
        <w:rPr>
          <w:rtl w:val="0"/>
        </w:rPr>
        <w:t xml:space="preserve"> (D10, D11, D12): Develop a joint research agenda that includes environmental scientists, financial analysts, and data scientists to advance sustainable digital finance, particularly in ESG sentiment analysis and real-time scoring models.</w:t>
      </w:r>
    </w:p>
    <w:p w:rsidR="00000000" w:rsidDel="00000000" w:rsidP="00000000" w:rsidRDefault="00000000" w:rsidRPr="00000000" w14:paraId="0000003E">
      <w:pPr>
        <w:spacing w:after="0" w:before="0" w:line="240" w:lineRule="auto"/>
        <w:rPr>
          <w:b w:val="1"/>
          <w:color w:val="ff7958"/>
          <w:sz w:val="42"/>
          <w:szCs w:val="42"/>
        </w:rPr>
      </w:pPr>
      <w:r w:rsidDel="00000000" w:rsidR="00000000" w:rsidRPr="00000000">
        <w:rPr>
          <w:rtl w:val="0"/>
        </w:rPr>
        <w:t xml:space="preserve">CB7. </w:t>
      </w:r>
      <w:r w:rsidDel="00000000" w:rsidR="00000000" w:rsidRPr="00000000">
        <w:rPr>
          <w:b w:val="1"/>
          <w:rtl w:val="0"/>
        </w:rPr>
        <w:t xml:space="preserve">Comprehensive Capacity-building Through Overall Action Deliverables</w:t>
      </w:r>
      <w:r w:rsidDel="00000000" w:rsidR="00000000" w:rsidRPr="00000000">
        <w:rPr>
          <w:rtl w:val="0"/>
        </w:rPr>
        <w:t xml:space="preserve"> (D13-D19): Utilize the online presence, data collection, publication plan, training materials, and gender balance reports as tools for ongoing capacity-building across all research groups and stakeholder communities.</w:t>
      </w: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851" w:top="1418" w:left="1418" w:right="1418" w:header="1417.3228346456694" w:footer="589.606299212598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ka Hadji-Misheva" w:id="0" w:date="2023-10-16T16:28:09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can add LLM in the title?</w:t>
      </w:r>
    </w:p>
  </w:comment>
  <w:comment w:author="Joerg Osterrieder" w:id="1" w:date="2023-10-16T20:05:3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 Can you check?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D" w15:done="0"/>
  <w15:commentEx w15:paraId="0000004E" w15:paraIdParent="000000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4022085</wp:posOffset>
          </wp:positionH>
          <wp:positionV relativeFrom="paragraph">
            <wp:posOffset>19587</wp:posOffset>
          </wp:positionV>
          <wp:extent cx="1515999" cy="329565"/>
          <wp:effectExtent b="0" l="0" r="0" t="0"/>
          <wp:wrapNone/>
          <wp:docPr descr="Graphical user interface, text&#10;&#10;Description automatically generated" id="13" name="image1.png"/>
          <a:graphic>
            <a:graphicData uri="http://schemas.openxmlformats.org/drawingml/2006/picture">
              <pic:pic>
                <pic:nvPicPr>
                  <pic:cNvPr descr="Graphical user interface, text&#10;&#10;Description automatically generated" id="0" name="image1.png"/>
                  <pic:cNvPicPr preferRelativeResize="0"/>
                </pic:nvPicPr>
                <pic:blipFill>
                  <a:blip r:embed="rId1"/>
                  <a:srcRect b="0" l="0" r="0" t="0"/>
                  <a:stretch>
                    <a:fillRect/>
                  </a:stretch>
                </pic:blipFill>
                <pic:spPr>
                  <a:xfrm>
                    <a:off x="0" y="0"/>
                    <a:ext cx="1515999" cy="329565"/>
                  </a:xfrm>
                  <a:prstGeom prst="rect"/>
                  <a:ln/>
                </pic:spPr>
              </pic:pic>
            </a:graphicData>
          </a:graphic>
        </wp:anchor>
      </w:drawing>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92825" cy="1781810"/>
          <wp:effectExtent b="0" l="0" r="0" t="0"/>
          <wp:wrapNone/>
          <wp:docPr id="11" name="image2.png"/>
          <a:graphic>
            <a:graphicData uri="http://schemas.openxmlformats.org/drawingml/2006/picture">
              <pic:pic>
                <pic:nvPicPr>
                  <pic:cNvPr id="0" name="image2.png"/>
                  <pic:cNvPicPr preferRelativeResize="0"/>
                </pic:nvPicPr>
                <pic:blipFill>
                  <a:blip r:embed="rId1"/>
                  <a:srcRect b="0" l="0" r="18973" t="0"/>
                  <a:stretch>
                    <a:fillRect/>
                  </a:stretch>
                </pic:blipFill>
                <pic:spPr>
                  <a:xfrm>
                    <a:off x="0" y="0"/>
                    <a:ext cx="609282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1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_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aliases w:val="Text"/>
    <w:qFormat w:val="1"/>
    <w:rsid w:val="0098792B"/>
    <w:pPr>
      <w:spacing w:after="200" w:line="200" w:lineRule="atLeast"/>
      <w:jc w:val="both"/>
    </w:pPr>
    <w:rPr>
      <w:lang w:val="en-GB"/>
    </w:rPr>
  </w:style>
  <w:style w:type="paragraph" w:styleId="Heading1">
    <w:name w:val="heading 1"/>
    <w:basedOn w:val="Normal"/>
    <w:next w:val="Normal"/>
    <w:link w:val="Heading1Char"/>
    <w:uiPriority w:val="9"/>
    <w:qFormat w:val="1"/>
    <w:rsid w:val="00053AE6"/>
    <w:pPr>
      <w:numPr>
        <w:numId w:val="6"/>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053AE6"/>
    <w:pPr>
      <w:numPr>
        <w:ilvl w:val="1"/>
      </w:numPr>
      <w:spacing w:line="320" w:lineRule="exact"/>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053AE6"/>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053AE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053AE6"/>
    <w:pPr>
      <w:keepNext w:val="1"/>
      <w:keepLines w:val="1"/>
      <w:numPr>
        <w:ilvl w:val="4"/>
      </w:numPr>
      <w:tabs>
        <w:tab w:val="clear" w:pos="1843"/>
        <w:tab w:val="left" w:pos="3119"/>
      </w:tabs>
      <w:spacing w:after="0" w:before="40"/>
      <w:outlineLvl w:val="4"/>
    </w:pPr>
    <w:rPr>
      <w:rFonts w:cstheme="majorBidi" w:eastAsiaTheme="majorEastAsia"/>
      <w:i w:val="0"/>
      <w:color w:val="1c254a" w:themeColor="accent1" w:themeShade="0000BF"/>
      <w:sz w:val="20"/>
      <w:szCs w:val="20"/>
    </w:rPr>
  </w:style>
  <w:style w:type="paragraph" w:styleId="Heading6">
    <w:name w:val="heading 6"/>
    <w:basedOn w:val="Normal"/>
    <w:next w:val="Normal"/>
    <w:link w:val="Heading6Char"/>
    <w:uiPriority w:val="9"/>
    <w:unhideWhenUsed w:val="1"/>
    <w:rsid w:val="00B94C14"/>
    <w:pPr>
      <w:keepNext w:val="1"/>
      <w:keepLines w:val="1"/>
      <w:spacing w:after="0" w:before="40"/>
      <w:outlineLvl w:val="5"/>
    </w:pPr>
    <w:rPr>
      <w:rFonts w:asciiTheme="majorHAnsi" w:cstheme="majorBidi" w:eastAsiaTheme="majorEastAsia" w:hAnsiTheme="majorHAnsi"/>
      <w:color w:val="131831" w:themeColor="accent1" w:themeShade="00007F"/>
    </w:rPr>
  </w:style>
  <w:style w:type="paragraph" w:styleId="Heading7">
    <w:name w:val="heading 7"/>
    <w:basedOn w:val="Normal"/>
    <w:next w:val="Normal"/>
    <w:link w:val="Heading7Char"/>
    <w:uiPriority w:val="9"/>
    <w:unhideWhenUsed w:val="1"/>
    <w:qFormat w:val="1"/>
    <w:rsid w:val="00B94C14"/>
    <w:pPr>
      <w:keepNext w:val="1"/>
      <w:keepLines w:val="1"/>
      <w:spacing w:after="0" w:before="40"/>
      <w:outlineLvl w:val="6"/>
    </w:pPr>
    <w:rPr>
      <w:rFonts w:asciiTheme="majorHAnsi" w:cstheme="majorBidi" w:eastAsiaTheme="majorEastAsia" w:hAnsiTheme="majorHAnsi"/>
      <w:i w:val="1"/>
      <w:iCs w:val="1"/>
      <w:color w:val="131831"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053AE6"/>
    <w:pPr>
      <w:spacing w:after="0" w:line="240" w:lineRule="auto"/>
    </w:pPr>
    <w:rPr>
      <w:caps w:val="1"/>
      <w:sz w:val="32"/>
      <w:szCs w:val="36"/>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053AE6"/>
    <w:pPr>
      <w:numPr>
        <w:ilvl w:val="1"/>
      </w:numPr>
      <w:spacing w:after="240" w:line="240" w:lineRule="auto"/>
    </w:pPr>
    <w:rPr>
      <w:color w:val="5a5a5a" w:themeColor="text1" w:themeTint="0000A5"/>
      <w:spacing w:val="15"/>
      <w:sz w:val="24"/>
      <w:szCs w:val="22"/>
    </w:rPr>
  </w:style>
  <w:style w:type="character" w:styleId="SubtitleChar" w:customStyle="1">
    <w:name w:val="Subtitle Char"/>
    <w:basedOn w:val="DefaultParagraphFont"/>
    <w:link w:val="Subtitle"/>
    <w:uiPriority w:val="11"/>
    <w:rsid w:val="00B532A7"/>
    <w:rPr>
      <w:color w:val="5a5a5a" w:themeColor="text1" w:themeTint="0000A5"/>
      <w:spacing w:val="15"/>
      <w:sz w:val="24"/>
      <w:szCs w:val="22"/>
      <w:lang w:val="en-GB"/>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053AE6"/>
    <w:pPr>
      <w:tabs>
        <w:tab w:val="center" w:pos="4536"/>
        <w:tab w:val="right" w:pos="9072"/>
      </w:tabs>
      <w:spacing w:after="0" w:line="240" w:lineRule="auto"/>
    </w:pPr>
  </w:style>
  <w:style w:type="character" w:styleId="HeaderChar" w:customStyle="1">
    <w:name w:val="Header Char"/>
    <w:basedOn w:val="DefaultParagraphFont"/>
    <w:link w:val="Header"/>
    <w:uiPriority w:val="99"/>
    <w:rsid w:val="0041648F"/>
    <w:rPr>
      <w:lang w:val="en-GB"/>
    </w:rPr>
  </w:style>
  <w:style w:type="paragraph" w:styleId="Footer">
    <w:name w:val="footer"/>
    <w:basedOn w:val="Normal"/>
    <w:link w:val="FooterChar"/>
    <w:uiPriority w:val="99"/>
    <w:unhideWhenUsed w:val="1"/>
    <w:rsid w:val="00053AE6"/>
    <w:pPr>
      <w:tabs>
        <w:tab w:val="center" w:pos="4536"/>
        <w:tab w:val="right" w:pos="9072"/>
      </w:tabs>
      <w:spacing w:after="0" w:line="240" w:lineRule="auto"/>
    </w:pPr>
  </w:style>
  <w:style w:type="character" w:styleId="FooterChar" w:customStyle="1">
    <w:name w:val="Footer Char"/>
    <w:basedOn w:val="DefaultParagraphFont"/>
    <w:link w:val="Footer"/>
    <w:uiPriority w:val="99"/>
    <w:rsid w:val="0041648F"/>
    <w:rPr>
      <w:lang w:val="en-GB"/>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053AE6"/>
    <w:rPr>
      <w:rFonts w:ascii="Calibri" w:hAnsi="Calibri" w:eastAsiaTheme="minorEastAsia"/>
      <w:color w:val="1a1a1a" w:themeColor="background1" w:themeShade="00001A"/>
      <w:sz w:val="22"/>
      <w:lang w:val="en-GB"/>
    </w:rPr>
  </w:style>
  <w:style w:type="paragraph" w:styleId="Header1" w:customStyle="1">
    <w:name w:val="Header1"/>
    <w:rsid w:val="00053AE6"/>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053AE6"/>
    <w:pPr>
      <w:spacing w:after="0" w:line="240" w:lineRule="auto"/>
      <w:contextualSpacing w:val="1"/>
    </w:pPr>
    <w:rPr>
      <w:rFonts w:cstheme="majorBidi" w:eastAsiaTheme="majorEastAsia"/>
      <w:color w:val="auto"/>
      <w:spacing w:val="-10"/>
      <w:kern w:val="28"/>
      <w:sz w:val="56"/>
      <w:szCs w:val="56"/>
    </w:rPr>
  </w:style>
  <w:style w:type="character" w:styleId="TitleChar" w:customStyle="1">
    <w:name w:val="Title Char"/>
    <w:basedOn w:val="DefaultParagraphFont"/>
    <w:link w:val="Title"/>
    <w:uiPriority w:val="10"/>
    <w:rsid w:val="00324DF6"/>
    <w:rPr>
      <w:rFonts w:cstheme="majorBidi" w:eastAsiaTheme="majorEastAsia"/>
      <w:color w:val="auto"/>
      <w:spacing w:val="-10"/>
      <w:kern w:val="28"/>
      <w:sz w:val="56"/>
      <w:szCs w:val="56"/>
      <w:lang w:val="en-GB"/>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053AE6"/>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jc w:val="left"/>
    </w:pPr>
  </w:style>
  <w:style w:type="paragraph" w:styleId="Date">
    <w:name w:val="Date"/>
    <w:basedOn w:val="Normal"/>
    <w:next w:val="Normal"/>
    <w:link w:val="DateChar"/>
    <w:uiPriority w:val="99"/>
    <w:unhideWhenUsed w:val="1"/>
    <w:rsid w:val="00053AE6"/>
    <w:pPr>
      <w:spacing w:before="200" w:line="400" w:lineRule="exact"/>
      <w:jc w:val="right"/>
    </w:pPr>
  </w:style>
  <w:style w:type="paragraph" w:styleId="Subject" w:customStyle="1">
    <w:name w:val="Subject"/>
    <w:basedOn w:val="Normal"/>
    <w:rsid w:val="00B532A7"/>
    <w:pPr>
      <w:spacing w:before="200" w:line="220" w:lineRule="exact"/>
      <w:jc w:val="left"/>
    </w:pPr>
    <w:rPr>
      <w:b w:val="1"/>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053AE6"/>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after="0" w:before="240" w:line="288" w:lineRule="auto"/>
      <w:jc w:val="left"/>
      <w:textAlignment w:val="center"/>
    </w:pPr>
    <w:rPr>
      <w:rFonts w:cs="Arial"/>
      <w:b w:val="1"/>
      <w:bCs w:val="1"/>
      <w:spacing w:val="4"/>
      <w:sz w:val="44"/>
      <w:szCs w:val="44"/>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053AE6"/>
    <w:pPr>
      <w:numPr>
        <w:numId w:val="1"/>
      </w:numPr>
      <w:contextualSpacing w:val="1"/>
    </w:pPr>
  </w:style>
  <w:style w:type="paragraph" w:styleId="TOC1">
    <w:name w:val="toc 1"/>
    <w:basedOn w:val="Normal"/>
    <w:next w:val="Normal"/>
    <w:autoRedefine w:val="1"/>
    <w:uiPriority w:val="39"/>
    <w:unhideWhenUsed w:val="1"/>
    <w:rsid w:val="00053AE6"/>
    <w:pPr>
      <w:tabs>
        <w:tab w:val="left" w:pos="426"/>
        <w:tab w:val="right" w:leader="dot" w:pos="9054"/>
      </w:tabs>
      <w:spacing w:after="120" w:before="120"/>
      <w:jc w:val="left"/>
    </w:pPr>
    <w:rPr>
      <w:bCs w:val="1"/>
      <w:sz w:val="24"/>
      <w:szCs w:val="24"/>
    </w:rPr>
  </w:style>
  <w:style w:type="paragraph" w:styleId="TOC2">
    <w:name w:val="toc 2"/>
    <w:basedOn w:val="Normal"/>
    <w:next w:val="Normal"/>
    <w:autoRedefine w:val="1"/>
    <w:uiPriority w:val="39"/>
    <w:unhideWhenUsed w:val="1"/>
    <w:rsid w:val="00053AE6"/>
    <w:pPr>
      <w:tabs>
        <w:tab w:val="left" w:pos="900"/>
        <w:tab w:val="right" w:leader="dot" w:pos="9054"/>
      </w:tabs>
      <w:spacing w:after="120"/>
      <w:ind w:left="851" w:hanging="567"/>
      <w:contextualSpacing w:val="1"/>
      <w:jc w:val="left"/>
    </w:pPr>
    <w:rPr>
      <w:bCs w:val="1"/>
      <w:szCs w:val="22"/>
    </w:rPr>
  </w:style>
  <w:style w:type="paragraph" w:styleId="TOC3">
    <w:name w:val="toc 3"/>
    <w:basedOn w:val="TOC2"/>
    <w:next w:val="Normal"/>
    <w:autoRedefine w:val="1"/>
    <w:uiPriority w:val="39"/>
    <w:unhideWhenUsed w:val="1"/>
    <w:rsid w:val="00053AE6"/>
    <w:pPr>
      <w:tabs>
        <w:tab w:val="clear" w:pos="900"/>
        <w:tab w:val="left" w:pos="1276"/>
      </w:tabs>
      <w:ind w:hanging="284"/>
    </w:pPr>
    <w:rPr>
      <w:rFonts w:cs="Arial" w:eastAsiaTheme="minorEastAsia"/>
      <w:noProof w:val="1"/>
      <w:color w:val="auto"/>
      <w:sz w:val="18"/>
      <w:szCs w:val="18"/>
      <w:lang w:eastAsia="fr-FR" w:val="fr-BE"/>
    </w:rPr>
  </w:style>
  <w:style w:type="paragraph" w:styleId="TOC4">
    <w:name w:val="toc 4"/>
    <w:basedOn w:val="Normal"/>
    <w:next w:val="Normal"/>
    <w:autoRedefine w:val="1"/>
    <w:uiPriority w:val="39"/>
    <w:unhideWhenUsed w:val="1"/>
    <w:rsid w:val="00F23AC3"/>
    <w:pPr>
      <w:spacing w:after="0"/>
      <w:ind w:left="540"/>
      <w:jc w:val="left"/>
    </w:pPr>
    <w:rPr>
      <w:rFonts w:asciiTheme="minorHAnsi" w:hAnsiTheme="minorHAnsi"/>
    </w:rPr>
  </w:style>
  <w:style w:type="paragraph" w:styleId="TOC5">
    <w:name w:val="toc 5"/>
    <w:basedOn w:val="Normal"/>
    <w:next w:val="Normal"/>
    <w:autoRedefine w:val="1"/>
    <w:uiPriority w:val="39"/>
    <w:unhideWhenUsed w:val="1"/>
    <w:rsid w:val="00F23AC3"/>
    <w:pPr>
      <w:spacing w:after="0"/>
      <w:ind w:left="720"/>
      <w:jc w:val="left"/>
    </w:pPr>
    <w:rPr>
      <w:rFonts w:asciiTheme="minorHAnsi" w:hAnsiTheme="minorHAnsi"/>
    </w:rPr>
  </w:style>
  <w:style w:type="paragraph" w:styleId="TOC6">
    <w:name w:val="toc 6"/>
    <w:basedOn w:val="Normal"/>
    <w:next w:val="Normal"/>
    <w:autoRedefine w:val="1"/>
    <w:uiPriority w:val="39"/>
    <w:unhideWhenUsed w:val="1"/>
    <w:rsid w:val="00F23AC3"/>
    <w:pPr>
      <w:spacing w:after="0"/>
      <w:ind w:left="900"/>
      <w:jc w:val="left"/>
    </w:pPr>
    <w:rPr>
      <w:rFonts w:asciiTheme="minorHAnsi" w:hAnsiTheme="minorHAnsi"/>
    </w:rPr>
  </w:style>
  <w:style w:type="paragraph" w:styleId="TOC7">
    <w:name w:val="toc 7"/>
    <w:basedOn w:val="Normal"/>
    <w:next w:val="Normal"/>
    <w:autoRedefine w:val="1"/>
    <w:uiPriority w:val="39"/>
    <w:unhideWhenUsed w:val="1"/>
    <w:rsid w:val="00F23AC3"/>
    <w:pPr>
      <w:spacing w:after="0"/>
      <w:ind w:left="1080"/>
      <w:jc w:val="left"/>
    </w:pPr>
    <w:rPr>
      <w:rFonts w:asciiTheme="minorHAnsi" w:hAnsiTheme="minorHAnsi"/>
    </w:rPr>
  </w:style>
  <w:style w:type="paragraph" w:styleId="TOC8">
    <w:name w:val="toc 8"/>
    <w:basedOn w:val="Normal"/>
    <w:next w:val="Normal"/>
    <w:autoRedefine w:val="1"/>
    <w:uiPriority w:val="39"/>
    <w:unhideWhenUsed w:val="1"/>
    <w:rsid w:val="00F23AC3"/>
    <w:pPr>
      <w:spacing w:after="0"/>
      <w:ind w:left="1260"/>
      <w:jc w:val="left"/>
    </w:pPr>
    <w:rPr>
      <w:rFonts w:asciiTheme="minorHAnsi" w:hAnsiTheme="minorHAnsi"/>
    </w:rPr>
  </w:style>
  <w:style w:type="paragraph" w:styleId="TOC9">
    <w:name w:val="toc 9"/>
    <w:basedOn w:val="Normal"/>
    <w:next w:val="Normal"/>
    <w:autoRedefine w:val="1"/>
    <w:uiPriority w:val="39"/>
    <w:unhideWhenUsed w:val="1"/>
    <w:rsid w:val="00F23AC3"/>
    <w:pPr>
      <w:spacing w:after="0"/>
      <w:ind w:left="1440"/>
      <w:jc w:val="left"/>
    </w:pPr>
    <w:rPr>
      <w:rFonts w:asciiTheme="minorHAnsi" w:hAnsiTheme="minorHAnsi"/>
    </w:rPr>
  </w:style>
  <w:style w:type="paragraph" w:styleId="TOCHeading">
    <w:name w:val="TOC Heading"/>
    <w:next w:val="Normal"/>
    <w:uiPriority w:val="39"/>
    <w:unhideWhenUsed w:val="1"/>
    <w:qFormat w:val="1"/>
    <w:rsid w:val="00053AE6"/>
    <w:pPr>
      <w:keepNext w:val="1"/>
      <w:keepLines w:val="1"/>
      <w:spacing w:before="480" w:line="276" w:lineRule="auto"/>
    </w:pPr>
    <w:rPr>
      <w:rFonts w:cstheme="majorBidi" w:eastAsiaTheme="majorEastAsia"/>
      <w:b w:val="1"/>
      <w:bCs w:val="1"/>
      <w:caps w:val="1"/>
      <w:color w:val="e5713e" w:themeColor="accent5"/>
      <w:sz w:val="32"/>
      <w:szCs w:val="28"/>
      <w:lang w:eastAsia="fr-FR" w:val="en-GB"/>
    </w:rPr>
  </w:style>
  <w:style w:type="paragraph" w:styleId="FootnoteText">
    <w:name w:val="footnote text"/>
    <w:basedOn w:val="Normal"/>
    <w:link w:val="FootnoteTextChar"/>
    <w:uiPriority w:val="99"/>
    <w:unhideWhenUsed w:val="1"/>
    <w:rsid w:val="00053AE6"/>
    <w:pPr>
      <w:spacing w:after="0" w:line="240" w:lineRule="auto"/>
    </w:pPr>
    <w:rPr>
      <w:sz w:val="16"/>
      <w:szCs w:val="16"/>
    </w:rPr>
  </w:style>
  <w:style w:type="character" w:styleId="FootnoteTextChar" w:customStyle="1">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053AE6"/>
    <w:pPr>
      <w:numPr>
        <w:numId w:val="4"/>
      </w:numPr>
    </w:pPr>
  </w:style>
  <w:style w:type="paragraph" w:styleId="DocumentTitleDescription" w:customStyle="1">
    <w:name w:val="Document Title Description"/>
    <w:basedOn w:val="Sous-titre1"/>
    <w:qFormat w:val="1"/>
    <w:rsid w:val="00053AE6"/>
    <w:rPr>
      <w:color w:val="000000" w:themeColor="text1"/>
      <w:sz w:val="36"/>
      <w:szCs w:val="36"/>
    </w:rPr>
  </w:style>
  <w:style w:type="paragraph" w:styleId="TOCHeading1" w:customStyle="1">
    <w:name w:val="TOC Heading1"/>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2"/>
      </w:numPr>
    </w:pPr>
  </w:style>
  <w:style w:type="numbering" w:styleId="COSTNUM" w:customStyle="1">
    <w:name w:val="COST NUM"/>
    <w:uiPriority w:val="99"/>
    <w:rsid w:val="007B5BF7"/>
    <w:pPr>
      <w:numPr>
        <w:numId w:val="3"/>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5"/>
      </w:numPr>
      <w:spacing w:after="120"/>
    </w:pPr>
    <w:rPr>
      <w:rFonts w:cs="Times New Roman (Corps CS)"/>
      <w:szCs w:val="22"/>
    </w:rPr>
  </w:style>
  <w:style w:type="paragraph" w:styleId="Title-Note" w:customStyle="1">
    <w:name w:val="Title - Note"/>
    <w:basedOn w:val="Normal"/>
    <w:qFormat w:val="1"/>
    <w:rsid w:val="00266DE4"/>
    <w:pPr>
      <w:spacing w:after="120"/>
    </w:pPr>
    <w:rPr>
      <w:b w:val="1"/>
      <w:sz w:val="24"/>
      <w:szCs w:val="22"/>
    </w:rPr>
  </w:style>
  <w:style w:type="paragraph" w:styleId="CSOStandard" w:customStyle="1">
    <w:name w:val="CSO_Standard"/>
    <w:basedOn w:val="Normal"/>
    <w:qFormat w:val="1"/>
    <w:rsid w:val="00266DE4"/>
    <w:pPr>
      <w:spacing w:after="0" w:line="240" w:lineRule="auto"/>
      <w:jc w:val="center"/>
    </w:pPr>
    <w:rPr>
      <w:rFonts w:cs="Arial" w:eastAsia="MS Mincho"/>
      <w:color w:val="3d5abf"/>
      <w:sz w:val="22"/>
      <w:szCs w:val="22"/>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7"/>
      </w:numPr>
    </w:pPr>
  </w:style>
  <w:style w:type="numbering" w:styleId="Listeactuelle2" w:customStyle="1">
    <w:name w:val="Liste actuelle2"/>
    <w:uiPriority w:val="99"/>
    <w:rsid w:val="005F4006"/>
    <w:pPr>
      <w:numPr>
        <w:numId w:val="8"/>
      </w:numPr>
    </w:pPr>
  </w:style>
  <w:style w:type="numbering" w:styleId="Listeactuelle3" w:customStyle="1">
    <w:name w:val="Liste actuelle3"/>
    <w:uiPriority w:val="99"/>
    <w:rsid w:val="005F4006"/>
    <w:pPr>
      <w:numPr>
        <w:numId w:val="9"/>
      </w:numPr>
    </w:pPr>
  </w:style>
  <w:style w:type="paragraph" w:styleId="Address" w:customStyle="1">
    <w:name w:val="Address"/>
    <w:basedOn w:val="Normal"/>
    <w:qFormat w:val="1"/>
    <w:rsid w:val="00BB3380"/>
    <w:pPr>
      <w:spacing w:after="120"/>
      <w:jc w:val="left"/>
    </w:pPr>
    <w:rPr>
      <w:rFonts w:cs="Times New Roman (Corps CS)"/>
      <w:szCs w:val="24"/>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Heading6Char" w:customStyle="1">
    <w:name w:val="Heading 6 Char"/>
    <w:basedOn w:val="DefaultParagraphFont"/>
    <w:link w:val="Heading6"/>
    <w:uiPriority w:val="9"/>
    <w:rsid w:val="00B94C14"/>
    <w:rPr>
      <w:rFonts w:asciiTheme="majorHAnsi" w:cstheme="majorBidi" w:eastAsiaTheme="majorEastAsia" w:hAnsiTheme="majorHAnsi"/>
      <w:color w:val="131831" w:themeColor="accent1" w:themeShade="00007F"/>
      <w:lang w:val="en-GB"/>
    </w:rPr>
  </w:style>
  <w:style w:type="character" w:styleId="Heading7Char" w:customStyle="1">
    <w:name w:val="Heading 7 Char"/>
    <w:basedOn w:val="DefaultParagraphFont"/>
    <w:link w:val="Heading7"/>
    <w:uiPriority w:val="9"/>
    <w:rsid w:val="00B94C14"/>
    <w:rPr>
      <w:rFonts w:asciiTheme="majorHAnsi" w:cstheme="majorBidi" w:eastAsiaTheme="majorEastAsia" w:hAnsiTheme="majorHAnsi"/>
      <w:i w:val="1"/>
      <w:iCs w:val="1"/>
      <w:color w:val="131831" w:themeColor="accent1" w:themeShade="00007F"/>
      <w:lang w:val="en-GB"/>
    </w:rPr>
  </w:style>
  <w:style w:type="paragraph" w:styleId="Bulletpoint" w:customStyle="1">
    <w:name w:val="Bullet point"/>
    <w:basedOn w:val="ListParagraph"/>
    <w:qFormat w:val="1"/>
    <w:rsid w:val="00053AE6"/>
    <w:pPr>
      <w:numPr>
        <w:numId w:val="32"/>
      </w:numPr>
      <w:spacing w:line="240" w:lineRule="auto"/>
    </w:pPr>
    <w:rPr>
      <w:rFonts w:cstheme="minorBidi" w:eastAsiaTheme="minorEastAsia"/>
      <w:color w:val="656865" w:themeColor="text2"/>
      <w:lang w:val="en-US"/>
    </w:rPr>
  </w:style>
  <w:style w:type="paragraph" w:styleId="Title-TOC" w:customStyle="1">
    <w:name w:val="Title - TOC"/>
    <w:qFormat w:val="1"/>
    <w:rsid w:val="00053AE6"/>
    <w:rPr>
      <w:rFonts w:cs="Arial"/>
      <w:b w:val="1"/>
      <w:bCs w:val="1"/>
      <w:caps w:val="1"/>
      <w:color w:val="5e78ad" w:themeColor="accent2"/>
      <w:spacing w:val="5"/>
      <w:sz w:val="32"/>
      <w:szCs w:val="32"/>
      <w:lang w:val="en-US"/>
    </w:rPr>
  </w:style>
  <w:style w:type="character" w:styleId="CommentReference">
    <w:name w:val="annotation reference"/>
    <w:basedOn w:val="DefaultParagraphFont"/>
    <w:uiPriority w:val="99"/>
    <w:unhideWhenUsed w:val="1"/>
    <w:rsid w:val="00053AE6"/>
    <w:rPr>
      <w:sz w:val="16"/>
      <w:szCs w:val="16"/>
    </w:rPr>
  </w:style>
  <w:style w:type="paragraph" w:styleId="CommentText">
    <w:name w:val="annotation text"/>
    <w:basedOn w:val="Normal"/>
    <w:link w:val="CommentTextChar"/>
    <w:uiPriority w:val="99"/>
    <w:unhideWhenUsed w:val="1"/>
    <w:rsid w:val="004012F2"/>
    <w:pPr>
      <w:widowControl w:val="0"/>
      <w:spacing w:line="240" w:lineRule="auto"/>
      <w:jc w:val="left"/>
    </w:pPr>
    <w:rPr>
      <w:rFonts w:asciiTheme="minorHAnsi" w:cstheme="minorBidi" w:hAnsiTheme="minorHAnsi"/>
      <w:color w:val="auto"/>
      <w:lang w:val="en-US"/>
    </w:rPr>
  </w:style>
  <w:style w:type="character" w:styleId="CommentTextChar" w:customStyle="1">
    <w:name w:val="Comment Text Char"/>
    <w:basedOn w:val="DefaultParagraphFont"/>
    <w:link w:val="CommentText"/>
    <w:uiPriority w:val="99"/>
    <w:rsid w:val="004012F2"/>
    <w:rPr>
      <w:rFonts w:asciiTheme="minorHAnsi" w:cstheme="minorBidi" w:hAnsiTheme="minorHAnsi"/>
      <w:color w:val="auto"/>
      <w:lang w:val="en-US"/>
    </w:rPr>
  </w:style>
  <w:style w:type="paragraph" w:styleId="Revision">
    <w:name w:val="Revision"/>
    <w:hidden w:val="1"/>
    <w:uiPriority w:val="99"/>
    <w:semiHidden w:val="1"/>
    <w:rsid w:val="009975B7"/>
    <w:rPr>
      <w:lang w:val="en-GB"/>
    </w:rPr>
  </w:style>
  <w:style w:type="character" w:styleId="FollowedHyperlink">
    <w:name w:val="FollowedHyperlink"/>
    <w:basedOn w:val="DefaultParagraphFont"/>
    <w:uiPriority w:val="99"/>
    <w:semiHidden w:val="1"/>
    <w:unhideWhenUsed w:val="1"/>
    <w:rsid w:val="00757846"/>
    <w:rPr>
      <w:color w:val="8a8f8c" w:themeColor="followedHyperlink"/>
      <w:u w:val="single"/>
    </w:rPr>
  </w:style>
  <w:style w:type="paragraph" w:styleId="BalloonText">
    <w:name w:val="Balloon Text"/>
    <w:basedOn w:val="Normal"/>
    <w:link w:val="BalloonTextChar"/>
    <w:uiPriority w:val="99"/>
    <w:semiHidden w:val="1"/>
    <w:unhideWhenUsed w:val="1"/>
    <w:rsid w:val="00053AE6"/>
    <w:pPr>
      <w:spacing w:after="0" w:line="240" w:lineRule="auto"/>
    </w:pPr>
    <w:rPr>
      <w:rFonts w:ascii="Segoe UI" w:cs="Segoe UI" w:hAnsi="Segoe UI" w:eastAsiaTheme="minorEastAsia"/>
      <w:color w:val="656865" w:themeColor="text2"/>
      <w:sz w:val="18"/>
      <w:szCs w:val="18"/>
    </w:rPr>
  </w:style>
  <w:style w:type="character" w:styleId="BalloonTextChar" w:customStyle="1">
    <w:name w:val="Balloon Text Char"/>
    <w:basedOn w:val="DefaultParagraphFont"/>
    <w:link w:val="BalloonText"/>
    <w:uiPriority w:val="99"/>
    <w:semiHidden w:val="1"/>
    <w:rsid w:val="00053AE6"/>
    <w:rPr>
      <w:rFonts w:ascii="Segoe UI" w:cs="Segoe UI" w:hAnsi="Segoe UI" w:eastAsiaTheme="minorEastAsia"/>
      <w:color w:val="656865" w:themeColor="text2"/>
      <w:sz w:val="18"/>
      <w:szCs w:val="18"/>
      <w:lang w:val="en-GB"/>
    </w:rPr>
  </w:style>
  <w:style w:type="paragraph" w:styleId="CommentSubject">
    <w:name w:val="annotation subject"/>
    <w:basedOn w:val="CommentText"/>
    <w:next w:val="CommentText"/>
    <w:link w:val="CommentSubjectChar"/>
    <w:uiPriority w:val="99"/>
    <w:semiHidden w:val="1"/>
    <w:unhideWhenUsed w:val="1"/>
    <w:rsid w:val="00053AE6"/>
    <w:pPr>
      <w:widowControl w:val="1"/>
      <w:jc w:val="both"/>
    </w:pPr>
    <w:rPr>
      <w:rFonts w:ascii="Arial" w:hAnsi="Arial" w:eastAsiaTheme="minorEastAsia"/>
      <w:b w:val="1"/>
      <w:bCs w:val="1"/>
      <w:color w:val="656865" w:themeColor="text2"/>
      <w:lang w:val="en-GB"/>
    </w:rPr>
  </w:style>
  <w:style w:type="character" w:styleId="CommentSubjectChar" w:customStyle="1">
    <w:name w:val="Comment Subject Char"/>
    <w:basedOn w:val="CommentTextChar"/>
    <w:link w:val="CommentSubject"/>
    <w:uiPriority w:val="99"/>
    <w:semiHidden w:val="1"/>
    <w:rsid w:val="00053AE6"/>
    <w:rPr>
      <w:rFonts w:asciiTheme="minorHAnsi" w:cstheme="minorBidi" w:eastAsiaTheme="minorEastAsia" w:hAnsiTheme="minorHAnsi"/>
      <w:b w:val="1"/>
      <w:bCs w:val="1"/>
      <w:color w:val="656865" w:themeColor="text2"/>
      <w:lang w:val="en-GB"/>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fCd1qfJQu9EPf3TjxFwtwVVYQ==">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2022-08-24T11:26:00Z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0x010100AFCAB1B9A5872749993B9A4900EE7185004DFE168494CF2648A1580B6742B0405B</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12300.0</vt:r8>
  </property>
  <property fmtid="{D5CDD505-2E9C-101B-9397-08002B2CF9AE}" pid="21" name="Action Number">
    <vt:lpwstr/>
  </property>
  <property fmtid="{D5CDD505-2E9C-101B-9397-08002B2CF9AE}" pid="22" name="TaxCatchAll">
    <vt:lpwstr/>
  </property>
  <property fmtid="{D5CDD505-2E9C-101B-9397-08002B2CF9AE}" pid="23" name="i00b8442aa7a4cf9a71eeeca23012327">
    <vt:lpwstr/>
  </property>
  <property fmtid="{D5CDD505-2E9C-101B-9397-08002B2CF9AE}" pid="24" name="nae73cb6769f4a7f9271b45194c652bb">
    <vt:lpwstr/>
  </property>
  <property fmtid="{D5CDD505-2E9C-101B-9397-08002B2CF9AE}" pid="25" name="fca2ec1b797f4b5f8f8c86f331133d6a">
    <vt:lpwstr/>
  </property>
</Properties>
</file>