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0" w:before="240" w:lineRule="auto"/>
        <w:jc w:val="both"/>
        <w:rPr/>
      </w:pPr>
      <w:bookmarkStart w:colFirst="0" w:colLast="0" w:name="_ti6gi9fr30j3" w:id="0"/>
      <w:bookmarkEnd w:id="0"/>
      <w:r w:rsidDel="00000000" w:rsidR="00000000" w:rsidRPr="00000000">
        <w:rPr>
          <w:rtl w:val="0"/>
        </w:rPr>
        <w:t xml:space="preserve">4.2 Deep Dive into Working Group 1: Transparency in FinTech</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Working Group 1 (WG1) focuses on enhancing transparency within the FinTech sector, particularly regarding blockchain technologies, peer-to-peer lending, and digital assets. The group has made notable contributions through several research projects and collaborations.</w:t>
      </w:r>
    </w:p>
    <w:p w:rsidR="00000000" w:rsidDel="00000000" w:rsidP="00000000" w:rsidRDefault="00000000" w:rsidRPr="00000000" w14:paraId="00000003">
      <w:pPr>
        <w:spacing w:after="240" w:before="240" w:lineRule="auto"/>
        <w:jc w:val="both"/>
        <w:rPr/>
      </w:pPr>
      <w:r w:rsidDel="00000000" w:rsidR="00000000" w:rsidRPr="00000000">
        <w:rPr>
          <w:b w:val="1"/>
          <w:bCs w:val="1"/>
          <w:rtl w:val="0"/>
        </w:rPr>
        <w:t xml:space="preserve">Research Focus and Key Objectives</w:t>
        <w:br w:type="textWrapping"/>
      </w:r>
      <w:r w:rsidDel="00000000" w:rsidR="00000000" w:rsidRPr="00000000">
        <w:rPr>
          <w:rtl w:val="0"/>
        </w:rPr>
        <w:t xml:space="preserve">WG1 is dedicated to exploring transparency issues in emerging financial technologies. The group's key objectives include developing methodologies to detect fraud in blockchain networks, enhancing transparency in digital asset transactions, and establishing best practices for peer-to-peer lending platforms. These objectives are pursued through collaborative research, workshops, and conferences that bring together a wide range of stakeholders from academia, industry, and regulatory bodies​.</w:t>
      </w:r>
    </w:p>
    <w:p w:rsidR="00000000" w:rsidDel="00000000" w:rsidP="00000000" w:rsidRDefault="00000000" w:rsidRPr="00000000" w14:paraId="00000004">
      <w:pPr>
        <w:spacing w:after="240" w:before="240" w:lineRule="auto"/>
        <w:jc w:val="both"/>
        <w:rPr/>
      </w:pPr>
      <w:r w:rsidDel="00000000" w:rsidR="00000000" w:rsidRPr="00000000">
        <w:rPr>
          <w:b w:val="1"/>
          <w:bCs w:val="1"/>
          <w:rtl w:val="0"/>
        </w:rPr>
        <w:t xml:space="preserve">Technical Insights: Methodologies, Models, and Algorithms Developed</w:t>
        <w:br w:type="textWrapping"/>
      </w:r>
      <w:r w:rsidDel="00000000" w:rsidR="00000000" w:rsidRPr="00000000">
        <w:rPr>
          <w:rtl w:val="0"/>
        </w:rPr>
        <w:t xml:space="preserve">Several innovative models and algorithms have been developed by WG1 to enhance transparency in FinTech. These include machine learning models for anomaly detection in blockchain transactions and AI-driven tools for assessing the risk and performance of digital assets. The methodologies developed are shared widely via platforms like quantlet.com, enabling reproducibility and further research. The group's work on enhancing the interpretability of these models ensures that they are not only effective but also transparent and understandable by non-experts​.</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Publications and Papers: Key Findings and Innovations</w:t>
        <w:br w:type="textWrapping"/>
      </w:r>
      <w:r w:rsidDel="00000000" w:rsidR="00000000" w:rsidRPr="00000000">
        <w:rPr>
          <w:rtl w:val="0"/>
        </w:rPr>
        <w:t xml:space="preserve">WG1 members have published numerous papers in high-impact journals, contributing significantly to the field of FinTech transparency. The publications cover a range of topics, from the development of new algorithms for fraud detection to the implementation of standards for digital asset management. These findings have been disseminated through various conferences and workshops organized by the Action, enhancing visibility and engagement with a broader audience​.</w:t>
      </w:r>
    </w:p>
    <w:p w:rsidR="00000000" w:rsidDel="00000000" w:rsidP="00000000" w:rsidRDefault="00000000" w:rsidRPr="00000000" w14:paraId="00000006">
      <w:pPr>
        <w:pStyle w:val="Heading1"/>
        <w:keepNext w:val="0"/>
        <w:keepLines w:val="0"/>
        <w:spacing w:after="40" w:before="240" w:lineRule="auto"/>
        <w:jc w:val="both"/>
        <w:rPr/>
      </w:pPr>
      <w:bookmarkStart w:colFirst="0" w:colLast="0" w:name="_v8ttc3espyda" w:id="1"/>
      <w:bookmarkEnd w:id="1"/>
      <w:r w:rsidDel="00000000" w:rsidR="00000000" w:rsidRPr="00000000">
        <w:rPr>
          <w:rtl w:val="0"/>
        </w:rPr>
        <w:t xml:space="preserve">4.3 Deep Dive into Working Group 2: Explainable AI and Decision-Support Models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Working Group 2 (WG2) focuses on advancing the field of Explainable AI (XAI) and decision-support models for the financial industry. The group has been instrumental in bridging the gap between "black box" AI models and their practical, transparent applications in finance.</w:t>
      </w:r>
    </w:p>
    <w:p w:rsidR="00000000" w:rsidDel="00000000" w:rsidP="00000000" w:rsidRDefault="00000000" w:rsidRPr="00000000" w14:paraId="00000008">
      <w:pPr>
        <w:spacing w:after="240" w:before="240" w:lineRule="auto"/>
        <w:jc w:val="both"/>
        <w:rPr/>
      </w:pPr>
      <w:r w:rsidDel="00000000" w:rsidR="00000000" w:rsidRPr="00000000">
        <w:rPr>
          <w:b w:val="1"/>
          <w:bCs w:val="1"/>
          <w:rtl w:val="0"/>
        </w:rPr>
        <w:t xml:space="preserve">Progress in Transparent versus Black Box AI Models</w:t>
        <w:br w:type="textWrapping"/>
      </w:r>
      <w:r w:rsidDel="00000000" w:rsidR="00000000" w:rsidRPr="00000000">
        <w:rPr>
          <w:rtl w:val="0"/>
        </w:rPr>
        <w:t xml:space="preserve">WG2 has concentrated its efforts on developing explainable AI models that are both transparent and reliable for financial decision-making. The group has organized several events and created digital resources, including interactive applications and code repositories, to promote the use of interpretable models over opaque ones. This includes pioneering work on new metrics for model interpretability, as well as case studies demonstrating their application in risk management and financial forecasting​.</w:t>
      </w:r>
    </w:p>
    <w:p w:rsidR="00000000" w:rsidDel="00000000" w:rsidP="00000000" w:rsidRDefault="00000000" w:rsidRPr="00000000" w14:paraId="00000009">
      <w:pPr>
        <w:spacing w:after="240" w:before="240" w:lineRule="auto"/>
        <w:jc w:val="both"/>
        <w:rPr/>
      </w:pPr>
      <w:r w:rsidDel="00000000" w:rsidR="00000000" w:rsidRPr="00000000">
        <w:rPr>
          <w:b w:val="1"/>
          <w:bCs w:val="1"/>
          <w:rtl w:val="0"/>
        </w:rPr>
        <w:t xml:space="preserve">Technical Highlights: AI Frameworks, Tools, and Case Studies</w:t>
        <w:br w:type="textWrapping"/>
      </w:r>
      <w:r w:rsidDel="00000000" w:rsidR="00000000" w:rsidRPr="00000000">
        <w:rPr>
          <w:rtl w:val="0"/>
        </w:rPr>
        <w:t xml:space="preserve">The technical advancements achieved by WG2 include the development of AI frameworks that integrate domain-specific knowledge with machine learning techniques to ensure that the decision-making process is both transparent and interpretable. Several case studies have been conducted, demonstrating the efficacy of these models in real-world financial environments, such as credit risk assessment and portfolio management​.</w:t>
      </w:r>
    </w:p>
    <w:p w:rsidR="00000000" w:rsidDel="00000000" w:rsidP="00000000" w:rsidRDefault="00000000" w:rsidRPr="00000000" w14:paraId="0000000A">
      <w:pPr>
        <w:spacing w:after="240" w:before="240" w:lineRule="auto"/>
        <w:jc w:val="both"/>
        <w:rPr/>
      </w:pPr>
      <w:r w:rsidDel="00000000" w:rsidR="00000000" w:rsidRPr="00000000">
        <w:rPr>
          <w:b w:val="1"/>
          <w:bCs w:val="1"/>
          <w:rtl w:val="0"/>
        </w:rPr>
        <w:t xml:space="preserve">Policy Papers and Regulatory Engagements</w:t>
        <w:br w:type="textWrapping"/>
      </w:r>
      <w:r w:rsidDel="00000000" w:rsidR="00000000" w:rsidRPr="00000000">
        <w:rPr>
          <w:rtl w:val="0"/>
        </w:rPr>
        <w:t xml:space="preserve">WG2 has also actively engaged with policymakers to ensure that the research findings inform regulatory frameworks. Position papers have been developed, aimed at providing concrete recommendations on the ethical use of AI in finance. These engagements have culminated in high-level policy discussions, such as those at the COST Association premises, helping shape future regulatory landscapes​.</w:t>
      </w:r>
    </w:p>
    <w:p w:rsidR="00000000" w:rsidDel="00000000" w:rsidP="00000000" w:rsidRDefault="00000000" w:rsidRPr="00000000" w14:paraId="0000000B">
      <w:pPr>
        <w:pStyle w:val="Heading1"/>
        <w:keepNext w:val="0"/>
        <w:keepLines w:val="0"/>
        <w:spacing w:after="40" w:before="240" w:lineRule="auto"/>
        <w:jc w:val="both"/>
        <w:rPr/>
      </w:pPr>
      <w:bookmarkStart w:colFirst="0" w:colLast="0" w:name="_42k4r5o3pbml" w:id="2"/>
      <w:bookmarkEnd w:id="2"/>
      <w:r w:rsidDel="00000000" w:rsidR="00000000" w:rsidRPr="00000000">
        <w:rPr>
          <w:rtl w:val="0"/>
        </w:rPr>
        <w:t xml:space="preserve">4.4 Deep Dive into Working Group 3: Transparency in Investment Product Performance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Working Group 3 (WG3) is dedicated to enhancing transparency in the performance evaluation of investment products. The group’s research is particularly relevant for consumers, regulators, and financial institutions aiming to foster trust and fairness in financial markets.</w:t>
      </w:r>
    </w:p>
    <w:p w:rsidR="00000000" w:rsidDel="00000000" w:rsidP="00000000" w:rsidRDefault="00000000" w:rsidRPr="00000000" w14:paraId="0000000D">
      <w:pPr>
        <w:spacing w:after="240" w:before="240" w:lineRule="auto"/>
        <w:jc w:val="both"/>
        <w:rPr/>
      </w:pPr>
      <w:r w:rsidDel="00000000" w:rsidR="00000000" w:rsidRPr="00000000">
        <w:rPr>
          <w:b w:val="1"/>
          <w:bCs w:val="1"/>
          <w:rtl w:val="0"/>
        </w:rPr>
        <w:t xml:space="preserve">Overview of Research Activities and Outcomes</w:t>
        <w:br w:type="textWrapping"/>
      </w:r>
      <w:r w:rsidDel="00000000" w:rsidR="00000000" w:rsidRPr="00000000">
        <w:rPr>
          <w:rtl w:val="0"/>
        </w:rPr>
        <w:t xml:space="preserve">WG3 has focused on developing transparent methodologies for evaluating the performance of various investment products, including mutual funds, ETFs, and digital assets. The group has conducted extensive research on performance attribution models, risk measurement, and the evaluation of investment strategies under varying market conditions​.</w:t>
      </w:r>
    </w:p>
    <w:p w:rsidR="00000000" w:rsidDel="00000000" w:rsidP="00000000" w:rsidRDefault="00000000" w:rsidRPr="00000000" w14:paraId="0000000E">
      <w:pPr>
        <w:spacing w:after="240" w:before="240" w:lineRule="auto"/>
        <w:jc w:val="both"/>
        <w:rPr/>
      </w:pPr>
      <w:r w:rsidDel="00000000" w:rsidR="00000000" w:rsidRPr="00000000">
        <w:rPr>
          <w:b w:val="1"/>
          <w:bCs w:val="1"/>
          <w:rtl w:val="0"/>
        </w:rPr>
        <w:t xml:space="preserve">Technical Developments: Performance Evaluation Models and Tools</w:t>
        <w:br w:type="textWrapping"/>
      </w:r>
      <w:r w:rsidDel="00000000" w:rsidR="00000000" w:rsidRPr="00000000">
        <w:rPr>
          <w:rtl w:val="0"/>
        </w:rPr>
        <w:t xml:space="preserve">The technical contributions from WG3 include the development of advanced performance evaluation models that account for factors such as market volatility and investor behavior. These tools are designed to be used by both financial institutions and regulators to ensure fair and transparent assessments of investment products, ultimately contributing to greater consumer protection and market integrity​.</w:t>
      </w:r>
    </w:p>
    <w:p w:rsidR="00000000" w:rsidDel="00000000" w:rsidP="00000000" w:rsidRDefault="00000000" w:rsidRPr="00000000" w14:paraId="0000000F">
      <w:pPr>
        <w:spacing w:after="240" w:before="240" w:lineRule="auto"/>
        <w:jc w:val="both"/>
        <w:rPr/>
      </w:pPr>
      <w:r w:rsidDel="00000000" w:rsidR="00000000" w:rsidRPr="00000000">
        <w:rPr>
          <w:b w:val="1"/>
          <w:bCs w:val="1"/>
          <w:rtl w:val="0"/>
        </w:rPr>
        <w:t xml:space="preserve">Collaborations with Financial Institutions and Stakeholder Feedback</w:t>
        <w:br w:type="textWrapping"/>
      </w:r>
      <w:r w:rsidDel="00000000" w:rsidR="00000000" w:rsidRPr="00000000">
        <w:rPr>
          <w:rtl w:val="0"/>
        </w:rPr>
        <w:t xml:space="preserve">WG3 has engaged extensively with financial institutions and other stakeholders to validate and refine its research findings.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