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30B667" w14:textId="77777777" w:rsidR="00F909DD" w:rsidRDefault="00F909DD" w:rsidP="00F909DD">
      <w:pPr>
        <w:jc w:val="both"/>
        <w:rPr>
          <w:rFonts w:ascii="Times New Roman" w:hAnsi="Times New Roman" w:cs="Times New Roman"/>
          <w:b/>
          <w:bCs/>
          <w:sz w:val="24"/>
          <w:szCs w:val="24"/>
        </w:rPr>
      </w:pPr>
      <w:r w:rsidRPr="00F909DD">
        <w:rPr>
          <w:rFonts w:ascii="Times New Roman" w:hAnsi="Times New Roman" w:cs="Times New Roman"/>
          <w:b/>
          <w:bCs/>
          <w:sz w:val="24"/>
          <w:szCs w:val="24"/>
        </w:rPr>
        <w:t>COST Action CA19130 Annual Report (</w:t>
      </w:r>
      <w:r w:rsidR="00E36BA9" w:rsidRPr="00E36BA9">
        <w:rPr>
          <w:rFonts w:ascii="Times New Roman" w:hAnsi="Times New Roman" w:cs="Times New Roman"/>
          <w:b/>
          <w:bCs/>
          <w:sz w:val="24"/>
          <w:szCs w:val="24"/>
        </w:rPr>
        <w:t xml:space="preserve">Nov </w:t>
      </w:r>
      <w:r w:rsidR="00E36BA9">
        <w:rPr>
          <w:rFonts w:ascii="Times New Roman" w:hAnsi="Times New Roman" w:cs="Times New Roman"/>
          <w:b/>
          <w:bCs/>
          <w:sz w:val="24"/>
          <w:szCs w:val="24"/>
        </w:rPr>
        <w:t>20</w:t>
      </w:r>
      <w:r w:rsidR="00E36BA9" w:rsidRPr="00E36BA9">
        <w:rPr>
          <w:rFonts w:ascii="Times New Roman" w:hAnsi="Times New Roman" w:cs="Times New Roman"/>
          <w:b/>
          <w:bCs/>
          <w:sz w:val="24"/>
          <w:szCs w:val="24"/>
        </w:rPr>
        <w:t xml:space="preserve">22 to Oct </w:t>
      </w:r>
      <w:r w:rsidR="00E36BA9">
        <w:rPr>
          <w:rFonts w:ascii="Times New Roman" w:hAnsi="Times New Roman" w:cs="Times New Roman"/>
          <w:b/>
          <w:bCs/>
          <w:sz w:val="24"/>
          <w:szCs w:val="24"/>
        </w:rPr>
        <w:t>20</w:t>
      </w:r>
      <w:r w:rsidR="00E36BA9" w:rsidRPr="00E36BA9">
        <w:rPr>
          <w:rFonts w:ascii="Times New Roman" w:hAnsi="Times New Roman" w:cs="Times New Roman"/>
          <w:b/>
          <w:bCs/>
          <w:sz w:val="24"/>
          <w:szCs w:val="24"/>
        </w:rPr>
        <w:t>23</w:t>
      </w:r>
      <w:r w:rsidRPr="00F909DD">
        <w:rPr>
          <w:rFonts w:ascii="Times New Roman" w:hAnsi="Times New Roman" w:cs="Times New Roman"/>
          <w:b/>
          <w:bCs/>
          <w:sz w:val="24"/>
          <w:szCs w:val="24"/>
        </w:rPr>
        <w:t>)</w:t>
      </w:r>
    </w:p>
    <w:p w14:paraId="0ED2732D" w14:textId="77777777" w:rsidR="00F909DD" w:rsidRPr="00F909DD" w:rsidRDefault="00E36BA9" w:rsidP="00F909DD">
      <w:pPr>
        <w:jc w:val="both"/>
        <w:rPr>
          <w:rFonts w:ascii="Times New Roman" w:hAnsi="Times New Roman" w:cs="Times New Roman"/>
          <w:sz w:val="24"/>
          <w:szCs w:val="24"/>
        </w:rPr>
      </w:pPr>
      <w:r w:rsidRPr="00E36BA9">
        <w:rPr>
          <w:rFonts w:ascii="Times New Roman" w:hAnsi="Times New Roman" w:cs="Times New Roman"/>
          <w:b/>
          <w:bCs/>
          <w:sz w:val="24"/>
          <w:szCs w:val="24"/>
          <w:lang w:val="en-GB"/>
        </w:rPr>
        <w:t>Catalysing Transparency: Expected Outputs and Alignment with COST Action Objectives</w:t>
      </w:r>
    </w:p>
    <w:p w14:paraId="3A992C16" w14:textId="77777777" w:rsidR="00F909DD" w:rsidRPr="00F909DD" w:rsidRDefault="00000000" w:rsidP="00F909DD">
      <w:pPr>
        <w:jc w:val="both"/>
        <w:rPr>
          <w:rFonts w:ascii="Times New Roman" w:hAnsi="Times New Roman" w:cs="Times New Roman"/>
          <w:sz w:val="24"/>
          <w:szCs w:val="24"/>
        </w:rPr>
      </w:pPr>
      <w:r>
        <w:rPr>
          <w:rFonts w:ascii="Times New Roman" w:hAnsi="Times New Roman" w:cs="Times New Roman"/>
          <w:sz w:val="24"/>
          <w:szCs w:val="24"/>
        </w:rPr>
        <w:pict w14:anchorId="71AC1780">
          <v:rect id="_x0000_i1025" style="width:0;height:1.5pt" o:hralign="center" o:hrstd="t" o:hr="t" fillcolor="#a0a0a0" stroked="f"/>
        </w:pict>
      </w:r>
    </w:p>
    <w:p w14:paraId="213D1E50" w14:textId="77777777" w:rsidR="00F909DD" w:rsidRDefault="00A73FE5" w:rsidP="00F909DD">
      <w:pPr>
        <w:jc w:val="both"/>
        <w:rPr>
          <w:rFonts w:ascii="Times New Roman" w:hAnsi="Times New Roman" w:cs="Times New Roman"/>
          <w:b/>
          <w:bCs/>
          <w:sz w:val="24"/>
          <w:szCs w:val="24"/>
        </w:rPr>
      </w:pPr>
      <w:r>
        <w:rPr>
          <w:rFonts w:ascii="Times New Roman" w:hAnsi="Times New Roman" w:cs="Times New Roman"/>
          <w:b/>
          <w:bCs/>
          <w:sz w:val="24"/>
          <w:szCs w:val="24"/>
        </w:rPr>
        <w:t>Second</w:t>
      </w:r>
      <w:r w:rsidR="00F909DD" w:rsidRPr="00F909DD">
        <w:rPr>
          <w:rFonts w:ascii="Times New Roman" w:hAnsi="Times New Roman" w:cs="Times New Roman"/>
          <w:b/>
          <w:bCs/>
          <w:sz w:val="24"/>
          <w:szCs w:val="24"/>
        </w:rPr>
        <w:t xml:space="preserve"> Annual Report</w:t>
      </w:r>
    </w:p>
    <w:p w14:paraId="40C0A021" w14:textId="77777777" w:rsidR="00F909DD" w:rsidRPr="00F909DD" w:rsidRDefault="00E36BA9" w:rsidP="00F909DD">
      <w:pPr>
        <w:jc w:val="both"/>
        <w:rPr>
          <w:rFonts w:ascii="Times New Roman" w:hAnsi="Times New Roman" w:cs="Times New Roman"/>
          <w:sz w:val="24"/>
          <w:szCs w:val="24"/>
        </w:rPr>
      </w:pPr>
      <w:r>
        <w:rPr>
          <w:rFonts w:ascii="Times New Roman" w:hAnsi="Times New Roman" w:cs="Times New Roman"/>
          <w:b/>
          <w:bCs/>
          <w:sz w:val="24"/>
          <w:szCs w:val="24"/>
        </w:rPr>
        <w:t xml:space="preserve"> </w:t>
      </w:r>
      <w:r w:rsidRPr="00E36BA9">
        <w:rPr>
          <w:rFonts w:ascii="Times New Roman" w:hAnsi="Times New Roman" w:cs="Times New Roman"/>
          <w:b/>
          <w:bCs/>
          <w:sz w:val="24"/>
          <w:szCs w:val="24"/>
        </w:rPr>
        <w:t xml:space="preserve"> Nov </w:t>
      </w:r>
      <w:r>
        <w:rPr>
          <w:rFonts w:ascii="Times New Roman" w:hAnsi="Times New Roman" w:cs="Times New Roman"/>
          <w:b/>
          <w:bCs/>
          <w:sz w:val="24"/>
          <w:szCs w:val="24"/>
        </w:rPr>
        <w:t>20</w:t>
      </w:r>
      <w:r w:rsidRPr="00E36BA9">
        <w:rPr>
          <w:rFonts w:ascii="Times New Roman" w:hAnsi="Times New Roman" w:cs="Times New Roman"/>
          <w:b/>
          <w:bCs/>
          <w:sz w:val="24"/>
          <w:szCs w:val="24"/>
        </w:rPr>
        <w:t xml:space="preserve">22 to Oct </w:t>
      </w:r>
      <w:r>
        <w:rPr>
          <w:rFonts w:ascii="Times New Roman" w:hAnsi="Times New Roman" w:cs="Times New Roman"/>
          <w:b/>
          <w:bCs/>
          <w:sz w:val="24"/>
          <w:szCs w:val="24"/>
        </w:rPr>
        <w:t>20</w:t>
      </w:r>
      <w:r w:rsidRPr="00E36BA9">
        <w:rPr>
          <w:rFonts w:ascii="Times New Roman" w:hAnsi="Times New Roman" w:cs="Times New Roman"/>
          <w:b/>
          <w:bCs/>
          <w:sz w:val="24"/>
          <w:szCs w:val="24"/>
        </w:rPr>
        <w:t>23</w:t>
      </w:r>
      <w:r w:rsidR="00000000">
        <w:rPr>
          <w:rFonts w:ascii="Times New Roman" w:hAnsi="Times New Roman" w:cs="Times New Roman"/>
          <w:sz w:val="24"/>
          <w:szCs w:val="24"/>
        </w:rPr>
        <w:pict w14:anchorId="720E6CED">
          <v:rect id="_x0000_i1026" style="width:0;height:1.5pt" o:hralign="center" o:hrstd="t" o:hr="t" fillcolor="#a0a0a0" stroked="f"/>
        </w:pict>
      </w:r>
    </w:p>
    <w:p w14:paraId="38CBED40" w14:textId="77777777" w:rsidR="00F909DD" w:rsidRPr="00F909DD" w:rsidRDefault="00F909DD" w:rsidP="00F909DD">
      <w:pPr>
        <w:jc w:val="both"/>
        <w:rPr>
          <w:rFonts w:ascii="Times New Roman" w:hAnsi="Times New Roman" w:cs="Times New Roman"/>
          <w:sz w:val="24"/>
          <w:szCs w:val="24"/>
        </w:rPr>
      </w:pPr>
      <w:r>
        <w:rPr>
          <w:rFonts w:ascii="Times New Roman" w:hAnsi="Times New Roman" w:cs="Times New Roman"/>
          <w:b/>
          <w:bCs/>
          <w:sz w:val="24"/>
          <w:szCs w:val="24"/>
        </w:rPr>
        <w:t xml:space="preserve">Prepared by: </w:t>
      </w:r>
      <w:r w:rsidRPr="00F909DD">
        <w:rPr>
          <w:rFonts w:ascii="Times New Roman" w:hAnsi="Times New Roman" w:cs="Times New Roman"/>
          <w:sz w:val="24"/>
          <w:szCs w:val="24"/>
        </w:rPr>
        <w:t>COST Action CA19130 - Fintech and Artificial Intelligence in Finance Network</w:t>
      </w:r>
    </w:p>
    <w:p w14:paraId="0259933C" w14:textId="77777777" w:rsidR="00F909DD" w:rsidRPr="00F909DD" w:rsidRDefault="00000000" w:rsidP="00F909DD">
      <w:pPr>
        <w:jc w:val="both"/>
        <w:rPr>
          <w:rFonts w:ascii="Times New Roman" w:hAnsi="Times New Roman" w:cs="Times New Roman"/>
          <w:sz w:val="24"/>
          <w:szCs w:val="24"/>
        </w:rPr>
      </w:pPr>
      <w:r>
        <w:rPr>
          <w:rFonts w:ascii="Times New Roman" w:hAnsi="Times New Roman" w:cs="Times New Roman"/>
          <w:sz w:val="24"/>
          <w:szCs w:val="24"/>
        </w:rPr>
        <w:pict w14:anchorId="2E75C1CD">
          <v:rect id="_x0000_i1027" style="width:0;height:1.5pt" o:hralign="center" o:hrstd="t" o:hr="t" fillcolor="#a0a0a0" stroked="f"/>
        </w:pict>
      </w:r>
    </w:p>
    <w:p w14:paraId="41721640" w14:textId="77777777" w:rsidR="00F909DD" w:rsidRPr="00F909DD" w:rsidRDefault="00F909DD" w:rsidP="00F909DD">
      <w:pPr>
        <w:jc w:val="both"/>
        <w:rPr>
          <w:rFonts w:ascii="Times New Roman" w:hAnsi="Times New Roman" w:cs="Times New Roman"/>
          <w:sz w:val="24"/>
          <w:szCs w:val="24"/>
        </w:rPr>
      </w:pPr>
      <w:r w:rsidRPr="00F909DD">
        <w:rPr>
          <w:rFonts w:ascii="Times New Roman" w:hAnsi="Times New Roman" w:cs="Times New Roman"/>
          <w:b/>
          <w:bCs/>
          <w:sz w:val="24"/>
          <w:szCs w:val="24"/>
        </w:rPr>
        <w:t>Executive Committee:</w:t>
      </w:r>
    </w:p>
    <w:p w14:paraId="50CC6A98" w14:textId="77777777" w:rsidR="00F909DD" w:rsidRPr="00F909DD" w:rsidRDefault="00F909DD" w:rsidP="009D4D37">
      <w:pPr>
        <w:numPr>
          <w:ilvl w:val="0"/>
          <w:numId w:val="1"/>
        </w:numPr>
        <w:jc w:val="both"/>
        <w:rPr>
          <w:rFonts w:ascii="Times New Roman" w:hAnsi="Times New Roman" w:cs="Times New Roman"/>
          <w:sz w:val="24"/>
          <w:szCs w:val="24"/>
        </w:rPr>
      </w:pPr>
      <w:r w:rsidRPr="00F909DD">
        <w:rPr>
          <w:rFonts w:ascii="Times New Roman" w:hAnsi="Times New Roman" w:cs="Times New Roman"/>
          <w:b/>
          <w:bCs/>
          <w:sz w:val="24"/>
          <w:szCs w:val="24"/>
        </w:rPr>
        <w:t>Action Chair:</w:t>
      </w:r>
      <w:r w:rsidRPr="00F909DD">
        <w:rPr>
          <w:rFonts w:ascii="Times New Roman" w:hAnsi="Times New Roman" w:cs="Times New Roman"/>
          <w:sz w:val="24"/>
          <w:szCs w:val="24"/>
        </w:rPr>
        <w:t xml:space="preserve"> Prof. Jörg Osterrieder</w:t>
      </w:r>
    </w:p>
    <w:p w14:paraId="4D2235CA" w14:textId="77777777" w:rsidR="00F909DD" w:rsidRPr="00F909DD" w:rsidRDefault="00F909DD" w:rsidP="009D4D37">
      <w:pPr>
        <w:numPr>
          <w:ilvl w:val="0"/>
          <w:numId w:val="1"/>
        </w:numPr>
        <w:jc w:val="both"/>
        <w:rPr>
          <w:rFonts w:ascii="Times New Roman" w:hAnsi="Times New Roman" w:cs="Times New Roman"/>
          <w:sz w:val="24"/>
          <w:szCs w:val="24"/>
        </w:rPr>
      </w:pPr>
      <w:r w:rsidRPr="00F909DD">
        <w:rPr>
          <w:rFonts w:ascii="Times New Roman" w:hAnsi="Times New Roman" w:cs="Times New Roman"/>
          <w:b/>
          <w:bCs/>
          <w:sz w:val="24"/>
          <w:szCs w:val="24"/>
        </w:rPr>
        <w:t>Vice-Chair &amp; Scientific Advisory Board Coordinator:</w:t>
      </w:r>
      <w:r w:rsidRPr="00F909DD">
        <w:rPr>
          <w:rFonts w:ascii="Times New Roman" w:hAnsi="Times New Roman" w:cs="Times New Roman"/>
          <w:sz w:val="24"/>
          <w:szCs w:val="24"/>
        </w:rPr>
        <w:t xml:space="preserve"> Prof. Valerio Poti</w:t>
      </w:r>
    </w:p>
    <w:p w14:paraId="347667CA" w14:textId="77777777" w:rsidR="00F909DD" w:rsidRPr="00F909DD" w:rsidRDefault="00F909DD" w:rsidP="009D4D37">
      <w:pPr>
        <w:numPr>
          <w:ilvl w:val="0"/>
          <w:numId w:val="1"/>
        </w:numPr>
        <w:jc w:val="both"/>
        <w:rPr>
          <w:rFonts w:ascii="Times New Roman" w:hAnsi="Times New Roman" w:cs="Times New Roman"/>
          <w:sz w:val="24"/>
          <w:szCs w:val="24"/>
        </w:rPr>
      </w:pPr>
      <w:r w:rsidRPr="00F909DD">
        <w:rPr>
          <w:rFonts w:ascii="Times New Roman" w:hAnsi="Times New Roman" w:cs="Times New Roman"/>
          <w:b/>
          <w:bCs/>
          <w:sz w:val="24"/>
          <w:szCs w:val="24"/>
        </w:rPr>
        <w:t>Grant Holder Scientific Representative:</w:t>
      </w:r>
      <w:r w:rsidRPr="00F909DD">
        <w:rPr>
          <w:rFonts w:ascii="Times New Roman" w:hAnsi="Times New Roman" w:cs="Times New Roman"/>
          <w:sz w:val="24"/>
          <w:szCs w:val="24"/>
        </w:rPr>
        <w:t xml:space="preserve"> Prof. Branka Hadji Misheva</w:t>
      </w:r>
    </w:p>
    <w:p w14:paraId="3D788F51" w14:textId="77777777" w:rsidR="00F909DD" w:rsidRPr="00F909DD" w:rsidRDefault="00F909DD" w:rsidP="009D4D37">
      <w:pPr>
        <w:numPr>
          <w:ilvl w:val="0"/>
          <w:numId w:val="1"/>
        </w:numPr>
        <w:jc w:val="both"/>
        <w:rPr>
          <w:rFonts w:ascii="Times New Roman" w:hAnsi="Times New Roman" w:cs="Times New Roman"/>
          <w:sz w:val="24"/>
          <w:szCs w:val="24"/>
        </w:rPr>
      </w:pPr>
      <w:r w:rsidRPr="00F909DD">
        <w:rPr>
          <w:rFonts w:ascii="Times New Roman" w:hAnsi="Times New Roman" w:cs="Times New Roman"/>
          <w:b/>
          <w:bCs/>
          <w:sz w:val="24"/>
          <w:szCs w:val="24"/>
        </w:rPr>
        <w:t>Science Communication Coordinator &amp; WG1 Co-Leader:</w:t>
      </w:r>
      <w:r w:rsidRPr="00F909DD">
        <w:rPr>
          <w:rFonts w:ascii="Times New Roman" w:hAnsi="Times New Roman" w:cs="Times New Roman"/>
          <w:sz w:val="24"/>
          <w:szCs w:val="24"/>
        </w:rPr>
        <w:t xml:space="preserve"> Dr. Ioana Coita</w:t>
      </w:r>
    </w:p>
    <w:p w14:paraId="551EF595" w14:textId="77777777" w:rsidR="00F909DD" w:rsidRPr="00F909DD" w:rsidRDefault="00F909DD" w:rsidP="009D4D37">
      <w:pPr>
        <w:numPr>
          <w:ilvl w:val="0"/>
          <w:numId w:val="1"/>
        </w:numPr>
        <w:jc w:val="both"/>
        <w:rPr>
          <w:rFonts w:ascii="Times New Roman" w:hAnsi="Times New Roman" w:cs="Times New Roman"/>
          <w:sz w:val="24"/>
          <w:szCs w:val="24"/>
        </w:rPr>
      </w:pPr>
      <w:r w:rsidRPr="00F909DD">
        <w:rPr>
          <w:rFonts w:ascii="Times New Roman" w:hAnsi="Times New Roman" w:cs="Times New Roman"/>
          <w:b/>
          <w:bCs/>
          <w:sz w:val="24"/>
          <w:szCs w:val="24"/>
        </w:rPr>
        <w:t>Grant Awarding Coordinator &amp; Virtual Networking Support Manager:</w:t>
      </w:r>
      <w:r w:rsidRPr="00F909DD">
        <w:rPr>
          <w:rFonts w:ascii="Times New Roman" w:hAnsi="Times New Roman" w:cs="Times New Roman"/>
          <w:sz w:val="24"/>
          <w:szCs w:val="24"/>
        </w:rPr>
        <w:t xml:space="preserve"> Prof. Codruta MARE</w:t>
      </w:r>
    </w:p>
    <w:p w14:paraId="1FC04932" w14:textId="77777777" w:rsidR="00F909DD" w:rsidRPr="00F909DD" w:rsidRDefault="00F909DD" w:rsidP="009D4D37">
      <w:pPr>
        <w:numPr>
          <w:ilvl w:val="0"/>
          <w:numId w:val="1"/>
        </w:numPr>
        <w:jc w:val="both"/>
        <w:rPr>
          <w:rFonts w:ascii="Times New Roman" w:hAnsi="Times New Roman" w:cs="Times New Roman"/>
          <w:sz w:val="24"/>
          <w:szCs w:val="24"/>
        </w:rPr>
      </w:pPr>
      <w:r w:rsidRPr="00F909DD">
        <w:rPr>
          <w:rFonts w:ascii="Times New Roman" w:hAnsi="Times New Roman" w:cs="Times New Roman"/>
          <w:b/>
          <w:bCs/>
          <w:sz w:val="24"/>
          <w:szCs w:val="24"/>
        </w:rPr>
        <w:t>WG1 Leader:</w:t>
      </w:r>
      <w:r w:rsidRPr="00F909DD">
        <w:rPr>
          <w:rFonts w:ascii="Times New Roman" w:hAnsi="Times New Roman" w:cs="Times New Roman"/>
          <w:sz w:val="24"/>
          <w:szCs w:val="24"/>
        </w:rPr>
        <w:t xml:space="preserve"> Prof. Wolfgang </w:t>
      </w:r>
      <w:proofErr w:type="spellStart"/>
      <w:r w:rsidRPr="00F909DD">
        <w:rPr>
          <w:rFonts w:ascii="Times New Roman" w:hAnsi="Times New Roman" w:cs="Times New Roman"/>
          <w:sz w:val="24"/>
          <w:szCs w:val="24"/>
        </w:rPr>
        <w:t>Härdle</w:t>
      </w:r>
      <w:proofErr w:type="spellEnd"/>
    </w:p>
    <w:p w14:paraId="2EC4C481" w14:textId="77777777" w:rsidR="00F909DD" w:rsidRPr="00F909DD" w:rsidRDefault="00F909DD" w:rsidP="009D4D37">
      <w:pPr>
        <w:numPr>
          <w:ilvl w:val="0"/>
          <w:numId w:val="1"/>
        </w:numPr>
        <w:jc w:val="both"/>
        <w:rPr>
          <w:rFonts w:ascii="Times New Roman" w:hAnsi="Times New Roman" w:cs="Times New Roman"/>
          <w:sz w:val="24"/>
          <w:szCs w:val="24"/>
        </w:rPr>
      </w:pPr>
      <w:r w:rsidRPr="00F909DD">
        <w:rPr>
          <w:rFonts w:ascii="Times New Roman" w:hAnsi="Times New Roman" w:cs="Times New Roman"/>
          <w:b/>
          <w:bCs/>
          <w:sz w:val="24"/>
          <w:szCs w:val="24"/>
        </w:rPr>
        <w:t>WG2 Leader:</w:t>
      </w:r>
      <w:r w:rsidRPr="00F909DD">
        <w:rPr>
          <w:rFonts w:ascii="Times New Roman" w:hAnsi="Times New Roman" w:cs="Times New Roman"/>
          <w:sz w:val="24"/>
          <w:szCs w:val="24"/>
        </w:rPr>
        <w:t xml:space="preserve"> Prof. Petre </w:t>
      </w:r>
      <w:proofErr w:type="spellStart"/>
      <w:r w:rsidRPr="00F909DD">
        <w:rPr>
          <w:rFonts w:ascii="Times New Roman" w:hAnsi="Times New Roman" w:cs="Times New Roman"/>
          <w:sz w:val="24"/>
          <w:szCs w:val="24"/>
        </w:rPr>
        <w:t>Lameski</w:t>
      </w:r>
      <w:proofErr w:type="spellEnd"/>
    </w:p>
    <w:p w14:paraId="4DB34B53" w14:textId="77777777" w:rsidR="00F909DD" w:rsidRPr="00F909DD" w:rsidRDefault="00F909DD" w:rsidP="009D4D37">
      <w:pPr>
        <w:numPr>
          <w:ilvl w:val="0"/>
          <w:numId w:val="1"/>
        </w:numPr>
        <w:jc w:val="both"/>
        <w:rPr>
          <w:rFonts w:ascii="Times New Roman" w:hAnsi="Times New Roman" w:cs="Times New Roman"/>
          <w:sz w:val="24"/>
          <w:szCs w:val="24"/>
        </w:rPr>
      </w:pPr>
      <w:r w:rsidRPr="00F909DD">
        <w:rPr>
          <w:rFonts w:ascii="Times New Roman" w:hAnsi="Times New Roman" w:cs="Times New Roman"/>
          <w:b/>
          <w:bCs/>
          <w:sz w:val="24"/>
          <w:szCs w:val="24"/>
        </w:rPr>
        <w:t>WG2 Co-Leader:</w:t>
      </w:r>
      <w:r w:rsidRPr="00F909DD">
        <w:rPr>
          <w:rFonts w:ascii="Times New Roman" w:hAnsi="Times New Roman" w:cs="Times New Roman"/>
          <w:sz w:val="24"/>
          <w:szCs w:val="24"/>
        </w:rPr>
        <w:t xml:space="preserve"> Dr. Kristina </w:t>
      </w:r>
      <w:proofErr w:type="spellStart"/>
      <w:r w:rsidRPr="00F909DD">
        <w:rPr>
          <w:rFonts w:ascii="Times New Roman" w:hAnsi="Times New Roman" w:cs="Times New Roman"/>
          <w:sz w:val="24"/>
          <w:szCs w:val="24"/>
        </w:rPr>
        <w:t>Šutienė</w:t>
      </w:r>
      <w:proofErr w:type="spellEnd"/>
    </w:p>
    <w:p w14:paraId="725D8D69" w14:textId="77777777" w:rsidR="00F909DD" w:rsidRPr="00F909DD" w:rsidRDefault="00F909DD" w:rsidP="009D4D37">
      <w:pPr>
        <w:numPr>
          <w:ilvl w:val="0"/>
          <w:numId w:val="1"/>
        </w:numPr>
        <w:jc w:val="both"/>
        <w:rPr>
          <w:rFonts w:ascii="Times New Roman" w:hAnsi="Times New Roman" w:cs="Times New Roman"/>
          <w:sz w:val="24"/>
          <w:szCs w:val="24"/>
        </w:rPr>
      </w:pPr>
      <w:r w:rsidRPr="00F909DD">
        <w:rPr>
          <w:rFonts w:ascii="Times New Roman" w:hAnsi="Times New Roman" w:cs="Times New Roman"/>
          <w:b/>
          <w:bCs/>
          <w:sz w:val="24"/>
          <w:szCs w:val="24"/>
        </w:rPr>
        <w:t>WG3 Leader:</w:t>
      </w:r>
      <w:r w:rsidRPr="00F909DD">
        <w:rPr>
          <w:rFonts w:ascii="Times New Roman" w:hAnsi="Times New Roman" w:cs="Times New Roman"/>
          <w:sz w:val="24"/>
          <w:szCs w:val="24"/>
        </w:rPr>
        <w:t xml:space="preserve"> Prof. Peter </w:t>
      </w:r>
      <w:proofErr w:type="spellStart"/>
      <w:r w:rsidRPr="00F909DD">
        <w:rPr>
          <w:rFonts w:ascii="Times New Roman" w:hAnsi="Times New Roman" w:cs="Times New Roman"/>
          <w:sz w:val="24"/>
          <w:szCs w:val="24"/>
        </w:rPr>
        <w:t>Schwendner</w:t>
      </w:r>
      <w:proofErr w:type="spellEnd"/>
    </w:p>
    <w:p w14:paraId="0A06E252" w14:textId="77777777" w:rsidR="00F909DD" w:rsidRPr="00F909DD" w:rsidRDefault="00000000" w:rsidP="00F909DD">
      <w:pPr>
        <w:jc w:val="both"/>
        <w:rPr>
          <w:rFonts w:ascii="Times New Roman" w:hAnsi="Times New Roman" w:cs="Times New Roman"/>
          <w:sz w:val="24"/>
          <w:szCs w:val="24"/>
        </w:rPr>
      </w:pPr>
      <w:r>
        <w:rPr>
          <w:rFonts w:ascii="Times New Roman" w:hAnsi="Times New Roman" w:cs="Times New Roman"/>
          <w:sz w:val="24"/>
          <w:szCs w:val="24"/>
        </w:rPr>
        <w:pict w14:anchorId="76989921">
          <v:rect id="_x0000_i1028" style="width:0;height:1.5pt" o:hralign="center" o:hrstd="t" o:hr="t" fillcolor="#a0a0a0" stroked="f"/>
        </w:pict>
      </w:r>
    </w:p>
    <w:p w14:paraId="452509ED" w14:textId="77777777" w:rsidR="00F909DD" w:rsidRPr="00F909DD" w:rsidRDefault="00F909DD" w:rsidP="00F909DD">
      <w:pPr>
        <w:jc w:val="both"/>
        <w:rPr>
          <w:rFonts w:ascii="Times New Roman" w:hAnsi="Times New Roman" w:cs="Times New Roman"/>
          <w:sz w:val="24"/>
          <w:szCs w:val="24"/>
        </w:rPr>
      </w:pPr>
      <w:r w:rsidRPr="00F909DD">
        <w:rPr>
          <w:rFonts w:ascii="Times New Roman" w:hAnsi="Times New Roman" w:cs="Times New Roman"/>
          <w:b/>
          <w:bCs/>
          <w:sz w:val="24"/>
          <w:szCs w:val="24"/>
        </w:rPr>
        <w:t>Leadership Roles:</w:t>
      </w:r>
    </w:p>
    <w:p w14:paraId="38FAB465" w14:textId="77777777" w:rsidR="00F909DD" w:rsidRPr="00F909DD" w:rsidRDefault="00F909DD" w:rsidP="009D4D37">
      <w:pPr>
        <w:numPr>
          <w:ilvl w:val="0"/>
          <w:numId w:val="2"/>
        </w:numPr>
        <w:jc w:val="both"/>
        <w:rPr>
          <w:rFonts w:ascii="Times New Roman" w:hAnsi="Times New Roman" w:cs="Times New Roman"/>
          <w:sz w:val="24"/>
          <w:szCs w:val="24"/>
        </w:rPr>
      </w:pPr>
      <w:r w:rsidRPr="00F909DD">
        <w:rPr>
          <w:rFonts w:ascii="Times New Roman" w:hAnsi="Times New Roman" w:cs="Times New Roman"/>
          <w:b/>
          <w:bCs/>
          <w:sz w:val="24"/>
          <w:szCs w:val="24"/>
        </w:rPr>
        <w:t>Diversity Team Co-Leaders:</w:t>
      </w:r>
      <w:r w:rsidRPr="00F909DD">
        <w:rPr>
          <w:rFonts w:ascii="Times New Roman" w:hAnsi="Times New Roman" w:cs="Times New Roman"/>
          <w:sz w:val="24"/>
          <w:szCs w:val="24"/>
        </w:rPr>
        <w:t xml:space="preserve"> Ms. Claudia Tarantola, Dr. Alessia </w:t>
      </w:r>
      <w:proofErr w:type="spellStart"/>
      <w:r w:rsidRPr="00F909DD">
        <w:rPr>
          <w:rFonts w:ascii="Times New Roman" w:hAnsi="Times New Roman" w:cs="Times New Roman"/>
          <w:sz w:val="24"/>
          <w:szCs w:val="24"/>
        </w:rPr>
        <w:t>Paccagnini</w:t>
      </w:r>
      <w:proofErr w:type="spellEnd"/>
      <w:r w:rsidRPr="00F909DD">
        <w:rPr>
          <w:rFonts w:ascii="Times New Roman" w:hAnsi="Times New Roman" w:cs="Times New Roman"/>
          <w:sz w:val="24"/>
          <w:szCs w:val="24"/>
        </w:rPr>
        <w:t>, Dr. Galena Pisoni</w:t>
      </w:r>
    </w:p>
    <w:p w14:paraId="04E764BB" w14:textId="77777777" w:rsidR="00F909DD" w:rsidRPr="00F909DD" w:rsidRDefault="00F909DD" w:rsidP="009D4D37">
      <w:pPr>
        <w:numPr>
          <w:ilvl w:val="0"/>
          <w:numId w:val="2"/>
        </w:numPr>
        <w:jc w:val="both"/>
        <w:rPr>
          <w:rFonts w:ascii="Times New Roman" w:hAnsi="Times New Roman" w:cs="Times New Roman"/>
          <w:sz w:val="24"/>
          <w:szCs w:val="24"/>
        </w:rPr>
      </w:pPr>
      <w:r w:rsidRPr="00F909DD">
        <w:rPr>
          <w:rFonts w:ascii="Times New Roman" w:hAnsi="Times New Roman" w:cs="Times New Roman"/>
          <w:b/>
          <w:bCs/>
          <w:sz w:val="24"/>
          <w:szCs w:val="24"/>
        </w:rPr>
        <w:t>Coordinator of Network Expansion:</w:t>
      </w:r>
      <w:r w:rsidRPr="00F909DD">
        <w:rPr>
          <w:rFonts w:ascii="Times New Roman" w:hAnsi="Times New Roman" w:cs="Times New Roman"/>
          <w:sz w:val="24"/>
          <w:szCs w:val="24"/>
        </w:rPr>
        <w:t xml:space="preserve"> Dr. Audrius </w:t>
      </w:r>
      <w:proofErr w:type="spellStart"/>
      <w:r w:rsidRPr="00F909DD">
        <w:rPr>
          <w:rFonts w:ascii="Times New Roman" w:hAnsi="Times New Roman" w:cs="Times New Roman"/>
          <w:sz w:val="24"/>
          <w:szCs w:val="24"/>
        </w:rPr>
        <w:t>Kabašinskas</w:t>
      </w:r>
      <w:proofErr w:type="spellEnd"/>
    </w:p>
    <w:p w14:paraId="3C100BD6" w14:textId="77777777" w:rsidR="00F909DD" w:rsidRPr="00F909DD" w:rsidRDefault="00F909DD" w:rsidP="009D4D37">
      <w:pPr>
        <w:numPr>
          <w:ilvl w:val="0"/>
          <w:numId w:val="2"/>
        </w:numPr>
        <w:jc w:val="both"/>
        <w:rPr>
          <w:rFonts w:ascii="Times New Roman" w:hAnsi="Times New Roman" w:cs="Times New Roman"/>
          <w:sz w:val="24"/>
          <w:szCs w:val="24"/>
        </w:rPr>
      </w:pPr>
      <w:r w:rsidRPr="00F909DD">
        <w:rPr>
          <w:rFonts w:ascii="Times New Roman" w:hAnsi="Times New Roman" w:cs="Times New Roman"/>
          <w:b/>
          <w:bCs/>
          <w:sz w:val="24"/>
          <w:szCs w:val="24"/>
        </w:rPr>
        <w:t>Technical Coordinator:</w:t>
      </w:r>
      <w:r w:rsidRPr="00F909DD">
        <w:rPr>
          <w:rFonts w:ascii="Times New Roman" w:hAnsi="Times New Roman" w:cs="Times New Roman"/>
          <w:sz w:val="24"/>
          <w:szCs w:val="24"/>
        </w:rPr>
        <w:t xml:space="preserve"> Prof. Ronald Hochreiter</w:t>
      </w:r>
    </w:p>
    <w:p w14:paraId="4EA2E988" w14:textId="77777777" w:rsidR="00F909DD" w:rsidRPr="00F909DD" w:rsidRDefault="00F909DD" w:rsidP="009D4D37">
      <w:pPr>
        <w:numPr>
          <w:ilvl w:val="0"/>
          <w:numId w:val="2"/>
        </w:numPr>
        <w:jc w:val="both"/>
        <w:rPr>
          <w:rFonts w:ascii="Times New Roman" w:hAnsi="Times New Roman" w:cs="Times New Roman"/>
          <w:sz w:val="24"/>
          <w:szCs w:val="24"/>
        </w:rPr>
      </w:pPr>
      <w:r w:rsidRPr="00F909DD">
        <w:rPr>
          <w:rFonts w:ascii="Times New Roman" w:hAnsi="Times New Roman" w:cs="Times New Roman"/>
          <w:b/>
          <w:bCs/>
          <w:sz w:val="24"/>
          <w:szCs w:val="24"/>
        </w:rPr>
        <w:t>Diversity Team Leader:</w:t>
      </w:r>
      <w:r w:rsidRPr="00F909DD">
        <w:rPr>
          <w:rFonts w:ascii="Times New Roman" w:hAnsi="Times New Roman" w:cs="Times New Roman"/>
          <w:sz w:val="24"/>
          <w:szCs w:val="24"/>
        </w:rPr>
        <w:t xml:space="preserve"> Prof. Alessandra Tanda</w:t>
      </w:r>
    </w:p>
    <w:p w14:paraId="5AE5E99C" w14:textId="77777777" w:rsidR="00F909DD" w:rsidRPr="00F909DD" w:rsidRDefault="00F909DD" w:rsidP="009D4D37">
      <w:pPr>
        <w:numPr>
          <w:ilvl w:val="0"/>
          <w:numId w:val="2"/>
        </w:numPr>
        <w:jc w:val="both"/>
        <w:rPr>
          <w:rFonts w:ascii="Times New Roman" w:hAnsi="Times New Roman" w:cs="Times New Roman"/>
          <w:sz w:val="24"/>
          <w:szCs w:val="24"/>
        </w:rPr>
      </w:pPr>
      <w:r w:rsidRPr="00F909DD">
        <w:rPr>
          <w:rFonts w:ascii="Times New Roman" w:hAnsi="Times New Roman" w:cs="Times New Roman"/>
          <w:b/>
          <w:bCs/>
          <w:sz w:val="24"/>
          <w:szCs w:val="24"/>
        </w:rPr>
        <w:t>Science Communication Co-Manager:</w:t>
      </w:r>
      <w:r w:rsidRPr="00F909DD">
        <w:rPr>
          <w:rFonts w:ascii="Times New Roman" w:hAnsi="Times New Roman" w:cs="Times New Roman"/>
          <w:sz w:val="24"/>
          <w:szCs w:val="24"/>
        </w:rPr>
        <w:t xml:space="preserve"> Prof. Daniele </w:t>
      </w:r>
      <w:proofErr w:type="spellStart"/>
      <w:r w:rsidRPr="00F909DD">
        <w:rPr>
          <w:rFonts w:ascii="Times New Roman" w:hAnsi="Times New Roman" w:cs="Times New Roman"/>
          <w:sz w:val="24"/>
          <w:szCs w:val="24"/>
        </w:rPr>
        <w:t>Marazzina</w:t>
      </w:r>
      <w:proofErr w:type="spellEnd"/>
    </w:p>
    <w:p w14:paraId="413FF265" w14:textId="77777777" w:rsidR="00F909DD" w:rsidRPr="00F909DD" w:rsidRDefault="00F909DD" w:rsidP="009D4D37">
      <w:pPr>
        <w:numPr>
          <w:ilvl w:val="0"/>
          <w:numId w:val="2"/>
        </w:numPr>
        <w:jc w:val="both"/>
        <w:rPr>
          <w:rFonts w:ascii="Times New Roman" w:hAnsi="Times New Roman" w:cs="Times New Roman"/>
          <w:sz w:val="24"/>
          <w:szCs w:val="24"/>
        </w:rPr>
      </w:pPr>
      <w:r w:rsidRPr="00F909DD">
        <w:rPr>
          <w:rFonts w:ascii="Times New Roman" w:hAnsi="Times New Roman" w:cs="Times New Roman"/>
          <w:b/>
          <w:bCs/>
          <w:sz w:val="24"/>
          <w:szCs w:val="24"/>
        </w:rPr>
        <w:t>Chief Privacy Officer:</w:t>
      </w:r>
      <w:r w:rsidRPr="00F909DD">
        <w:rPr>
          <w:rFonts w:ascii="Times New Roman" w:hAnsi="Times New Roman" w:cs="Times New Roman"/>
          <w:sz w:val="24"/>
          <w:szCs w:val="24"/>
        </w:rPr>
        <w:t xml:space="preserve"> Dr. Maria Moloney</w:t>
      </w:r>
    </w:p>
    <w:p w14:paraId="4D42D5AC" w14:textId="77777777" w:rsidR="00F909DD" w:rsidRPr="00F909DD" w:rsidRDefault="00F909DD" w:rsidP="009D4D37">
      <w:pPr>
        <w:numPr>
          <w:ilvl w:val="0"/>
          <w:numId w:val="2"/>
        </w:numPr>
        <w:jc w:val="both"/>
        <w:rPr>
          <w:rFonts w:ascii="Times New Roman" w:hAnsi="Times New Roman" w:cs="Times New Roman"/>
          <w:sz w:val="24"/>
          <w:szCs w:val="24"/>
        </w:rPr>
      </w:pPr>
      <w:r w:rsidRPr="00F909DD">
        <w:rPr>
          <w:rFonts w:ascii="Times New Roman" w:hAnsi="Times New Roman" w:cs="Times New Roman"/>
          <w:b/>
          <w:bCs/>
          <w:sz w:val="24"/>
          <w:szCs w:val="24"/>
        </w:rPr>
        <w:t>STSM Coordinators:</w:t>
      </w:r>
      <w:r w:rsidRPr="00F909DD">
        <w:rPr>
          <w:rFonts w:ascii="Times New Roman" w:hAnsi="Times New Roman" w:cs="Times New Roman"/>
          <w:sz w:val="24"/>
          <w:szCs w:val="24"/>
        </w:rPr>
        <w:t xml:space="preserve"> Dr. Catarina Silva, Dr. Roman </w:t>
      </w:r>
      <w:proofErr w:type="spellStart"/>
      <w:r w:rsidRPr="00F909DD">
        <w:rPr>
          <w:rFonts w:ascii="Times New Roman" w:hAnsi="Times New Roman" w:cs="Times New Roman"/>
          <w:sz w:val="24"/>
          <w:szCs w:val="24"/>
        </w:rPr>
        <w:t>Matkovskyy</w:t>
      </w:r>
      <w:proofErr w:type="spellEnd"/>
    </w:p>
    <w:p w14:paraId="180BFE2E" w14:textId="77777777" w:rsidR="00F909DD" w:rsidRPr="00F909DD" w:rsidRDefault="00F909DD" w:rsidP="009D4D37">
      <w:pPr>
        <w:numPr>
          <w:ilvl w:val="0"/>
          <w:numId w:val="2"/>
        </w:numPr>
        <w:jc w:val="both"/>
        <w:rPr>
          <w:rFonts w:ascii="Times New Roman" w:hAnsi="Times New Roman" w:cs="Times New Roman"/>
          <w:sz w:val="24"/>
          <w:szCs w:val="24"/>
        </w:rPr>
      </w:pPr>
      <w:r w:rsidRPr="00F909DD">
        <w:rPr>
          <w:rFonts w:ascii="Times New Roman" w:hAnsi="Times New Roman" w:cs="Times New Roman"/>
          <w:b/>
          <w:bCs/>
          <w:sz w:val="24"/>
          <w:szCs w:val="24"/>
        </w:rPr>
        <w:lastRenderedPageBreak/>
        <w:t>Virtual Grant Co-Coordinator:</w:t>
      </w:r>
      <w:r w:rsidRPr="00F909DD">
        <w:rPr>
          <w:rFonts w:ascii="Times New Roman" w:hAnsi="Times New Roman" w:cs="Times New Roman"/>
          <w:sz w:val="24"/>
          <w:szCs w:val="24"/>
        </w:rPr>
        <w:t xml:space="preserve"> Ms. Karolina Bolesta</w:t>
      </w:r>
    </w:p>
    <w:p w14:paraId="1F22E442" w14:textId="77777777" w:rsidR="00F909DD" w:rsidRPr="00F909DD" w:rsidRDefault="00F909DD" w:rsidP="009D4D37">
      <w:pPr>
        <w:numPr>
          <w:ilvl w:val="0"/>
          <w:numId w:val="2"/>
        </w:numPr>
        <w:jc w:val="both"/>
        <w:rPr>
          <w:rFonts w:ascii="Times New Roman" w:hAnsi="Times New Roman" w:cs="Times New Roman"/>
          <w:sz w:val="24"/>
          <w:szCs w:val="24"/>
        </w:rPr>
      </w:pPr>
      <w:r w:rsidRPr="00F909DD">
        <w:rPr>
          <w:rFonts w:ascii="Times New Roman" w:hAnsi="Times New Roman" w:cs="Times New Roman"/>
          <w:b/>
          <w:bCs/>
          <w:sz w:val="24"/>
          <w:szCs w:val="24"/>
        </w:rPr>
        <w:t>WG1 Co-Leader:</w:t>
      </w:r>
      <w:r w:rsidRPr="00F909DD">
        <w:rPr>
          <w:rFonts w:ascii="Times New Roman" w:hAnsi="Times New Roman" w:cs="Times New Roman"/>
          <w:sz w:val="24"/>
          <w:szCs w:val="24"/>
        </w:rPr>
        <w:t xml:space="preserve"> Prof. Daniel Traian Pele</w:t>
      </w:r>
    </w:p>
    <w:p w14:paraId="189B7EA3" w14:textId="77777777" w:rsidR="00F909DD" w:rsidRPr="00F909DD" w:rsidRDefault="00F909DD" w:rsidP="009D4D37">
      <w:pPr>
        <w:numPr>
          <w:ilvl w:val="0"/>
          <w:numId w:val="2"/>
        </w:numPr>
        <w:jc w:val="both"/>
        <w:rPr>
          <w:rFonts w:ascii="Times New Roman" w:hAnsi="Times New Roman" w:cs="Times New Roman"/>
          <w:sz w:val="24"/>
          <w:szCs w:val="24"/>
        </w:rPr>
      </w:pPr>
      <w:r w:rsidRPr="00F909DD">
        <w:rPr>
          <w:rFonts w:ascii="Times New Roman" w:hAnsi="Times New Roman" w:cs="Times New Roman"/>
          <w:b/>
          <w:bCs/>
          <w:sz w:val="24"/>
          <w:szCs w:val="24"/>
        </w:rPr>
        <w:t>ITC CG Coordinator:</w:t>
      </w:r>
      <w:r w:rsidRPr="00F909DD">
        <w:rPr>
          <w:rFonts w:ascii="Times New Roman" w:hAnsi="Times New Roman" w:cs="Times New Roman"/>
          <w:sz w:val="24"/>
          <w:szCs w:val="24"/>
        </w:rPr>
        <w:t xml:space="preserve"> Prof. </w:t>
      </w:r>
      <w:proofErr w:type="spellStart"/>
      <w:r w:rsidRPr="00F909DD">
        <w:rPr>
          <w:rFonts w:ascii="Times New Roman" w:hAnsi="Times New Roman" w:cs="Times New Roman"/>
          <w:sz w:val="24"/>
          <w:szCs w:val="24"/>
        </w:rPr>
        <w:t>Enis</w:t>
      </w:r>
      <w:proofErr w:type="spellEnd"/>
      <w:r w:rsidRPr="00F909DD">
        <w:rPr>
          <w:rFonts w:ascii="Times New Roman" w:hAnsi="Times New Roman" w:cs="Times New Roman"/>
          <w:sz w:val="24"/>
          <w:szCs w:val="24"/>
        </w:rPr>
        <w:t xml:space="preserve"> </w:t>
      </w:r>
      <w:proofErr w:type="spellStart"/>
      <w:r w:rsidRPr="00F909DD">
        <w:rPr>
          <w:rFonts w:ascii="Times New Roman" w:hAnsi="Times New Roman" w:cs="Times New Roman"/>
          <w:sz w:val="24"/>
          <w:szCs w:val="24"/>
        </w:rPr>
        <w:t>Kayis</w:t>
      </w:r>
      <w:proofErr w:type="spellEnd"/>
    </w:p>
    <w:p w14:paraId="2055F1B5" w14:textId="77777777" w:rsidR="00F909DD" w:rsidRPr="00F909DD" w:rsidRDefault="00000000" w:rsidP="00F909DD">
      <w:pPr>
        <w:jc w:val="both"/>
        <w:rPr>
          <w:rFonts w:ascii="Times New Roman" w:hAnsi="Times New Roman" w:cs="Times New Roman"/>
          <w:sz w:val="24"/>
          <w:szCs w:val="24"/>
        </w:rPr>
      </w:pPr>
      <w:r>
        <w:rPr>
          <w:rFonts w:ascii="Times New Roman" w:hAnsi="Times New Roman" w:cs="Times New Roman"/>
          <w:sz w:val="24"/>
          <w:szCs w:val="24"/>
        </w:rPr>
        <w:pict w14:anchorId="57378804">
          <v:rect id="_x0000_i1029" style="width:0;height:1.5pt" o:hralign="center" o:hrstd="t" o:hr="t" fillcolor="#a0a0a0" stroked="f"/>
        </w:pict>
      </w:r>
    </w:p>
    <w:p w14:paraId="1C2672F7" w14:textId="77777777" w:rsidR="00F909DD" w:rsidRDefault="00F909DD" w:rsidP="00F909DD">
      <w:pPr>
        <w:jc w:val="both"/>
        <w:rPr>
          <w:rFonts w:ascii="Times New Roman" w:hAnsi="Times New Roman" w:cs="Times New Roman"/>
          <w:b/>
          <w:bCs/>
          <w:sz w:val="24"/>
          <w:szCs w:val="24"/>
        </w:rPr>
      </w:pPr>
      <w:r w:rsidRPr="00F909DD">
        <w:rPr>
          <w:rFonts w:ascii="Times New Roman" w:hAnsi="Times New Roman" w:cs="Times New Roman"/>
          <w:b/>
          <w:bCs/>
          <w:sz w:val="24"/>
          <w:szCs w:val="24"/>
        </w:rPr>
        <w:t>Report Overview:</w:t>
      </w:r>
    </w:p>
    <w:p w14:paraId="0A1528C7" w14:textId="77777777" w:rsidR="00E36BA9" w:rsidRPr="000F0BC1" w:rsidRDefault="00F909DD" w:rsidP="00E36BA9">
      <w:pPr>
        <w:jc w:val="both"/>
        <w:rPr>
          <w:rFonts w:ascii="Times New Roman" w:hAnsi="Times New Roman" w:cs="Times New Roman"/>
          <w:sz w:val="24"/>
          <w:szCs w:val="24"/>
        </w:rPr>
      </w:pPr>
      <w:r w:rsidRPr="00F909DD">
        <w:rPr>
          <w:rFonts w:ascii="Times New Roman" w:hAnsi="Times New Roman" w:cs="Times New Roman"/>
          <w:b/>
          <w:bCs/>
          <w:sz w:val="24"/>
          <w:szCs w:val="24"/>
        </w:rPr>
        <w:br/>
      </w:r>
      <w:r w:rsidR="00E36BA9" w:rsidRPr="000F0BC1">
        <w:rPr>
          <w:rFonts w:ascii="Times New Roman" w:hAnsi="Times New Roman" w:cs="Times New Roman"/>
          <w:sz w:val="24"/>
          <w:szCs w:val="24"/>
        </w:rPr>
        <w:t>This annual report comprehensively documents the progress, accomplishments, and impacts realized by COST Action CA19130 during its culminating year. The Action's central mission focused on enhancing transparency within the financial sector by leveraging advancements in Financial Technology (FinTech) and Artificial Intelligence (AI). The report spotlights groundbreaking research findings that advanced methodologies for transparent decision-making models, interpretable AI applications, and clear performance reporting for investment products. It chronicles robust public outreach campaigns that raised awareness about the importance of openness and accountability in FinTech/AI integration. Moreover, the report underscores capacity-building initiatives that nurtured an interdisciplinary network of researchers, professionals, and early-career investigators across Europe. It also details productive collaborations with industry leaders and regulatory bodies that facilitated knowledge exchange and shaped policies aligned with transparent and responsible technological adoption. Through comprehensive sections, the report encapsulates the multifaceted efforts undertaken to bridge academia, industry, and governance - collectively striving to uphold transparency as a cornerstone for digital innovation while safeguarding consumer interests within the financial domain.</w:t>
      </w:r>
    </w:p>
    <w:p w14:paraId="68CA12DD" w14:textId="77777777" w:rsidR="00F909DD" w:rsidRPr="00F909DD" w:rsidRDefault="00F909DD" w:rsidP="00F909DD">
      <w:pPr>
        <w:jc w:val="both"/>
        <w:rPr>
          <w:rFonts w:ascii="Times New Roman" w:hAnsi="Times New Roman" w:cs="Times New Roman"/>
          <w:sz w:val="24"/>
          <w:szCs w:val="24"/>
        </w:rPr>
      </w:pPr>
    </w:p>
    <w:p w14:paraId="2B428772" w14:textId="77777777" w:rsidR="00F909DD" w:rsidRPr="00F909DD" w:rsidRDefault="00000000" w:rsidP="00F909DD">
      <w:pPr>
        <w:jc w:val="both"/>
        <w:rPr>
          <w:rFonts w:ascii="Times New Roman" w:hAnsi="Times New Roman" w:cs="Times New Roman"/>
          <w:sz w:val="24"/>
          <w:szCs w:val="24"/>
        </w:rPr>
      </w:pPr>
      <w:r>
        <w:rPr>
          <w:rFonts w:ascii="Times New Roman" w:hAnsi="Times New Roman" w:cs="Times New Roman"/>
          <w:sz w:val="24"/>
          <w:szCs w:val="24"/>
        </w:rPr>
        <w:pict w14:anchorId="0869D334">
          <v:rect id="_x0000_i1030" style="width:0;height:1.5pt" o:hralign="center" o:hrstd="t" o:hr="t" fillcolor="#a0a0a0" stroked="f"/>
        </w:pict>
      </w:r>
    </w:p>
    <w:p w14:paraId="3252EE1E" w14:textId="77777777" w:rsidR="00F909DD" w:rsidRPr="00F909DD" w:rsidRDefault="00F909DD" w:rsidP="00F909DD">
      <w:pPr>
        <w:jc w:val="both"/>
        <w:rPr>
          <w:rFonts w:ascii="Times New Roman" w:hAnsi="Times New Roman" w:cs="Times New Roman"/>
          <w:sz w:val="24"/>
          <w:szCs w:val="24"/>
        </w:rPr>
      </w:pPr>
      <w:r w:rsidRPr="00F909DD">
        <w:rPr>
          <w:rFonts w:ascii="Times New Roman" w:hAnsi="Times New Roman" w:cs="Times New Roman"/>
          <w:b/>
          <w:bCs/>
          <w:sz w:val="24"/>
          <w:szCs w:val="24"/>
        </w:rPr>
        <w:t>Contributors:</w:t>
      </w:r>
    </w:p>
    <w:p w14:paraId="3285B63D" w14:textId="77777777" w:rsidR="00F909DD" w:rsidRPr="00F909DD" w:rsidRDefault="00F909DD" w:rsidP="009D4D37">
      <w:pPr>
        <w:numPr>
          <w:ilvl w:val="0"/>
          <w:numId w:val="3"/>
        </w:numPr>
        <w:jc w:val="both"/>
        <w:rPr>
          <w:rFonts w:ascii="Times New Roman" w:hAnsi="Times New Roman" w:cs="Times New Roman"/>
          <w:sz w:val="24"/>
          <w:szCs w:val="24"/>
        </w:rPr>
      </w:pPr>
      <w:r w:rsidRPr="00F909DD">
        <w:rPr>
          <w:rFonts w:ascii="Times New Roman" w:hAnsi="Times New Roman" w:cs="Times New Roman"/>
          <w:sz w:val="24"/>
          <w:szCs w:val="24"/>
        </w:rPr>
        <w:t>COST Action CA19130 </w:t>
      </w:r>
    </w:p>
    <w:p w14:paraId="4EAD049F" w14:textId="77777777" w:rsidR="00F909DD" w:rsidRPr="00F909DD" w:rsidRDefault="00F909DD" w:rsidP="009D4D37">
      <w:pPr>
        <w:numPr>
          <w:ilvl w:val="0"/>
          <w:numId w:val="3"/>
        </w:numPr>
        <w:jc w:val="both"/>
        <w:rPr>
          <w:rFonts w:ascii="Times New Roman" w:hAnsi="Times New Roman" w:cs="Times New Roman"/>
          <w:sz w:val="24"/>
          <w:szCs w:val="24"/>
        </w:rPr>
      </w:pPr>
      <w:r w:rsidRPr="00F909DD">
        <w:rPr>
          <w:rFonts w:ascii="Times New Roman" w:hAnsi="Times New Roman" w:cs="Times New Roman"/>
          <w:sz w:val="24"/>
          <w:szCs w:val="24"/>
        </w:rPr>
        <w:t>Working Group Leaders</w:t>
      </w:r>
    </w:p>
    <w:p w14:paraId="5E972605" w14:textId="77777777" w:rsidR="00F909DD" w:rsidRPr="00F909DD" w:rsidRDefault="00F909DD" w:rsidP="009D4D37">
      <w:pPr>
        <w:numPr>
          <w:ilvl w:val="0"/>
          <w:numId w:val="3"/>
        </w:numPr>
        <w:jc w:val="both"/>
        <w:rPr>
          <w:rFonts w:ascii="Times New Roman" w:hAnsi="Times New Roman" w:cs="Times New Roman"/>
          <w:sz w:val="24"/>
          <w:szCs w:val="24"/>
        </w:rPr>
      </w:pPr>
      <w:r w:rsidRPr="00F909DD">
        <w:rPr>
          <w:rFonts w:ascii="Times New Roman" w:hAnsi="Times New Roman" w:cs="Times New Roman"/>
          <w:sz w:val="24"/>
          <w:szCs w:val="24"/>
        </w:rPr>
        <w:t>Scientific Researchers</w:t>
      </w:r>
    </w:p>
    <w:p w14:paraId="679A7AFC" w14:textId="77777777" w:rsidR="00F909DD" w:rsidRPr="00F909DD" w:rsidRDefault="00F909DD" w:rsidP="009D4D37">
      <w:pPr>
        <w:numPr>
          <w:ilvl w:val="0"/>
          <w:numId w:val="3"/>
        </w:numPr>
        <w:jc w:val="both"/>
        <w:rPr>
          <w:rFonts w:ascii="Times New Roman" w:hAnsi="Times New Roman" w:cs="Times New Roman"/>
          <w:sz w:val="24"/>
          <w:szCs w:val="24"/>
        </w:rPr>
      </w:pPr>
      <w:r w:rsidRPr="00F909DD">
        <w:rPr>
          <w:rFonts w:ascii="Times New Roman" w:hAnsi="Times New Roman" w:cs="Times New Roman"/>
          <w:sz w:val="24"/>
          <w:szCs w:val="24"/>
        </w:rPr>
        <w:t>Industry and Policy Experts</w:t>
      </w:r>
    </w:p>
    <w:p w14:paraId="2C6D0857" w14:textId="77777777" w:rsidR="00F909DD" w:rsidRPr="00F909DD" w:rsidRDefault="00000000" w:rsidP="00F909DD">
      <w:pPr>
        <w:jc w:val="both"/>
        <w:rPr>
          <w:rFonts w:ascii="Times New Roman" w:hAnsi="Times New Roman" w:cs="Times New Roman"/>
          <w:sz w:val="24"/>
          <w:szCs w:val="24"/>
        </w:rPr>
      </w:pPr>
      <w:r>
        <w:rPr>
          <w:rFonts w:ascii="Times New Roman" w:hAnsi="Times New Roman" w:cs="Times New Roman"/>
          <w:sz w:val="24"/>
          <w:szCs w:val="24"/>
        </w:rPr>
        <w:pict w14:anchorId="5ED82BE2">
          <v:rect id="_x0000_i1031" style="width:0;height:1.5pt" o:hralign="center" o:hrstd="t" o:hr="t" fillcolor="#a0a0a0" stroked="f"/>
        </w:pict>
      </w:r>
    </w:p>
    <w:p w14:paraId="6DE5AF92" w14:textId="77777777" w:rsidR="00F909DD" w:rsidRPr="00F909DD" w:rsidRDefault="00F909DD" w:rsidP="00F909DD">
      <w:pPr>
        <w:jc w:val="both"/>
        <w:rPr>
          <w:rFonts w:ascii="Times New Roman" w:hAnsi="Times New Roman" w:cs="Times New Roman"/>
          <w:sz w:val="24"/>
          <w:szCs w:val="24"/>
        </w:rPr>
      </w:pPr>
      <w:r w:rsidRPr="00F909DD">
        <w:rPr>
          <w:rFonts w:ascii="Times New Roman" w:hAnsi="Times New Roman" w:cs="Times New Roman"/>
          <w:b/>
          <w:bCs/>
          <w:sz w:val="24"/>
          <w:szCs w:val="24"/>
        </w:rPr>
        <w:t>Published:</w:t>
      </w:r>
      <w:r w:rsidRPr="00F909DD">
        <w:rPr>
          <w:rFonts w:ascii="Times New Roman" w:hAnsi="Times New Roman" w:cs="Times New Roman"/>
          <w:b/>
          <w:bCs/>
          <w:sz w:val="24"/>
          <w:szCs w:val="24"/>
        </w:rPr>
        <w:br/>
      </w:r>
      <w:r w:rsidRPr="00F909DD">
        <w:rPr>
          <w:rFonts w:ascii="Times New Roman" w:hAnsi="Times New Roman" w:cs="Times New Roman"/>
          <w:sz w:val="24"/>
          <w:szCs w:val="24"/>
        </w:rPr>
        <w:t>September 2024</w:t>
      </w:r>
    </w:p>
    <w:p w14:paraId="1F8D5633" w14:textId="77777777" w:rsidR="00E70DA1" w:rsidRPr="00E70DA1" w:rsidRDefault="00E70DA1" w:rsidP="00E70DA1">
      <w:pPr>
        <w:jc w:val="both"/>
        <w:rPr>
          <w:rFonts w:ascii="Times New Roman" w:hAnsi="Times New Roman" w:cs="Times New Roman"/>
          <w:sz w:val="24"/>
          <w:szCs w:val="24"/>
        </w:rPr>
      </w:pPr>
    </w:p>
    <w:p w14:paraId="0C309435" w14:textId="77777777" w:rsidR="00214164" w:rsidRDefault="00214164">
      <w:pPr>
        <w:rPr>
          <w:rFonts w:ascii="Times New Roman" w:hAnsi="Times New Roman" w:cs="Times New Roman"/>
          <w:b/>
          <w:bCs/>
          <w:sz w:val="24"/>
          <w:szCs w:val="24"/>
        </w:rPr>
      </w:pPr>
      <w:r>
        <w:rPr>
          <w:rFonts w:ascii="Times New Roman" w:hAnsi="Times New Roman" w:cs="Times New Roman"/>
          <w:b/>
          <w:bCs/>
          <w:sz w:val="24"/>
          <w:szCs w:val="24"/>
        </w:rPr>
        <w:br w:type="page"/>
      </w:r>
    </w:p>
    <w:sdt>
      <w:sdtPr>
        <w:rPr>
          <w:rFonts w:asciiTheme="minorHAnsi" w:eastAsiaTheme="minorHAnsi" w:hAnsiTheme="minorHAnsi" w:cstheme="minorBidi"/>
          <w:color w:val="auto"/>
          <w:sz w:val="22"/>
          <w:szCs w:val="22"/>
        </w:rPr>
        <w:id w:val="-910774512"/>
        <w:docPartObj>
          <w:docPartGallery w:val="Table of Contents"/>
          <w:docPartUnique/>
        </w:docPartObj>
      </w:sdtPr>
      <w:sdtEndPr>
        <w:rPr>
          <w:b/>
          <w:bCs/>
          <w:noProof/>
        </w:rPr>
      </w:sdtEndPr>
      <w:sdtContent>
        <w:p w14:paraId="3EB27924" w14:textId="77777777" w:rsidR="00214164" w:rsidRDefault="00214164">
          <w:pPr>
            <w:pStyle w:val="TOCHeading"/>
          </w:pPr>
          <w:r>
            <w:t>Contents</w:t>
          </w:r>
        </w:p>
        <w:p w14:paraId="5FDE2348" w14:textId="77777777" w:rsidR="00214164" w:rsidRPr="00CB6D37" w:rsidRDefault="00214164" w:rsidP="00BA05D2">
          <w:pPr>
            <w:pStyle w:val="TOC1"/>
            <w:rPr>
              <w:rStyle w:val="Hyperlink"/>
              <w:rFonts w:ascii="Arial" w:hAnsi="Arial" w:cs="Arial"/>
            </w:rPr>
          </w:pPr>
          <w:r>
            <w:fldChar w:fldCharType="begin"/>
          </w:r>
          <w:r>
            <w:instrText xml:space="preserve"> TOC \o "1-3" \h \z \u </w:instrText>
          </w:r>
          <w:r>
            <w:fldChar w:fldCharType="separate"/>
          </w:r>
          <w:hyperlink w:anchor="_Toc176826797" w:history="1">
            <w:r w:rsidRPr="00CB6D37">
              <w:rPr>
                <w:rStyle w:val="Hyperlink"/>
                <w:rFonts w:ascii="Arial" w:hAnsi="Arial" w:cs="Arial"/>
                <w:noProof/>
              </w:rPr>
              <w:t xml:space="preserve"> Executive Summary</w:t>
            </w:r>
            <w:r w:rsidRPr="00CB6D37">
              <w:rPr>
                <w:rStyle w:val="Hyperlink"/>
                <w:rFonts w:ascii="Arial" w:hAnsi="Arial" w:cs="Arial"/>
                <w:webHidden/>
              </w:rPr>
              <w:tab/>
            </w:r>
            <w:r w:rsidRPr="00CB6D37">
              <w:rPr>
                <w:rStyle w:val="Hyperlink"/>
                <w:rFonts w:ascii="Arial" w:hAnsi="Arial" w:cs="Arial"/>
                <w:webHidden/>
              </w:rPr>
              <w:fldChar w:fldCharType="begin"/>
            </w:r>
            <w:r w:rsidRPr="00CB6D37">
              <w:rPr>
                <w:rStyle w:val="Hyperlink"/>
                <w:rFonts w:ascii="Arial" w:hAnsi="Arial" w:cs="Arial"/>
                <w:webHidden/>
              </w:rPr>
              <w:instrText xml:space="preserve"> PAGEREF _Toc176826797 \h </w:instrText>
            </w:r>
            <w:r w:rsidRPr="00CB6D37">
              <w:rPr>
                <w:rStyle w:val="Hyperlink"/>
                <w:rFonts w:ascii="Arial" w:hAnsi="Arial" w:cs="Arial"/>
                <w:webHidden/>
              </w:rPr>
            </w:r>
            <w:r w:rsidRPr="00CB6D37">
              <w:rPr>
                <w:rStyle w:val="Hyperlink"/>
                <w:rFonts w:ascii="Arial" w:hAnsi="Arial" w:cs="Arial"/>
                <w:webHidden/>
              </w:rPr>
              <w:fldChar w:fldCharType="separate"/>
            </w:r>
            <w:r w:rsidR="005E0CAE" w:rsidRPr="00CB6D37">
              <w:rPr>
                <w:rStyle w:val="Hyperlink"/>
                <w:rFonts w:ascii="Arial" w:hAnsi="Arial" w:cs="Arial"/>
                <w:webHidden/>
              </w:rPr>
              <w:t>4</w:t>
            </w:r>
            <w:r w:rsidRPr="00CB6D37">
              <w:rPr>
                <w:rStyle w:val="Hyperlink"/>
                <w:rFonts w:ascii="Arial" w:hAnsi="Arial" w:cs="Arial"/>
                <w:webHidden/>
              </w:rPr>
              <w:fldChar w:fldCharType="end"/>
            </w:r>
          </w:hyperlink>
        </w:p>
        <w:p w14:paraId="67FC6CC0" w14:textId="77777777" w:rsidR="00214164" w:rsidRPr="00CB6D37" w:rsidRDefault="00000000" w:rsidP="00BA05D2">
          <w:pPr>
            <w:pStyle w:val="TOC1"/>
            <w:rPr>
              <w:rStyle w:val="Hyperlink"/>
              <w:rFonts w:ascii="Arial" w:hAnsi="Arial" w:cs="Arial"/>
            </w:rPr>
          </w:pPr>
          <w:hyperlink w:anchor="_Toc176826798" w:history="1">
            <w:r w:rsidR="00BA05D2">
              <w:rPr>
                <w:rStyle w:val="Hyperlink"/>
                <w:rFonts w:ascii="Arial" w:hAnsi="Arial" w:cs="Arial"/>
                <w:noProof/>
              </w:rPr>
              <w:t xml:space="preserve"> </w:t>
            </w:r>
            <w:r w:rsidR="00214164" w:rsidRPr="00F32AF3">
              <w:rPr>
                <w:rStyle w:val="Hyperlink"/>
                <w:rFonts w:ascii="Arial" w:hAnsi="Arial" w:cs="Arial"/>
                <w:noProof/>
              </w:rPr>
              <w:t>Fostering Transparency in FinTech and AI for Finance</w:t>
            </w:r>
            <w:r w:rsidR="00214164" w:rsidRPr="00CB6D37">
              <w:rPr>
                <w:rStyle w:val="Hyperlink"/>
                <w:rFonts w:ascii="Arial" w:hAnsi="Arial" w:cs="Arial"/>
                <w:webHidden/>
              </w:rPr>
              <w:tab/>
            </w:r>
            <w:r w:rsidR="00214164" w:rsidRPr="00CB6D37">
              <w:rPr>
                <w:rStyle w:val="Hyperlink"/>
                <w:rFonts w:ascii="Arial" w:hAnsi="Arial" w:cs="Arial"/>
                <w:webHidden/>
              </w:rPr>
              <w:fldChar w:fldCharType="begin"/>
            </w:r>
            <w:r w:rsidR="00214164" w:rsidRPr="00CB6D37">
              <w:rPr>
                <w:rStyle w:val="Hyperlink"/>
                <w:rFonts w:ascii="Arial" w:hAnsi="Arial" w:cs="Arial"/>
                <w:webHidden/>
              </w:rPr>
              <w:instrText xml:space="preserve"> PAGEREF _Toc176826798 \h </w:instrText>
            </w:r>
            <w:r w:rsidR="00214164" w:rsidRPr="00CB6D37">
              <w:rPr>
                <w:rStyle w:val="Hyperlink"/>
                <w:rFonts w:ascii="Arial" w:hAnsi="Arial" w:cs="Arial"/>
                <w:webHidden/>
              </w:rPr>
            </w:r>
            <w:r w:rsidR="00214164" w:rsidRPr="00CB6D37">
              <w:rPr>
                <w:rStyle w:val="Hyperlink"/>
                <w:rFonts w:ascii="Arial" w:hAnsi="Arial" w:cs="Arial"/>
                <w:webHidden/>
              </w:rPr>
              <w:fldChar w:fldCharType="separate"/>
            </w:r>
            <w:r w:rsidR="005E0CAE" w:rsidRPr="00CB6D37">
              <w:rPr>
                <w:rStyle w:val="Hyperlink"/>
                <w:rFonts w:ascii="Arial" w:hAnsi="Arial" w:cs="Arial"/>
                <w:webHidden/>
              </w:rPr>
              <w:t>11</w:t>
            </w:r>
            <w:r w:rsidR="00214164" w:rsidRPr="00CB6D37">
              <w:rPr>
                <w:rStyle w:val="Hyperlink"/>
                <w:rFonts w:ascii="Arial" w:hAnsi="Arial" w:cs="Arial"/>
                <w:webHidden/>
              </w:rPr>
              <w:fldChar w:fldCharType="end"/>
            </w:r>
          </w:hyperlink>
        </w:p>
        <w:p w14:paraId="59E4FBA8" w14:textId="77777777" w:rsidR="00214164" w:rsidRPr="00CB6D37" w:rsidRDefault="00000000" w:rsidP="00BA05D2">
          <w:pPr>
            <w:pStyle w:val="TOC1"/>
            <w:rPr>
              <w:rStyle w:val="Hyperlink"/>
              <w:rFonts w:ascii="Arial" w:hAnsi="Arial" w:cs="Arial"/>
            </w:rPr>
          </w:pPr>
          <w:hyperlink w:anchor="_Toc176826799" w:history="1">
            <w:r w:rsidR="00BA05D2" w:rsidRPr="00CB6D37">
              <w:rPr>
                <w:rStyle w:val="Hyperlink"/>
                <w:rFonts w:ascii="Arial" w:hAnsi="Arial" w:cs="Arial"/>
                <w:noProof/>
              </w:rPr>
              <w:t xml:space="preserve"> </w:t>
            </w:r>
            <w:r w:rsidR="00214164" w:rsidRPr="00CB6D37">
              <w:rPr>
                <w:rStyle w:val="Hyperlink"/>
                <w:rFonts w:ascii="Arial" w:hAnsi="Arial" w:cs="Arial"/>
                <w:noProof/>
              </w:rPr>
              <w:t>Key Achievements and Progress of COST Action CA19130 in 2021-2022</w:t>
            </w:r>
            <w:r w:rsidR="00214164" w:rsidRPr="00CB6D37">
              <w:rPr>
                <w:rStyle w:val="Hyperlink"/>
                <w:rFonts w:ascii="Arial" w:hAnsi="Arial" w:cs="Arial"/>
                <w:webHidden/>
              </w:rPr>
              <w:tab/>
            </w:r>
            <w:r w:rsidR="00214164" w:rsidRPr="00CB6D37">
              <w:rPr>
                <w:rStyle w:val="Hyperlink"/>
                <w:rFonts w:ascii="Arial" w:hAnsi="Arial" w:cs="Arial"/>
                <w:webHidden/>
              </w:rPr>
              <w:fldChar w:fldCharType="begin"/>
            </w:r>
            <w:r w:rsidR="00214164" w:rsidRPr="00CB6D37">
              <w:rPr>
                <w:rStyle w:val="Hyperlink"/>
                <w:rFonts w:ascii="Arial" w:hAnsi="Arial" w:cs="Arial"/>
                <w:webHidden/>
              </w:rPr>
              <w:instrText xml:space="preserve"> PAGEREF _Toc176826799 \h </w:instrText>
            </w:r>
            <w:r w:rsidR="00214164" w:rsidRPr="00CB6D37">
              <w:rPr>
                <w:rStyle w:val="Hyperlink"/>
                <w:rFonts w:ascii="Arial" w:hAnsi="Arial" w:cs="Arial"/>
                <w:webHidden/>
              </w:rPr>
            </w:r>
            <w:r w:rsidR="00214164" w:rsidRPr="00CB6D37">
              <w:rPr>
                <w:rStyle w:val="Hyperlink"/>
                <w:rFonts w:ascii="Arial" w:hAnsi="Arial" w:cs="Arial"/>
                <w:webHidden/>
              </w:rPr>
              <w:fldChar w:fldCharType="separate"/>
            </w:r>
            <w:r w:rsidR="005E0CAE" w:rsidRPr="00CB6D37">
              <w:rPr>
                <w:rStyle w:val="Hyperlink"/>
                <w:rFonts w:ascii="Arial" w:hAnsi="Arial" w:cs="Arial"/>
                <w:webHidden/>
              </w:rPr>
              <w:t>18</w:t>
            </w:r>
            <w:r w:rsidR="00214164" w:rsidRPr="00CB6D37">
              <w:rPr>
                <w:rStyle w:val="Hyperlink"/>
                <w:rFonts w:ascii="Arial" w:hAnsi="Arial" w:cs="Arial"/>
                <w:webHidden/>
              </w:rPr>
              <w:fldChar w:fldCharType="end"/>
            </w:r>
          </w:hyperlink>
        </w:p>
        <w:p w14:paraId="40974A2D" w14:textId="77777777" w:rsidR="00214164" w:rsidRPr="00CB6D37" w:rsidRDefault="00000000" w:rsidP="00BA05D2">
          <w:pPr>
            <w:pStyle w:val="TOC1"/>
            <w:rPr>
              <w:rStyle w:val="Hyperlink"/>
              <w:rFonts w:ascii="Arial" w:hAnsi="Arial" w:cs="Arial"/>
            </w:rPr>
          </w:pPr>
          <w:hyperlink w:anchor="_Toc176826800" w:history="1">
            <w:r w:rsidR="00BA05D2">
              <w:rPr>
                <w:rStyle w:val="Hyperlink"/>
                <w:rFonts w:ascii="Arial" w:hAnsi="Arial" w:cs="Arial"/>
                <w:noProof/>
              </w:rPr>
              <w:t xml:space="preserve"> </w:t>
            </w:r>
            <w:r w:rsidR="00214164" w:rsidRPr="00F32AF3">
              <w:rPr>
                <w:rStyle w:val="Hyperlink"/>
                <w:rFonts w:ascii="Arial" w:hAnsi="Arial" w:cs="Arial"/>
                <w:noProof/>
              </w:rPr>
              <w:t>Real World Impact: Transforming the Financial Sector and Regulatory Framework</w:t>
            </w:r>
            <w:r w:rsidR="00214164" w:rsidRPr="00CB6D37">
              <w:rPr>
                <w:rStyle w:val="Hyperlink"/>
                <w:rFonts w:ascii="Arial" w:hAnsi="Arial" w:cs="Arial"/>
                <w:webHidden/>
              </w:rPr>
              <w:tab/>
            </w:r>
            <w:r w:rsidR="00214164" w:rsidRPr="00CB6D37">
              <w:rPr>
                <w:rStyle w:val="Hyperlink"/>
                <w:rFonts w:ascii="Arial" w:hAnsi="Arial" w:cs="Arial"/>
                <w:webHidden/>
              </w:rPr>
              <w:fldChar w:fldCharType="begin"/>
            </w:r>
            <w:r w:rsidR="00214164" w:rsidRPr="00CB6D37">
              <w:rPr>
                <w:rStyle w:val="Hyperlink"/>
                <w:rFonts w:ascii="Arial" w:hAnsi="Arial" w:cs="Arial"/>
                <w:webHidden/>
              </w:rPr>
              <w:instrText xml:space="preserve"> PAGEREF _Toc176826800 \h </w:instrText>
            </w:r>
            <w:r w:rsidR="00214164" w:rsidRPr="00CB6D37">
              <w:rPr>
                <w:rStyle w:val="Hyperlink"/>
                <w:rFonts w:ascii="Arial" w:hAnsi="Arial" w:cs="Arial"/>
                <w:webHidden/>
              </w:rPr>
            </w:r>
            <w:r w:rsidR="00214164" w:rsidRPr="00CB6D37">
              <w:rPr>
                <w:rStyle w:val="Hyperlink"/>
                <w:rFonts w:ascii="Arial" w:hAnsi="Arial" w:cs="Arial"/>
                <w:webHidden/>
              </w:rPr>
              <w:fldChar w:fldCharType="separate"/>
            </w:r>
            <w:r w:rsidR="005E0CAE" w:rsidRPr="00CB6D37">
              <w:rPr>
                <w:rStyle w:val="Hyperlink"/>
                <w:rFonts w:ascii="Arial" w:hAnsi="Arial" w:cs="Arial"/>
                <w:webHidden/>
              </w:rPr>
              <w:t>20</w:t>
            </w:r>
            <w:r w:rsidR="00214164" w:rsidRPr="00CB6D37">
              <w:rPr>
                <w:rStyle w:val="Hyperlink"/>
                <w:rFonts w:ascii="Arial" w:hAnsi="Arial" w:cs="Arial"/>
                <w:webHidden/>
              </w:rPr>
              <w:fldChar w:fldCharType="end"/>
            </w:r>
          </w:hyperlink>
        </w:p>
        <w:p w14:paraId="07057AA4" w14:textId="77777777" w:rsidR="00214164" w:rsidRPr="00CB6D37" w:rsidRDefault="00000000" w:rsidP="00BA05D2">
          <w:pPr>
            <w:pStyle w:val="TOC1"/>
            <w:rPr>
              <w:rStyle w:val="Hyperlink"/>
              <w:rFonts w:ascii="Arial" w:hAnsi="Arial" w:cs="Arial"/>
            </w:rPr>
          </w:pPr>
          <w:hyperlink w:anchor="_Toc176826801" w:history="1">
            <w:r w:rsidR="00214164" w:rsidRPr="00F32AF3">
              <w:rPr>
                <w:rStyle w:val="Hyperlink"/>
                <w:rFonts w:ascii="Arial" w:hAnsi="Arial" w:cs="Arial"/>
                <w:noProof/>
              </w:rPr>
              <w:t>Research and Innovation: Advancing Financial Transparency</w:t>
            </w:r>
            <w:r w:rsidR="00214164" w:rsidRPr="00CB6D37">
              <w:rPr>
                <w:rStyle w:val="Hyperlink"/>
                <w:rFonts w:ascii="Arial" w:hAnsi="Arial" w:cs="Arial"/>
                <w:webHidden/>
              </w:rPr>
              <w:tab/>
            </w:r>
            <w:r w:rsidR="00214164" w:rsidRPr="00CB6D37">
              <w:rPr>
                <w:rStyle w:val="Hyperlink"/>
                <w:rFonts w:ascii="Arial" w:hAnsi="Arial" w:cs="Arial"/>
                <w:webHidden/>
              </w:rPr>
              <w:fldChar w:fldCharType="begin"/>
            </w:r>
            <w:r w:rsidR="00214164" w:rsidRPr="00CB6D37">
              <w:rPr>
                <w:rStyle w:val="Hyperlink"/>
                <w:rFonts w:ascii="Arial" w:hAnsi="Arial" w:cs="Arial"/>
                <w:webHidden/>
              </w:rPr>
              <w:instrText xml:space="preserve"> PAGEREF _Toc176826801 \h </w:instrText>
            </w:r>
            <w:r w:rsidR="00214164" w:rsidRPr="00CB6D37">
              <w:rPr>
                <w:rStyle w:val="Hyperlink"/>
                <w:rFonts w:ascii="Arial" w:hAnsi="Arial" w:cs="Arial"/>
                <w:webHidden/>
              </w:rPr>
            </w:r>
            <w:r w:rsidR="00214164" w:rsidRPr="00CB6D37">
              <w:rPr>
                <w:rStyle w:val="Hyperlink"/>
                <w:rFonts w:ascii="Arial" w:hAnsi="Arial" w:cs="Arial"/>
                <w:webHidden/>
              </w:rPr>
              <w:fldChar w:fldCharType="separate"/>
            </w:r>
            <w:r w:rsidR="005E0CAE" w:rsidRPr="00CB6D37">
              <w:rPr>
                <w:rStyle w:val="Hyperlink"/>
                <w:rFonts w:ascii="Arial" w:hAnsi="Arial" w:cs="Arial"/>
                <w:webHidden/>
              </w:rPr>
              <w:t>22</w:t>
            </w:r>
            <w:r w:rsidR="00214164" w:rsidRPr="00CB6D37">
              <w:rPr>
                <w:rStyle w:val="Hyperlink"/>
                <w:rFonts w:ascii="Arial" w:hAnsi="Arial" w:cs="Arial"/>
                <w:webHidden/>
              </w:rPr>
              <w:fldChar w:fldCharType="end"/>
            </w:r>
          </w:hyperlink>
        </w:p>
        <w:p w14:paraId="783E9455" w14:textId="77777777" w:rsidR="00214164" w:rsidRPr="00CB6D37" w:rsidRDefault="00000000" w:rsidP="00BA05D2">
          <w:pPr>
            <w:pStyle w:val="TOC1"/>
            <w:rPr>
              <w:rStyle w:val="Hyperlink"/>
              <w:rFonts w:ascii="Arial" w:hAnsi="Arial" w:cs="Arial"/>
            </w:rPr>
          </w:pPr>
          <w:hyperlink w:anchor="_Toc176826802" w:history="1">
            <w:r w:rsidR="00214164" w:rsidRPr="00F32AF3">
              <w:rPr>
                <w:rStyle w:val="Hyperlink"/>
                <w:rFonts w:ascii="Arial" w:hAnsi="Arial" w:cs="Arial"/>
                <w:noProof/>
              </w:rPr>
              <w:t xml:space="preserve"> Science communication: Building a bridge between research and society</w:t>
            </w:r>
            <w:r w:rsidR="00214164" w:rsidRPr="00CB6D37">
              <w:rPr>
                <w:rStyle w:val="Hyperlink"/>
                <w:rFonts w:ascii="Arial" w:hAnsi="Arial" w:cs="Arial"/>
                <w:webHidden/>
              </w:rPr>
              <w:tab/>
            </w:r>
            <w:r w:rsidR="00214164" w:rsidRPr="00CB6D37">
              <w:rPr>
                <w:rStyle w:val="Hyperlink"/>
                <w:rFonts w:ascii="Arial" w:hAnsi="Arial" w:cs="Arial"/>
                <w:webHidden/>
              </w:rPr>
              <w:fldChar w:fldCharType="begin"/>
            </w:r>
            <w:r w:rsidR="00214164" w:rsidRPr="00CB6D37">
              <w:rPr>
                <w:rStyle w:val="Hyperlink"/>
                <w:rFonts w:ascii="Arial" w:hAnsi="Arial" w:cs="Arial"/>
                <w:webHidden/>
              </w:rPr>
              <w:instrText xml:space="preserve"> PAGEREF _Toc176826802 \h </w:instrText>
            </w:r>
            <w:r w:rsidR="00214164" w:rsidRPr="00CB6D37">
              <w:rPr>
                <w:rStyle w:val="Hyperlink"/>
                <w:rFonts w:ascii="Arial" w:hAnsi="Arial" w:cs="Arial"/>
                <w:webHidden/>
              </w:rPr>
            </w:r>
            <w:r w:rsidR="00214164" w:rsidRPr="00CB6D37">
              <w:rPr>
                <w:rStyle w:val="Hyperlink"/>
                <w:rFonts w:ascii="Arial" w:hAnsi="Arial" w:cs="Arial"/>
                <w:webHidden/>
              </w:rPr>
              <w:fldChar w:fldCharType="separate"/>
            </w:r>
            <w:r w:rsidR="005E0CAE" w:rsidRPr="00CB6D37">
              <w:rPr>
                <w:rStyle w:val="Hyperlink"/>
                <w:rFonts w:ascii="Arial" w:hAnsi="Arial" w:cs="Arial"/>
                <w:webHidden/>
              </w:rPr>
              <w:t>25</w:t>
            </w:r>
            <w:r w:rsidR="00214164" w:rsidRPr="00CB6D37">
              <w:rPr>
                <w:rStyle w:val="Hyperlink"/>
                <w:rFonts w:ascii="Arial" w:hAnsi="Arial" w:cs="Arial"/>
                <w:webHidden/>
              </w:rPr>
              <w:fldChar w:fldCharType="end"/>
            </w:r>
          </w:hyperlink>
        </w:p>
        <w:p w14:paraId="13CD67E9" w14:textId="77777777" w:rsidR="00214164" w:rsidRPr="00CB6D37" w:rsidRDefault="00000000" w:rsidP="00BA05D2">
          <w:pPr>
            <w:pStyle w:val="TOC1"/>
            <w:rPr>
              <w:rStyle w:val="Hyperlink"/>
              <w:rFonts w:ascii="Arial" w:hAnsi="Arial" w:cs="Arial"/>
            </w:rPr>
          </w:pPr>
          <w:hyperlink w:anchor="_Toc176826803" w:history="1">
            <w:r w:rsidR="00214164" w:rsidRPr="00F32AF3">
              <w:rPr>
                <w:rStyle w:val="Hyperlink"/>
                <w:rFonts w:ascii="Arial" w:hAnsi="Arial" w:cs="Arial"/>
                <w:noProof/>
              </w:rPr>
              <w:t>Networking, Capacity Building, and Inclusivity</w:t>
            </w:r>
            <w:r w:rsidR="00214164" w:rsidRPr="00CB6D37">
              <w:rPr>
                <w:rStyle w:val="Hyperlink"/>
                <w:rFonts w:ascii="Arial" w:hAnsi="Arial" w:cs="Arial"/>
                <w:webHidden/>
              </w:rPr>
              <w:tab/>
            </w:r>
            <w:r w:rsidR="00214164" w:rsidRPr="00CB6D37">
              <w:rPr>
                <w:rStyle w:val="Hyperlink"/>
                <w:rFonts w:ascii="Arial" w:hAnsi="Arial" w:cs="Arial"/>
                <w:webHidden/>
              </w:rPr>
              <w:fldChar w:fldCharType="begin"/>
            </w:r>
            <w:r w:rsidR="00214164" w:rsidRPr="00CB6D37">
              <w:rPr>
                <w:rStyle w:val="Hyperlink"/>
                <w:rFonts w:ascii="Arial" w:hAnsi="Arial" w:cs="Arial"/>
                <w:webHidden/>
              </w:rPr>
              <w:instrText xml:space="preserve"> PAGEREF _Toc176826803 \h </w:instrText>
            </w:r>
            <w:r w:rsidR="00214164" w:rsidRPr="00CB6D37">
              <w:rPr>
                <w:rStyle w:val="Hyperlink"/>
                <w:rFonts w:ascii="Arial" w:hAnsi="Arial" w:cs="Arial"/>
                <w:webHidden/>
              </w:rPr>
            </w:r>
            <w:r w:rsidR="00214164" w:rsidRPr="00CB6D37">
              <w:rPr>
                <w:rStyle w:val="Hyperlink"/>
                <w:rFonts w:ascii="Arial" w:hAnsi="Arial" w:cs="Arial"/>
                <w:webHidden/>
              </w:rPr>
              <w:fldChar w:fldCharType="separate"/>
            </w:r>
            <w:r w:rsidR="005E0CAE" w:rsidRPr="00CB6D37">
              <w:rPr>
                <w:rStyle w:val="Hyperlink"/>
                <w:rFonts w:ascii="Arial" w:hAnsi="Arial" w:cs="Arial"/>
                <w:webHidden/>
              </w:rPr>
              <w:t>29</w:t>
            </w:r>
            <w:r w:rsidR="00214164" w:rsidRPr="00CB6D37">
              <w:rPr>
                <w:rStyle w:val="Hyperlink"/>
                <w:rFonts w:ascii="Arial" w:hAnsi="Arial" w:cs="Arial"/>
                <w:webHidden/>
              </w:rPr>
              <w:fldChar w:fldCharType="end"/>
            </w:r>
          </w:hyperlink>
        </w:p>
        <w:p w14:paraId="4A17FFD4" w14:textId="77777777" w:rsidR="00214164" w:rsidRPr="00CB6D37" w:rsidRDefault="00000000" w:rsidP="00BA05D2">
          <w:pPr>
            <w:pStyle w:val="TOC1"/>
            <w:rPr>
              <w:rStyle w:val="Hyperlink"/>
              <w:rFonts w:ascii="Arial" w:hAnsi="Arial" w:cs="Arial"/>
            </w:rPr>
          </w:pPr>
          <w:hyperlink w:anchor="_Toc176826804" w:history="1">
            <w:r w:rsidR="00214164" w:rsidRPr="00F32AF3">
              <w:rPr>
                <w:rStyle w:val="Hyperlink"/>
                <w:rFonts w:ascii="Arial" w:hAnsi="Arial" w:cs="Arial"/>
                <w:noProof/>
              </w:rPr>
              <w:t>Methodological Papers and Technical Reports</w:t>
            </w:r>
            <w:r w:rsidR="00214164" w:rsidRPr="00CB6D37">
              <w:rPr>
                <w:rStyle w:val="Hyperlink"/>
                <w:rFonts w:ascii="Arial" w:hAnsi="Arial" w:cs="Arial"/>
                <w:webHidden/>
              </w:rPr>
              <w:tab/>
            </w:r>
            <w:r w:rsidR="00214164" w:rsidRPr="00CB6D37">
              <w:rPr>
                <w:rStyle w:val="Hyperlink"/>
                <w:rFonts w:ascii="Arial" w:hAnsi="Arial" w:cs="Arial"/>
                <w:webHidden/>
              </w:rPr>
              <w:fldChar w:fldCharType="begin"/>
            </w:r>
            <w:r w:rsidR="00214164" w:rsidRPr="00CB6D37">
              <w:rPr>
                <w:rStyle w:val="Hyperlink"/>
                <w:rFonts w:ascii="Arial" w:hAnsi="Arial" w:cs="Arial"/>
                <w:webHidden/>
              </w:rPr>
              <w:instrText xml:space="preserve"> PAGEREF _Toc176826804 \h </w:instrText>
            </w:r>
            <w:r w:rsidR="00214164" w:rsidRPr="00CB6D37">
              <w:rPr>
                <w:rStyle w:val="Hyperlink"/>
                <w:rFonts w:ascii="Arial" w:hAnsi="Arial" w:cs="Arial"/>
                <w:webHidden/>
              </w:rPr>
            </w:r>
            <w:r w:rsidR="00214164" w:rsidRPr="00CB6D37">
              <w:rPr>
                <w:rStyle w:val="Hyperlink"/>
                <w:rFonts w:ascii="Arial" w:hAnsi="Arial" w:cs="Arial"/>
                <w:webHidden/>
              </w:rPr>
              <w:fldChar w:fldCharType="separate"/>
            </w:r>
            <w:r w:rsidR="005E0CAE" w:rsidRPr="00CB6D37">
              <w:rPr>
                <w:rStyle w:val="Hyperlink"/>
                <w:rFonts w:ascii="Arial" w:hAnsi="Arial" w:cs="Arial"/>
                <w:webHidden/>
              </w:rPr>
              <w:t>31</w:t>
            </w:r>
            <w:r w:rsidR="00214164" w:rsidRPr="00CB6D37">
              <w:rPr>
                <w:rStyle w:val="Hyperlink"/>
                <w:rFonts w:ascii="Arial" w:hAnsi="Arial" w:cs="Arial"/>
                <w:webHidden/>
              </w:rPr>
              <w:fldChar w:fldCharType="end"/>
            </w:r>
          </w:hyperlink>
        </w:p>
        <w:p w14:paraId="15BE4BF9" w14:textId="77777777" w:rsidR="00214164" w:rsidRPr="00CB6D37" w:rsidRDefault="00000000" w:rsidP="00BA05D2">
          <w:pPr>
            <w:pStyle w:val="TOC1"/>
            <w:rPr>
              <w:rStyle w:val="Hyperlink"/>
              <w:rFonts w:ascii="Arial" w:hAnsi="Arial" w:cs="Arial"/>
            </w:rPr>
          </w:pPr>
          <w:hyperlink w:anchor="_Toc176826805" w:history="1">
            <w:r w:rsidR="00BA05D2">
              <w:rPr>
                <w:rStyle w:val="Hyperlink"/>
                <w:rFonts w:ascii="Arial" w:hAnsi="Arial" w:cs="Arial"/>
                <w:noProof/>
              </w:rPr>
              <w:t>F</w:t>
            </w:r>
            <w:r w:rsidR="00214164" w:rsidRPr="00F32AF3">
              <w:rPr>
                <w:rStyle w:val="Hyperlink"/>
                <w:rFonts w:ascii="Arial" w:hAnsi="Arial" w:cs="Arial"/>
                <w:noProof/>
              </w:rPr>
              <w:t>inancial Overview: Resource Allocation and Impact</w:t>
            </w:r>
            <w:r w:rsidR="00214164" w:rsidRPr="00CB6D37">
              <w:rPr>
                <w:rStyle w:val="Hyperlink"/>
                <w:rFonts w:ascii="Arial" w:hAnsi="Arial" w:cs="Arial"/>
                <w:webHidden/>
              </w:rPr>
              <w:tab/>
            </w:r>
            <w:r w:rsidR="00214164" w:rsidRPr="00CB6D37">
              <w:rPr>
                <w:rStyle w:val="Hyperlink"/>
                <w:rFonts w:ascii="Arial" w:hAnsi="Arial" w:cs="Arial"/>
                <w:webHidden/>
              </w:rPr>
              <w:fldChar w:fldCharType="begin"/>
            </w:r>
            <w:r w:rsidR="00214164" w:rsidRPr="00CB6D37">
              <w:rPr>
                <w:rStyle w:val="Hyperlink"/>
                <w:rFonts w:ascii="Arial" w:hAnsi="Arial" w:cs="Arial"/>
                <w:webHidden/>
              </w:rPr>
              <w:instrText xml:space="preserve"> PAGEREF _Toc176826805 \h </w:instrText>
            </w:r>
            <w:r w:rsidR="00214164" w:rsidRPr="00CB6D37">
              <w:rPr>
                <w:rStyle w:val="Hyperlink"/>
                <w:rFonts w:ascii="Arial" w:hAnsi="Arial" w:cs="Arial"/>
                <w:webHidden/>
              </w:rPr>
            </w:r>
            <w:r w:rsidR="00214164" w:rsidRPr="00CB6D37">
              <w:rPr>
                <w:rStyle w:val="Hyperlink"/>
                <w:rFonts w:ascii="Arial" w:hAnsi="Arial" w:cs="Arial"/>
                <w:webHidden/>
              </w:rPr>
              <w:fldChar w:fldCharType="separate"/>
            </w:r>
            <w:r w:rsidR="005E0CAE" w:rsidRPr="00CB6D37">
              <w:rPr>
                <w:rStyle w:val="Hyperlink"/>
                <w:rFonts w:ascii="Arial" w:hAnsi="Arial" w:cs="Arial"/>
                <w:webHidden/>
              </w:rPr>
              <w:t>34</w:t>
            </w:r>
            <w:r w:rsidR="00214164" w:rsidRPr="00CB6D37">
              <w:rPr>
                <w:rStyle w:val="Hyperlink"/>
                <w:rFonts w:ascii="Arial" w:hAnsi="Arial" w:cs="Arial"/>
                <w:webHidden/>
              </w:rPr>
              <w:fldChar w:fldCharType="end"/>
            </w:r>
          </w:hyperlink>
        </w:p>
        <w:p w14:paraId="40754EC6" w14:textId="77777777" w:rsidR="00214164" w:rsidRPr="00CB6D37" w:rsidRDefault="00000000" w:rsidP="00BA05D2">
          <w:pPr>
            <w:pStyle w:val="TOC1"/>
            <w:rPr>
              <w:rStyle w:val="Hyperlink"/>
              <w:rFonts w:ascii="Arial" w:hAnsi="Arial" w:cs="Arial"/>
            </w:rPr>
          </w:pPr>
          <w:hyperlink w:anchor="_Toc176826806" w:history="1">
            <w:r w:rsidR="00214164" w:rsidRPr="00F32AF3">
              <w:rPr>
                <w:rStyle w:val="Hyperlink"/>
                <w:rFonts w:ascii="Arial" w:hAnsi="Arial" w:cs="Arial"/>
                <w:noProof/>
              </w:rPr>
              <w:t>Assessment of Progress Towards MoU Objectives</w:t>
            </w:r>
            <w:r w:rsidR="00214164" w:rsidRPr="00CB6D37">
              <w:rPr>
                <w:rStyle w:val="Hyperlink"/>
                <w:rFonts w:ascii="Arial" w:hAnsi="Arial" w:cs="Arial"/>
                <w:webHidden/>
              </w:rPr>
              <w:tab/>
            </w:r>
            <w:r w:rsidR="00214164" w:rsidRPr="00CB6D37">
              <w:rPr>
                <w:rStyle w:val="Hyperlink"/>
                <w:rFonts w:ascii="Arial" w:hAnsi="Arial" w:cs="Arial"/>
                <w:webHidden/>
              </w:rPr>
              <w:fldChar w:fldCharType="begin"/>
            </w:r>
            <w:r w:rsidR="00214164" w:rsidRPr="00CB6D37">
              <w:rPr>
                <w:rStyle w:val="Hyperlink"/>
                <w:rFonts w:ascii="Arial" w:hAnsi="Arial" w:cs="Arial"/>
                <w:webHidden/>
              </w:rPr>
              <w:instrText xml:space="preserve"> PAGEREF _Toc176826806 \h </w:instrText>
            </w:r>
            <w:r w:rsidR="00214164" w:rsidRPr="00CB6D37">
              <w:rPr>
                <w:rStyle w:val="Hyperlink"/>
                <w:rFonts w:ascii="Arial" w:hAnsi="Arial" w:cs="Arial"/>
                <w:webHidden/>
              </w:rPr>
            </w:r>
            <w:r w:rsidR="00214164" w:rsidRPr="00CB6D37">
              <w:rPr>
                <w:rStyle w:val="Hyperlink"/>
                <w:rFonts w:ascii="Arial" w:hAnsi="Arial" w:cs="Arial"/>
                <w:webHidden/>
              </w:rPr>
              <w:fldChar w:fldCharType="separate"/>
            </w:r>
            <w:r w:rsidR="005E0CAE" w:rsidRPr="00CB6D37">
              <w:rPr>
                <w:rStyle w:val="Hyperlink"/>
                <w:rFonts w:ascii="Arial" w:hAnsi="Arial" w:cs="Arial"/>
                <w:webHidden/>
              </w:rPr>
              <w:t>36</w:t>
            </w:r>
            <w:r w:rsidR="00214164" w:rsidRPr="00CB6D37">
              <w:rPr>
                <w:rStyle w:val="Hyperlink"/>
                <w:rFonts w:ascii="Arial" w:hAnsi="Arial" w:cs="Arial"/>
                <w:webHidden/>
              </w:rPr>
              <w:fldChar w:fldCharType="end"/>
            </w:r>
          </w:hyperlink>
        </w:p>
        <w:p w14:paraId="6F5BC80F" w14:textId="77777777" w:rsidR="00214164" w:rsidRPr="00CB6D37" w:rsidRDefault="00000000" w:rsidP="00BA05D2">
          <w:pPr>
            <w:pStyle w:val="TOC1"/>
            <w:rPr>
              <w:rStyle w:val="Hyperlink"/>
              <w:rFonts w:ascii="Arial" w:hAnsi="Arial" w:cs="Arial"/>
            </w:rPr>
          </w:pPr>
          <w:hyperlink w:anchor="_Toc176826807" w:history="1">
            <w:r w:rsidR="00214164" w:rsidRPr="00CB6D37">
              <w:rPr>
                <w:rStyle w:val="Hyperlink"/>
                <w:rFonts w:ascii="Arial" w:hAnsi="Arial" w:cs="Arial"/>
                <w:noProof/>
              </w:rPr>
              <w:t xml:space="preserve"> Identification of Key Areas for Improvement and Strategic Focus for COST Action CA19130</w:t>
            </w:r>
            <w:r w:rsidR="00214164" w:rsidRPr="00CB6D37">
              <w:rPr>
                <w:rStyle w:val="Hyperlink"/>
                <w:rFonts w:ascii="Arial" w:hAnsi="Arial" w:cs="Arial"/>
                <w:webHidden/>
              </w:rPr>
              <w:tab/>
            </w:r>
            <w:r w:rsidR="00214164" w:rsidRPr="00CB6D37">
              <w:rPr>
                <w:rStyle w:val="Hyperlink"/>
                <w:rFonts w:ascii="Arial" w:hAnsi="Arial" w:cs="Arial"/>
                <w:webHidden/>
              </w:rPr>
              <w:fldChar w:fldCharType="begin"/>
            </w:r>
            <w:r w:rsidR="00214164" w:rsidRPr="00CB6D37">
              <w:rPr>
                <w:rStyle w:val="Hyperlink"/>
                <w:rFonts w:ascii="Arial" w:hAnsi="Arial" w:cs="Arial"/>
                <w:webHidden/>
              </w:rPr>
              <w:instrText xml:space="preserve"> PAGEREF _Toc176826807 \h </w:instrText>
            </w:r>
            <w:r w:rsidR="00214164" w:rsidRPr="00CB6D37">
              <w:rPr>
                <w:rStyle w:val="Hyperlink"/>
                <w:rFonts w:ascii="Arial" w:hAnsi="Arial" w:cs="Arial"/>
                <w:webHidden/>
              </w:rPr>
            </w:r>
            <w:r w:rsidR="00214164" w:rsidRPr="00CB6D37">
              <w:rPr>
                <w:rStyle w:val="Hyperlink"/>
                <w:rFonts w:ascii="Arial" w:hAnsi="Arial" w:cs="Arial"/>
                <w:webHidden/>
              </w:rPr>
              <w:fldChar w:fldCharType="separate"/>
            </w:r>
            <w:r w:rsidR="005E0CAE" w:rsidRPr="00CB6D37">
              <w:rPr>
                <w:rStyle w:val="Hyperlink"/>
                <w:rFonts w:ascii="Arial" w:hAnsi="Arial" w:cs="Arial"/>
                <w:webHidden/>
              </w:rPr>
              <w:t>37</w:t>
            </w:r>
            <w:r w:rsidR="00214164" w:rsidRPr="00CB6D37">
              <w:rPr>
                <w:rStyle w:val="Hyperlink"/>
                <w:rFonts w:ascii="Arial" w:hAnsi="Arial" w:cs="Arial"/>
                <w:webHidden/>
              </w:rPr>
              <w:fldChar w:fldCharType="end"/>
            </w:r>
          </w:hyperlink>
        </w:p>
        <w:p w14:paraId="2F16E841" w14:textId="77777777" w:rsidR="00214164" w:rsidRPr="00CB6D37" w:rsidRDefault="00000000" w:rsidP="00BA05D2">
          <w:pPr>
            <w:pStyle w:val="TOC1"/>
            <w:rPr>
              <w:rStyle w:val="Hyperlink"/>
              <w:rFonts w:ascii="Arial" w:hAnsi="Arial" w:cs="Arial"/>
            </w:rPr>
          </w:pPr>
          <w:hyperlink w:anchor="_Toc176826808" w:history="1">
            <w:r w:rsidR="00214164" w:rsidRPr="00F32AF3">
              <w:rPr>
                <w:rStyle w:val="Hyperlink"/>
                <w:rFonts w:ascii="Arial" w:hAnsi="Arial" w:cs="Arial"/>
                <w:noProof/>
              </w:rPr>
              <w:t>Key Partnerships Established</w:t>
            </w:r>
            <w:r w:rsidR="00214164" w:rsidRPr="00CB6D37">
              <w:rPr>
                <w:rStyle w:val="Hyperlink"/>
                <w:rFonts w:ascii="Arial" w:hAnsi="Arial" w:cs="Arial"/>
                <w:webHidden/>
              </w:rPr>
              <w:tab/>
            </w:r>
            <w:r w:rsidR="00214164" w:rsidRPr="00CB6D37">
              <w:rPr>
                <w:rStyle w:val="Hyperlink"/>
                <w:rFonts w:ascii="Arial" w:hAnsi="Arial" w:cs="Arial"/>
                <w:webHidden/>
              </w:rPr>
              <w:fldChar w:fldCharType="begin"/>
            </w:r>
            <w:r w:rsidR="00214164" w:rsidRPr="00CB6D37">
              <w:rPr>
                <w:rStyle w:val="Hyperlink"/>
                <w:rFonts w:ascii="Arial" w:hAnsi="Arial" w:cs="Arial"/>
                <w:webHidden/>
              </w:rPr>
              <w:instrText xml:space="preserve"> PAGEREF _Toc176826808 \h </w:instrText>
            </w:r>
            <w:r w:rsidR="00214164" w:rsidRPr="00CB6D37">
              <w:rPr>
                <w:rStyle w:val="Hyperlink"/>
                <w:rFonts w:ascii="Arial" w:hAnsi="Arial" w:cs="Arial"/>
                <w:webHidden/>
              </w:rPr>
            </w:r>
            <w:r w:rsidR="00214164" w:rsidRPr="00CB6D37">
              <w:rPr>
                <w:rStyle w:val="Hyperlink"/>
                <w:rFonts w:ascii="Arial" w:hAnsi="Arial" w:cs="Arial"/>
                <w:webHidden/>
              </w:rPr>
              <w:fldChar w:fldCharType="separate"/>
            </w:r>
            <w:r w:rsidR="005E0CAE" w:rsidRPr="00CB6D37">
              <w:rPr>
                <w:rStyle w:val="Hyperlink"/>
                <w:rFonts w:ascii="Arial" w:hAnsi="Arial" w:cs="Arial"/>
                <w:webHidden/>
              </w:rPr>
              <w:t>38</w:t>
            </w:r>
            <w:r w:rsidR="00214164" w:rsidRPr="00CB6D37">
              <w:rPr>
                <w:rStyle w:val="Hyperlink"/>
                <w:rFonts w:ascii="Arial" w:hAnsi="Arial" w:cs="Arial"/>
                <w:webHidden/>
              </w:rPr>
              <w:fldChar w:fldCharType="end"/>
            </w:r>
          </w:hyperlink>
        </w:p>
        <w:p w14:paraId="1CD8C262" w14:textId="77777777" w:rsidR="00214164" w:rsidRDefault="00000000" w:rsidP="00BA05D2">
          <w:pPr>
            <w:pStyle w:val="TOC1"/>
            <w:rPr>
              <w:noProof/>
            </w:rPr>
          </w:pPr>
          <w:hyperlink w:anchor="_Toc176826809" w:history="1">
            <w:r w:rsidR="00214164" w:rsidRPr="00F32AF3">
              <w:rPr>
                <w:rStyle w:val="Hyperlink"/>
                <w:rFonts w:ascii="Arial" w:hAnsi="Arial" w:cs="Arial"/>
                <w:noProof/>
              </w:rPr>
              <w:t>Conclusions and Next Steps</w:t>
            </w:r>
            <w:r w:rsidR="00214164" w:rsidRPr="00CB6D37">
              <w:rPr>
                <w:rStyle w:val="Hyperlink"/>
                <w:rFonts w:ascii="Arial" w:hAnsi="Arial" w:cs="Arial"/>
                <w:webHidden/>
              </w:rPr>
              <w:tab/>
            </w:r>
            <w:r w:rsidR="00214164" w:rsidRPr="00CB6D37">
              <w:rPr>
                <w:rStyle w:val="Hyperlink"/>
                <w:rFonts w:ascii="Arial" w:hAnsi="Arial" w:cs="Arial"/>
                <w:webHidden/>
              </w:rPr>
              <w:fldChar w:fldCharType="begin"/>
            </w:r>
            <w:r w:rsidR="00214164" w:rsidRPr="00CB6D37">
              <w:rPr>
                <w:rStyle w:val="Hyperlink"/>
                <w:rFonts w:ascii="Arial" w:hAnsi="Arial" w:cs="Arial"/>
                <w:webHidden/>
              </w:rPr>
              <w:instrText xml:space="preserve"> PAGEREF _Toc176826809 \h </w:instrText>
            </w:r>
            <w:r w:rsidR="00214164" w:rsidRPr="00CB6D37">
              <w:rPr>
                <w:rStyle w:val="Hyperlink"/>
                <w:rFonts w:ascii="Arial" w:hAnsi="Arial" w:cs="Arial"/>
                <w:webHidden/>
              </w:rPr>
            </w:r>
            <w:r w:rsidR="00214164" w:rsidRPr="00CB6D37">
              <w:rPr>
                <w:rStyle w:val="Hyperlink"/>
                <w:rFonts w:ascii="Arial" w:hAnsi="Arial" w:cs="Arial"/>
                <w:webHidden/>
              </w:rPr>
              <w:fldChar w:fldCharType="separate"/>
            </w:r>
            <w:r w:rsidR="005E0CAE" w:rsidRPr="00CB6D37">
              <w:rPr>
                <w:rStyle w:val="Hyperlink"/>
                <w:rFonts w:ascii="Arial" w:hAnsi="Arial" w:cs="Arial"/>
                <w:webHidden/>
              </w:rPr>
              <w:t>40</w:t>
            </w:r>
            <w:r w:rsidR="00214164" w:rsidRPr="00CB6D37">
              <w:rPr>
                <w:rStyle w:val="Hyperlink"/>
                <w:rFonts w:ascii="Arial" w:hAnsi="Arial" w:cs="Arial"/>
                <w:webHidden/>
              </w:rPr>
              <w:fldChar w:fldCharType="end"/>
            </w:r>
          </w:hyperlink>
        </w:p>
        <w:p w14:paraId="42A5E8FE" w14:textId="77777777" w:rsidR="00214164" w:rsidRDefault="00214164">
          <w:r>
            <w:rPr>
              <w:b/>
              <w:bCs/>
              <w:noProof/>
            </w:rPr>
            <w:fldChar w:fldCharType="end"/>
          </w:r>
        </w:p>
      </w:sdtContent>
    </w:sdt>
    <w:p w14:paraId="71E8255F" w14:textId="77777777" w:rsidR="00E70DA1" w:rsidRDefault="00E70DA1" w:rsidP="00E70DA1">
      <w:pPr>
        <w:jc w:val="both"/>
        <w:rPr>
          <w:rFonts w:ascii="Times New Roman" w:hAnsi="Times New Roman" w:cs="Times New Roman"/>
          <w:b/>
          <w:bCs/>
          <w:sz w:val="24"/>
          <w:szCs w:val="24"/>
        </w:rPr>
      </w:pPr>
    </w:p>
    <w:p w14:paraId="71EEAA31" w14:textId="77777777" w:rsidR="00E70DA1" w:rsidRDefault="00E70DA1" w:rsidP="00E70DA1">
      <w:pPr>
        <w:jc w:val="both"/>
        <w:rPr>
          <w:rFonts w:ascii="Times New Roman" w:hAnsi="Times New Roman" w:cs="Times New Roman"/>
          <w:b/>
          <w:bCs/>
          <w:sz w:val="24"/>
          <w:szCs w:val="24"/>
        </w:rPr>
      </w:pPr>
    </w:p>
    <w:p w14:paraId="6C03FD3A" w14:textId="77777777" w:rsidR="00214164" w:rsidRDefault="00214164">
      <w:pPr>
        <w:rPr>
          <w:rFonts w:ascii="Times New Roman" w:hAnsi="Times New Roman" w:cs="Times New Roman"/>
          <w:b/>
          <w:bCs/>
          <w:sz w:val="24"/>
          <w:szCs w:val="24"/>
        </w:rPr>
      </w:pPr>
      <w:r>
        <w:rPr>
          <w:rFonts w:ascii="Times New Roman" w:hAnsi="Times New Roman" w:cs="Times New Roman"/>
          <w:b/>
          <w:bCs/>
          <w:sz w:val="24"/>
          <w:szCs w:val="24"/>
        </w:rPr>
        <w:br w:type="page"/>
      </w:r>
    </w:p>
    <w:p w14:paraId="70169BC5" w14:textId="77777777" w:rsidR="000F0BC1" w:rsidRPr="000F0BC1" w:rsidRDefault="0058275F" w:rsidP="000F0BC1">
      <w:pPr>
        <w:pStyle w:val="Heading1"/>
        <w:rPr>
          <w:rFonts w:ascii="Arial" w:hAnsi="Arial" w:cs="Arial"/>
          <w:color w:val="auto"/>
          <w:sz w:val="28"/>
          <w:szCs w:val="28"/>
        </w:rPr>
      </w:pPr>
      <w:bookmarkStart w:id="0" w:name="_Toc176826797"/>
      <w:r w:rsidRPr="00214164">
        <w:rPr>
          <w:rFonts w:ascii="Arial" w:hAnsi="Arial" w:cs="Arial"/>
          <w:color w:val="auto"/>
          <w:sz w:val="28"/>
          <w:szCs w:val="28"/>
        </w:rPr>
        <w:lastRenderedPageBreak/>
        <w:t xml:space="preserve">1. </w:t>
      </w:r>
      <w:bookmarkEnd w:id="0"/>
      <w:r w:rsidR="000F0BC1" w:rsidRPr="000F0BC1">
        <w:rPr>
          <w:rFonts w:ascii="Arial" w:hAnsi="Arial" w:cs="Arial"/>
          <w:color w:val="auto"/>
          <w:sz w:val="28"/>
          <w:szCs w:val="28"/>
        </w:rPr>
        <w:t>Catalyzing Transparency: Outputs and Objectives Alignment - Executive Summary</w:t>
      </w:r>
    </w:p>
    <w:p w14:paraId="2E62BE97" w14:textId="77777777" w:rsidR="00E70DA1" w:rsidRPr="00E70DA1" w:rsidRDefault="000F0BC1" w:rsidP="000F0BC1">
      <w:pPr>
        <w:jc w:val="both"/>
        <w:rPr>
          <w:rFonts w:ascii="Times New Roman" w:hAnsi="Times New Roman" w:cs="Times New Roman"/>
          <w:sz w:val="24"/>
          <w:szCs w:val="24"/>
        </w:rPr>
      </w:pPr>
      <w:r w:rsidRPr="000F0BC1">
        <w:rPr>
          <w:rFonts w:ascii="Times New Roman" w:hAnsi="Times New Roman" w:cs="Times New Roman"/>
          <w:sz w:val="24"/>
          <w:szCs w:val="24"/>
        </w:rPr>
        <w:t>The COST Action CA19130 on FinTech and AI in Finance was initiated in September 2020 to champion transparency within the financial sector, particularly regarding the adoption of financial technologies (FinTech) and artificial intelligence (AI). As these innovative technologies rapidly permeated the industry, concerns emerged surrounding opaque "black box" decision models, fraud detection limitations, and the lack of clarity in investment product performance reporting. To address these pressing challenges, this Action galvanized a pan-European network of researchers, industry experts, and policymakers to collaboratively develop cutting-edge methods, models, and guidelines that elevate transparency standards across financial services.</w:t>
      </w:r>
      <w:r w:rsidR="002676A0">
        <w:rPr>
          <w:rFonts w:ascii="Times New Roman" w:hAnsi="Times New Roman" w:cs="Times New Roman"/>
          <w:sz w:val="24"/>
          <w:szCs w:val="24"/>
        </w:rPr>
        <w:t xml:space="preserve"> </w:t>
      </w:r>
      <w:r w:rsidRPr="000F0BC1">
        <w:rPr>
          <w:rFonts w:ascii="Times New Roman" w:hAnsi="Times New Roman" w:cs="Times New Roman"/>
          <w:sz w:val="24"/>
          <w:szCs w:val="24"/>
        </w:rPr>
        <w:t>This annual report encapsulates the activities, accomplishments, and impacts realized during the penultimate year of the Action, spanning November 2022 to October 2023. It comprehensively summarizes pivotal achievements in research advancement, public engagement initiatives, and capacity-building endeavors undertaken during this critical phase. The report elucidates how these multifaceted efforts, executed over the past 12 months, have propelled the Action's mission of catalyzing a more transparent financial ecosystem imbued with ethical FinTech and AI integration. Structured for accessibility, the report caters to a broad audience by providing an overarching perspective complemented by intricate technical insights into the network's diligent undertakings throughout this period.</w:t>
      </w:r>
    </w:p>
    <w:p w14:paraId="1D368199" w14:textId="77777777" w:rsidR="00E70DA1" w:rsidRPr="00E70DA1" w:rsidRDefault="00E70DA1" w:rsidP="00E70DA1">
      <w:pPr>
        <w:jc w:val="both"/>
        <w:rPr>
          <w:rFonts w:ascii="Times New Roman" w:hAnsi="Times New Roman" w:cs="Times New Roman"/>
          <w:sz w:val="24"/>
          <w:szCs w:val="24"/>
        </w:rPr>
      </w:pPr>
      <w:r w:rsidRPr="00E70DA1">
        <w:rPr>
          <w:rFonts w:ascii="Times New Roman" w:hAnsi="Times New Roman" w:cs="Times New Roman"/>
          <w:b/>
          <w:bCs/>
          <w:sz w:val="24"/>
          <w:szCs w:val="24"/>
        </w:rPr>
        <w:t>1.1 Overview of Key Achievements (202</w:t>
      </w:r>
      <w:r w:rsidR="002676A0">
        <w:rPr>
          <w:rFonts w:ascii="Times New Roman" w:hAnsi="Times New Roman" w:cs="Times New Roman"/>
          <w:b/>
          <w:bCs/>
          <w:sz w:val="24"/>
          <w:szCs w:val="24"/>
        </w:rPr>
        <w:t>2</w:t>
      </w:r>
      <w:r w:rsidRPr="00E70DA1">
        <w:rPr>
          <w:rFonts w:ascii="Times New Roman" w:hAnsi="Times New Roman" w:cs="Times New Roman"/>
          <w:b/>
          <w:bCs/>
          <w:sz w:val="24"/>
          <w:szCs w:val="24"/>
        </w:rPr>
        <w:t>-202</w:t>
      </w:r>
      <w:r w:rsidR="002676A0">
        <w:rPr>
          <w:rFonts w:ascii="Times New Roman" w:hAnsi="Times New Roman" w:cs="Times New Roman"/>
          <w:b/>
          <w:bCs/>
          <w:sz w:val="24"/>
          <w:szCs w:val="24"/>
        </w:rPr>
        <w:t>3</w:t>
      </w:r>
      <w:r w:rsidRPr="00E70DA1">
        <w:rPr>
          <w:rFonts w:ascii="Times New Roman" w:hAnsi="Times New Roman" w:cs="Times New Roman"/>
          <w:b/>
          <w:bCs/>
          <w:sz w:val="24"/>
          <w:szCs w:val="24"/>
        </w:rPr>
        <w:t>)</w:t>
      </w:r>
    </w:p>
    <w:p w14:paraId="4F167CC9" w14:textId="77777777" w:rsidR="009A4B83" w:rsidRDefault="009A4B83" w:rsidP="009A4B83">
      <w:pPr>
        <w:jc w:val="both"/>
        <w:rPr>
          <w:rFonts w:ascii="Times New Roman" w:hAnsi="Times New Roman" w:cs="Times New Roman"/>
          <w:sz w:val="24"/>
          <w:szCs w:val="24"/>
        </w:rPr>
      </w:pPr>
      <w:r w:rsidRPr="009A4B83">
        <w:rPr>
          <w:rFonts w:ascii="Times New Roman" w:hAnsi="Times New Roman" w:cs="Times New Roman"/>
          <w:sz w:val="24"/>
          <w:szCs w:val="24"/>
        </w:rPr>
        <w:t xml:space="preserve">The COST Action CA19130 FinTech and Artificial Intelligence in Finance has made significant strides </w:t>
      </w:r>
      <w:r w:rsidR="002676A0">
        <w:rPr>
          <w:rFonts w:ascii="Times New Roman" w:hAnsi="Times New Roman" w:cs="Times New Roman"/>
          <w:sz w:val="24"/>
          <w:szCs w:val="24"/>
        </w:rPr>
        <w:t>in the period from November 2022</w:t>
      </w:r>
      <w:r w:rsidRPr="009A4B83">
        <w:rPr>
          <w:rFonts w:ascii="Times New Roman" w:hAnsi="Times New Roman" w:cs="Times New Roman"/>
          <w:sz w:val="24"/>
          <w:szCs w:val="24"/>
        </w:rPr>
        <w:t xml:space="preserve"> to </w:t>
      </w:r>
      <w:r w:rsidR="002676A0">
        <w:rPr>
          <w:rFonts w:ascii="Times New Roman" w:hAnsi="Times New Roman" w:cs="Times New Roman"/>
          <w:sz w:val="24"/>
          <w:szCs w:val="24"/>
        </w:rPr>
        <w:t>October 2023</w:t>
      </w:r>
      <w:r w:rsidRPr="009A4B83">
        <w:rPr>
          <w:rFonts w:ascii="Times New Roman" w:hAnsi="Times New Roman" w:cs="Times New Roman"/>
          <w:sz w:val="24"/>
          <w:szCs w:val="24"/>
        </w:rPr>
        <w:t>, contributing to the advancement of transparency, accountability, and trustworthiness in the convergence of FinTech and AI within the financial sector. The key achievements during this period are as follows:</w:t>
      </w:r>
    </w:p>
    <w:p w14:paraId="2CBDF952" w14:textId="77777777" w:rsidR="002676A0" w:rsidRPr="002676A0" w:rsidRDefault="002676A0" w:rsidP="009D4D37">
      <w:pPr>
        <w:pStyle w:val="ListParagraph"/>
        <w:numPr>
          <w:ilvl w:val="0"/>
          <w:numId w:val="15"/>
        </w:numPr>
        <w:jc w:val="both"/>
        <w:rPr>
          <w:rFonts w:ascii="Times New Roman" w:hAnsi="Times New Roman" w:cs="Times New Roman"/>
          <w:sz w:val="24"/>
          <w:szCs w:val="24"/>
        </w:rPr>
      </w:pPr>
      <w:r w:rsidRPr="002676A0">
        <w:rPr>
          <w:rFonts w:ascii="Times New Roman" w:hAnsi="Times New Roman" w:cs="Times New Roman"/>
          <w:sz w:val="24"/>
          <w:szCs w:val="24"/>
        </w:rPr>
        <w:t xml:space="preserve">Advancing Transparent Modeling and Digital Asset Evaluation (GAPGs 1-2) Significant research efforts were dedicated to developing </w:t>
      </w:r>
      <w:proofErr w:type="spellStart"/>
      <w:r w:rsidRPr="002676A0">
        <w:rPr>
          <w:rFonts w:ascii="Times New Roman" w:hAnsi="Times New Roman" w:cs="Times New Roman"/>
          <w:sz w:val="24"/>
          <w:szCs w:val="24"/>
        </w:rPr>
        <w:t>backtesting</w:t>
      </w:r>
      <w:proofErr w:type="spellEnd"/>
      <w:r w:rsidRPr="002676A0">
        <w:rPr>
          <w:rFonts w:ascii="Times New Roman" w:hAnsi="Times New Roman" w:cs="Times New Roman"/>
          <w:sz w:val="24"/>
          <w:szCs w:val="24"/>
        </w:rPr>
        <w:t xml:space="preserve"> frameworks and evaluating AI models under dynamic financial conditions. Researchers explored methodologies to assess the reliability and transparency of black-box models, aiming to establish guidelines for their appropriate use or replacement with more interpretable alternatives. Additionally, publications focused on testing novel AI techniques tailored for the finance domain, contributing to the development of conceptual and methodological tools aligning with Secondary Objectives 2, 7, 8, and 10.</w:t>
      </w:r>
    </w:p>
    <w:p w14:paraId="0F129183" w14:textId="77777777" w:rsidR="002676A0" w:rsidRPr="002676A0" w:rsidRDefault="002676A0" w:rsidP="009D4D37">
      <w:pPr>
        <w:pStyle w:val="ListParagraph"/>
        <w:numPr>
          <w:ilvl w:val="0"/>
          <w:numId w:val="15"/>
        </w:numPr>
        <w:jc w:val="both"/>
        <w:rPr>
          <w:rFonts w:ascii="Times New Roman" w:hAnsi="Times New Roman" w:cs="Times New Roman"/>
          <w:sz w:val="24"/>
          <w:szCs w:val="24"/>
        </w:rPr>
      </w:pPr>
      <w:r w:rsidRPr="002676A0">
        <w:rPr>
          <w:rFonts w:ascii="Times New Roman" w:hAnsi="Times New Roman" w:cs="Times New Roman"/>
          <w:sz w:val="24"/>
          <w:szCs w:val="24"/>
        </w:rPr>
        <w:t xml:space="preserve">Disseminating Research on Investment Strategies and Performance (GAPG 3) Through presentations and dissemination activities, the Action shared its findings on </w:t>
      </w:r>
      <w:proofErr w:type="spellStart"/>
      <w:r w:rsidRPr="002676A0">
        <w:rPr>
          <w:rFonts w:ascii="Times New Roman" w:hAnsi="Times New Roman" w:cs="Times New Roman"/>
          <w:sz w:val="24"/>
          <w:szCs w:val="24"/>
        </w:rPr>
        <w:t>backtesting</w:t>
      </w:r>
      <w:proofErr w:type="spellEnd"/>
      <w:r w:rsidRPr="002676A0">
        <w:rPr>
          <w:rFonts w:ascii="Times New Roman" w:hAnsi="Times New Roman" w:cs="Times New Roman"/>
          <w:sz w:val="24"/>
          <w:szCs w:val="24"/>
        </w:rPr>
        <w:t xml:space="preserve"> investment strategies, performance explanation/attribution methodologies, and synthetic data generation techniques. These efforts not only advanced the understanding of investment product evaluation but also contributed to the creation of a European platform for comparing the out-of-sample performance of various financial products, as outlined in Secondary Objectives 2, 4, 5, 6, and 15.</w:t>
      </w:r>
    </w:p>
    <w:p w14:paraId="56651672" w14:textId="77777777" w:rsidR="002676A0" w:rsidRPr="002676A0" w:rsidRDefault="002676A0" w:rsidP="009D4D37">
      <w:pPr>
        <w:pStyle w:val="ListParagraph"/>
        <w:numPr>
          <w:ilvl w:val="0"/>
          <w:numId w:val="15"/>
        </w:numPr>
        <w:jc w:val="both"/>
        <w:rPr>
          <w:rFonts w:ascii="Times New Roman" w:hAnsi="Times New Roman" w:cs="Times New Roman"/>
          <w:sz w:val="24"/>
          <w:szCs w:val="24"/>
        </w:rPr>
      </w:pPr>
      <w:r w:rsidRPr="002676A0">
        <w:rPr>
          <w:rFonts w:ascii="Times New Roman" w:hAnsi="Times New Roman" w:cs="Times New Roman"/>
          <w:sz w:val="24"/>
          <w:szCs w:val="24"/>
        </w:rPr>
        <w:t xml:space="preserve">Exploring Digital Assets and ESG Integration (GAPG 4) Researchers published works on investment and hedging strategies for cryptocurrencies and digital assets, as well as traditional </w:t>
      </w:r>
      <w:r w:rsidRPr="002676A0">
        <w:rPr>
          <w:rFonts w:ascii="Times New Roman" w:hAnsi="Times New Roman" w:cs="Times New Roman"/>
          <w:sz w:val="24"/>
          <w:szCs w:val="24"/>
        </w:rPr>
        <w:lastRenderedPageBreak/>
        <w:t>assets that incorporate Environmental, Social, and Governance (ESG) criteria. These publications aimed to provide insights into emerging asset classes and responsible investment practices, aligning with Secondary Objectives 5 and 15.</w:t>
      </w:r>
    </w:p>
    <w:p w14:paraId="7F1AF4AB" w14:textId="77777777" w:rsidR="002676A0" w:rsidRPr="002676A0" w:rsidRDefault="002676A0" w:rsidP="009D4D37">
      <w:pPr>
        <w:pStyle w:val="ListParagraph"/>
        <w:numPr>
          <w:ilvl w:val="0"/>
          <w:numId w:val="15"/>
        </w:numPr>
        <w:jc w:val="both"/>
        <w:rPr>
          <w:rFonts w:ascii="Times New Roman" w:hAnsi="Times New Roman" w:cs="Times New Roman"/>
          <w:sz w:val="24"/>
          <w:szCs w:val="24"/>
        </w:rPr>
      </w:pPr>
      <w:r w:rsidRPr="002676A0">
        <w:rPr>
          <w:rFonts w:ascii="Times New Roman" w:hAnsi="Times New Roman" w:cs="Times New Roman"/>
          <w:sz w:val="24"/>
          <w:szCs w:val="24"/>
        </w:rPr>
        <w:t xml:space="preserve">Promoting Diversity and Inclusion in AI and FinTech (GAPGs 5-7) The Action recognized the importance of diversity and inclusion by publishing works that tackle these issues in the context of AI and FinTech. Ongoing publications focused on topics such as </w:t>
      </w:r>
      <w:proofErr w:type="spellStart"/>
      <w:r w:rsidRPr="002676A0">
        <w:rPr>
          <w:rFonts w:ascii="Times New Roman" w:hAnsi="Times New Roman" w:cs="Times New Roman"/>
          <w:sz w:val="24"/>
          <w:szCs w:val="24"/>
        </w:rPr>
        <w:t>datathons</w:t>
      </w:r>
      <w:proofErr w:type="spellEnd"/>
      <w:r w:rsidRPr="002676A0">
        <w:rPr>
          <w:rFonts w:ascii="Times New Roman" w:hAnsi="Times New Roman" w:cs="Times New Roman"/>
          <w:sz w:val="24"/>
          <w:szCs w:val="24"/>
        </w:rPr>
        <w:t>, financial literacy, and the representation of women in editorial boards of financial journals. Additionally, the Action involved associations with a diversity focus, contributing to Secondary Objectives 9, 11, 15, and 16, which emphasize bridging gaps, establishing an inclusive research community, and improving gender equality.</w:t>
      </w:r>
    </w:p>
    <w:p w14:paraId="48293B7B" w14:textId="77777777" w:rsidR="002676A0" w:rsidRPr="002676A0" w:rsidRDefault="002676A0" w:rsidP="009D4D37">
      <w:pPr>
        <w:pStyle w:val="ListParagraph"/>
        <w:numPr>
          <w:ilvl w:val="0"/>
          <w:numId w:val="15"/>
        </w:numPr>
        <w:jc w:val="both"/>
        <w:rPr>
          <w:rFonts w:ascii="Times New Roman" w:hAnsi="Times New Roman" w:cs="Times New Roman"/>
          <w:sz w:val="24"/>
          <w:szCs w:val="24"/>
        </w:rPr>
      </w:pPr>
      <w:r w:rsidRPr="002676A0">
        <w:rPr>
          <w:rFonts w:ascii="Times New Roman" w:hAnsi="Times New Roman" w:cs="Times New Roman"/>
          <w:sz w:val="24"/>
          <w:szCs w:val="24"/>
        </w:rPr>
        <w:t xml:space="preserve">Documenting and Disseminating Achievements (GAPGs 8-10) To facilitate knowledge sharing and impact, </w:t>
      </w:r>
      <w:proofErr w:type="gramStart"/>
      <w:r w:rsidRPr="002676A0">
        <w:rPr>
          <w:rFonts w:ascii="Times New Roman" w:hAnsi="Times New Roman" w:cs="Times New Roman"/>
          <w:sz w:val="24"/>
          <w:szCs w:val="24"/>
        </w:rPr>
        <w:t>the Action</w:t>
      </w:r>
      <w:proofErr w:type="gramEnd"/>
      <w:r w:rsidRPr="002676A0">
        <w:rPr>
          <w:rFonts w:ascii="Times New Roman" w:hAnsi="Times New Roman" w:cs="Times New Roman"/>
          <w:sz w:val="24"/>
          <w:szCs w:val="24"/>
        </w:rPr>
        <w:t xml:space="preserve"> produced an annual report and an edited volume encapsulating its key achievements. These publications not only documented the progress made but also served as platforms for disseminating results to the scientific community, policymakers, and the general public. Furthermore, efforts were made to actively involve policymakers and share findings with regulatory bodies, aligning with Secondary Objectives 5, 8, 9, and 10, which focus on knowledge transfer, bridging academia-industry-regulator gaps, and disseminating results.</w:t>
      </w:r>
    </w:p>
    <w:p w14:paraId="70DBC528" w14:textId="77777777" w:rsidR="002676A0" w:rsidRPr="002676A0" w:rsidRDefault="002676A0" w:rsidP="009D4D37">
      <w:pPr>
        <w:pStyle w:val="ListParagraph"/>
        <w:numPr>
          <w:ilvl w:val="0"/>
          <w:numId w:val="15"/>
        </w:numPr>
        <w:jc w:val="both"/>
        <w:rPr>
          <w:rFonts w:ascii="Times New Roman" w:hAnsi="Times New Roman" w:cs="Times New Roman"/>
          <w:sz w:val="24"/>
          <w:szCs w:val="24"/>
        </w:rPr>
      </w:pPr>
      <w:r w:rsidRPr="002676A0">
        <w:rPr>
          <w:rFonts w:ascii="Times New Roman" w:hAnsi="Times New Roman" w:cs="Times New Roman"/>
          <w:sz w:val="24"/>
          <w:szCs w:val="24"/>
        </w:rPr>
        <w:t>Robust Dissemination and Community Building (GAPG 11) Underpinning the Action's objectives, a concerted effort was made to disseminate the results of its activities to various stakeholders, including the scientific community, European institutions, and the general public. This comprehensive dissemination strategy not only raised awareness about the importance of transparency in finance but also fostered the establishment of a large, interconnected community across academia, public institutions, and industry, directly addressing the Action's primary objective.</w:t>
      </w:r>
    </w:p>
    <w:p w14:paraId="3A2789D1" w14:textId="77777777" w:rsidR="009A4B83" w:rsidRPr="009A4B83" w:rsidRDefault="009A4B83" w:rsidP="002676A0">
      <w:pPr>
        <w:jc w:val="both"/>
        <w:rPr>
          <w:rFonts w:ascii="Times New Roman" w:hAnsi="Times New Roman" w:cs="Times New Roman"/>
          <w:sz w:val="24"/>
          <w:szCs w:val="24"/>
        </w:rPr>
      </w:pPr>
      <w:r w:rsidRPr="009A4B83">
        <w:rPr>
          <w:rFonts w:ascii="Times New Roman" w:hAnsi="Times New Roman" w:cs="Times New Roman"/>
          <w:sz w:val="24"/>
          <w:szCs w:val="24"/>
        </w:rPr>
        <w:t>These key achievements demonstrate the significant progress made by the COST Action CA19130 in advancing the understanding, transparency, and responsible implementation of AI in the financial sector. The collaborative efforts have fostered knowledge exchange, capacity building, and stakeholder engagement, positioning the Action as a driving force in shaping the future of FinTech and AI integration.</w:t>
      </w:r>
    </w:p>
    <w:p w14:paraId="19DEDB30" w14:textId="77777777" w:rsidR="00620F40" w:rsidRDefault="00620F40" w:rsidP="00AB7859">
      <w:pPr>
        <w:jc w:val="both"/>
        <w:rPr>
          <w:rFonts w:ascii="Times New Roman" w:hAnsi="Times New Roman" w:cs="Times New Roman"/>
          <w:sz w:val="24"/>
          <w:szCs w:val="24"/>
        </w:rPr>
      </w:pPr>
    </w:p>
    <w:p w14:paraId="158B8620" w14:textId="77777777" w:rsidR="00620F40" w:rsidRPr="00620F40" w:rsidRDefault="00620F40" w:rsidP="00620F40">
      <w:pPr>
        <w:jc w:val="both"/>
        <w:rPr>
          <w:rFonts w:ascii="Times New Roman" w:hAnsi="Times New Roman" w:cs="Times New Roman"/>
          <w:b/>
          <w:sz w:val="24"/>
          <w:szCs w:val="24"/>
        </w:rPr>
      </w:pPr>
      <w:r w:rsidRPr="00620F40">
        <w:rPr>
          <w:rFonts w:ascii="Times New Roman" w:hAnsi="Times New Roman" w:cs="Times New Roman"/>
          <w:b/>
          <w:sz w:val="24"/>
          <w:szCs w:val="24"/>
        </w:rPr>
        <w:t xml:space="preserve">1.2 Strategic Goals and Objectives for </w:t>
      </w:r>
      <w:r w:rsidR="002676A0" w:rsidRPr="002676A0">
        <w:rPr>
          <w:rFonts w:ascii="Times New Roman" w:hAnsi="Times New Roman" w:cs="Times New Roman"/>
          <w:b/>
          <w:sz w:val="24"/>
          <w:szCs w:val="24"/>
        </w:rPr>
        <w:t>November 2022 to October 2023</w:t>
      </w:r>
    </w:p>
    <w:p w14:paraId="24A52A41" w14:textId="77777777" w:rsidR="00620F40" w:rsidRPr="00620F40" w:rsidRDefault="00620F40" w:rsidP="00620F40">
      <w:pPr>
        <w:jc w:val="both"/>
        <w:rPr>
          <w:rFonts w:ascii="Times New Roman" w:hAnsi="Times New Roman" w:cs="Times New Roman"/>
          <w:sz w:val="24"/>
          <w:szCs w:val="24"/>
        </w:rPr>
      </w:pPr>
      <w:r w:rsidRPr="00620F40">
        <w:rPr>
          <w:rFonts w:ascii="Times New Roman" w:hAnsi="Times New Roman" w:cs="Times New Roman"/>
          <w:sz w:val="24"/>
          <w:szCs w:val="24"/>
        </w:rPr>
        <w:t xml:space="preserve">For the period from </w:t>
      </w:r>
      <w:r w:rsidR="002676A0" w:rsidRPr="002676A0">
        <w:rPr>
          <w:rFonts w:ascii="Times New Roman" w:hAnsi="Times New Roman" w:cs="Times New Roman"/>
          <w:sz w:val="24"/>
          <w:szCs w:val="24"/>
        </w:rPr>
        <w:t>November 2022 to October 2023</w:t>
      </w:r>
      <w:r w:rsidRPr="00620F40">
        <w:rPr>
          <w:rFonts w:ascii="Times New Roman" w:hAnsi="Times New Roman" w:cs="Times New Roman"/>
          <w:sz w:val="24"/>
          <w:szCs w:val="24"/>
        </w:rPr>
        <w:t>, the COST Action CA19130 FinTech and Artificial Intelligence in Finance set forth the following strategic goals and objectives:</w:t>
      </w:r>
    </w:p>
    <w:p w14:paraId="6F52D507" w14:textId="77777777" w:rsidR="002676A0" w:rsidRPr="002676A0" w:rsidRDefault="002676A0" w:rsidP="002676A0">
      <w:pPr>
        <w:jc w:val="both"/>
        <w:rPr>
          <w:rFonts w:ascii="Times New Roman" w:hAnsi="Times New Roman" w:cs="Times New Roman"/>
          <w:sz w:val="24"/>
          <w:szCs w:val="24"/>
        </w:rPr>
      </w:pPr>
      <w:r w:rsidRPr="002676A0">
        <w:rPr>
          <w:rFonts w:ascii="Times New Roman" w:hAnsi="Times New Roman" w:cs="Times New Roman"/>
          <w:sz w:val="24"/>
          <w:szCs w:val="24"/>
        </w:rPr>
        <w:t>he penultimate year of COST Action CA19130, spanning November 2022 to October 2023, was a pivotal phase dedicated to advancing critical research objectives, fostering collaborative partnerships, and amplifying the dissemination of knowledge within the realms of FinTech and AI. The strategic priorities for this period were meticulously aligned with the overarching mission of enhancing transparency, reliability, and interpretability in financial systems through the responsible integration of cutting-edge technologies.</w:t>
      </w:r>
    </w:p>
    <w:p w14:paraId="57C37071" w14:textId="77777777" w:rsidR="002676A0" w:rsidRPr="002676A0" w:rsidRDefault="002676A0" w:rsidP="002676A0">
      <w:pPr>
        <w:jc w:val="both"/>
        <w:rPr>
          <w:rFonts w:ascii="Times New Roman" w:hAnsi="Times New Roman" w:cs="Times New Roman"/>
          <w:sz w:val="24"/>
          <w:szCs w:val="24"/>
        </w:rPr>
      </w:pPr>
    </w:p>
    <w:p w14:paraId="7FBD8579" w14:textId="77777777" w:rsidR="002676A0" w:rsidRPr="002676A0" w:rsidRDefault="002676A0" w:rsidP="002676A0">
      <w:pPr>
        <w:jc w:val="both"/>
        <w:rPr>
          <w:rFonts w:ascii="Times New Roman" w:hAnsi="Times New Roman" w:cs="Times New Roman"/>
          <w:sz w:val="24"/>
          <w:szCs w:val="24"/>
        </w:rPr>
      </w:pPr>
      <w:r w:rsidRPr="002676A0">
        <w:rPr>
          <w:rFonts w:ascii="Times New Roman" w:hAnsi="Times New Roman" w:cs="Times New Roman"/>
          <w:sz w:val="24"/>
          <w:szCs w:val="24"/>
        </w:rPr>
        <w:t>Driving Pioneering Re</w:t>
      </w:r>
      <w:r>
        <w:rPr>
          <w:rFonts w:ascii="Times New Roman" w:hAnsi="Times New Roman" w:cs="Times New Roman"/>
          <w:sz w:val="24"/>
          <w:szCs w:val="24"/>
        </w:rPr>
        <w:t xml:space="preserve">search on Transparent AI </w:t>
      </w:r>
      <w:proofErr w:type="spellStart"/>
      <w:proofErr w:type="gramStart"/>
      <w:r>
        <w:rPr>
          <w:rFonts w:ascii="Times New Roman" w:hAnsi="Times New Roman" w:cs="Times New Roman"/>
          <w:sz w:val="24"/>
          <w:szCs w:val="24"/>
        </w:rPr>
        <w:t>Models,d</w:t>
      </w:r>
      <w:r w:rsidRPr="002676A0">
        <w:rPr>
          <w:rFonts w:ascii="Times New Roman" w:hAnsi="Times New Roman" w:cs="Times New Roman"/>
          <w:sz w:val="24"/>
          <w:szCs w:val="24"/>
        </w:rPr>
        <w:t>uring</w:t>
      </w:r>
      <w:proofErr w:type="spellEnd"/>
      <w:proofErr w:type="gramEnd"/>
      <w:r w:rsidRPr="002676A0">
        <w:rPr>
          <w:rFonts w:ascii="Times New Roman" w:hAnsi="Times New Roman" w:cs="Times New Roman"/>
          <w:sz w:val="24"/>
          <w:szCs w:val="24"/>
        </w:rPr>
        <w:t xml:space="preserve"> this period, researchers intensified their efforts to develop innovative methodologies and tools that could demystify opaque "black-box" AI models employed in financial decision-making processes. The Action's Working Group on Transparent versus Black Box Models in the Financial Industry (WG2) spearheaded the creation of groundbreaking prototypes aimed at improving the interpretability of these complex models, thereby bolstering trust and accountability within automated financial systems.</w:t>
      </w:r>
    </w:p>
    <w:p w14:paraId="24B67EC6" w14:textId="77777777" w:rsidR="002676A0" w:rsidRPr="002676A0" w:rsidRDefault="002676A0" w:rsidP="002676A0">
      <w:pPr>
        <w:jc w:val="both"/>
        <w:rPr>
          <w:rFonts w:ascii="Times New Roman" w:hAnsi="Times New Roman" w:cs="Times New Roman"/>
          <w:sz w:val="24"/>
          <w:szCs w:val="24"/>
        </w:rPr>
      </w:pPr>
      <w:r w:rsidRPr="002676A0">
        <w:rPr>
          <w:rFonts w:ascii="Times New Roman" w:hAnsi="Times New Roman" w:cs="Times New Roman"/>
          <w:sz w:val="24"/>
          <w:szCs w:val="24"/>
        </w:rPr>
        <w:t>Fostering Synergistic Collaborations with I</w:t>
      </w:r>
      <w:r>
        <w:rPr>
          <w:rFonts w:ascii="Times New Roman" w:hAnsi="Times New Roman" w:cs="Times New Roman"/>
          <w:sz w:val="24"/>
          <w:szCs w:val="24"/>
        </w:rPr>
        <w:t xml:space="preserve">ndustry and Regulatory </w:t>
      </w:r>
      <w:proofErr w:type="spellStart"/>
      <w:proofErr w:type="gramStart"/>
      <w:r>
        <w:rPr>
          <w:rFonts w:ascii="Times New Roman" w:hAnsi="Times New Roman" w:cs="Times New Roman"/>
          <w:sz w:val="24"/>
          <w:szCs w:val="24"/>
        </w:rPr>
        <w:t>Entities,r</w:t>
      </w:r>
      <w:r w:rsidRPr="002676A0">
        <w:rPr>
          <w:rFonts w:ascii="Times New Roman" w:hAnsi="Times New Roman" w:cs="Times New Roman"/>
          <w:sz w:val="24"/>
          <w:szCs w:val="24"/>
        </w:rPr>
        <w:t>ecognizing</w:t>
      </w:r>
      <w:proofErr w:type="spellEnd"/>
      <w:proofErr w:type="gramEnd"/>
      <w:r w:rsidRPr="002676A0">
        <w:rPr>
          <w:rFonts w:ascii="Times New Roman" w:hAnsi="Times New Roman" w:cs="Times New Roman"/>
          <w:sz w:val="24"/>
          <w:szCs w:val="24"/>
        </w:rPr>
        <w:t xml:space="preserve"> the paramount importance of bridging the gap between academia, industry, and policymakers, the Action forged strategic partnerships with prominent organizations such as ING Group and the European Central Bank. These collaborative endeavors facilitated the co-development of practical AI solutions tailored for financial risk management, enabling the refinement of cutting-edge tools and models while ensuring their relevance and applicability in real-world financial settings.</w:t>
      </w:r>
    </w:p>
    <w:p w14:paraId="082A49AD" w14:textId="77777777" w:rsidR="002676A0" w:rsidRPr="002676A0" w:rsidRDefault="002676A0" w:rsidP="002676A0">
      <w:pPr>
        <w:jc w:val="both"/>
        <w:rPr>
          <w:rFonts w:ascii="Times New Roman" w:hAnsi="Times New Roman" w:cs="Times New Roman"/>
          <w:sz w:val="24"/>
          <w:szCs w:val="24"/>
        </w:rPr>
      </w:pPr>
      <w:r w:rsidRPr="002676A0">
        <w:rPr>
          <w:rFonts w:ascii="Times New Roman" w:hAnsi="Times New Roman" w:cs="Times New Roman"/>
          <w:sz w:val="24"/>
          <w:szCs w:val="24"/>
        </w:rPr>
        <w:t>Catalyzing Multidisciplinary Discou</w:t>
      </w:r>
      <w:r>
        <w:rPr>
          <w:rFonts w:ascii="Times New Roman" w:hAnsi="Times New Roman" w:cs="Times New Roman"/>
          <w:sz w:val="24"/>
          <w:szCs w:val="24"/>
        </w:rPr>
        <w:t>rse through High-Impact Events t</w:t>
      </w:r>
      <w:r w:rsidRPr="002676A0">
        <w:rPr>
          <w:rFonts w:ascii="Times New Roman" w:hAnsi="Times New Roman" w:cs="Times New Roman"/>
          <w:sz w:val="24"/>
          <w:szCs w:val="24"/>
        </w:rPr>
        <w:t>o foster a vibrant exchange of ideas and perspectives, the Action organized several influential gatherings, including workshops in Italy and Romania. These events brought together leading experts from diverse backgrounds, encompassing academia, industry, and policymaking spheres. These multidisciplinary forums facilitated in-depth discussions on the challenges and opportunities presented by the integration of AI in finance, fostering cross-pollination of knowledge and driving innovation.</w:t>
      </w:r>
    </w:p>
    <w:p w14:paraId="595919DC" w14:textId="77777777" w:rsidR="002676A0" w:rsidRPr="002676A0" w:rsidRDefault="002676A0" w:rsidP="002676A0">
      <w:pPr>
        <w:jc w:val="both"/>
        <w:rPr>
          <w:rFonts w:ascii="Times New Roman" w:hAnsi="Times New Roman" w:cs="Times New Roman"/>
          <w:sz w:val="24"/>
          <w:szCs w:val="24"/>
        </w:rPr>
      </w:pPr>
      <w:r w:rsidRPr="002676A0">
        <w:rPr>
          <w:rFonts w:ascii="Times New Roman" w:hAnsi="Times New Roman" w:cs="Times New Roman"/>
          <w:sz w:val="24"/>
          <w:szCs w:val="24"/>
        </w:rPr>
        <w:t>Nurturing an Inclusive</w:t>
      </w:r>
      <w:r>
        <w:rPr>
          <w:rFonts w:ascii="Times New Roman" w:hAnsi="Times New Roman" w:cs="Times New Roman"/>
          <w:sz w:val="24"/>
          <w:szCs w:val="24"/>
        </w:rPr>
        <w:t xml:space="preserve"> and Diverse Research Community r</w:t>
      </w:r>
      <w:r w:rsidRPr="002676A0">
        <w:rPr>
          <w:rFonts w:ascii="Times New Roman" w:hAnsi="Times New Roman" w:cs="Times New Roman"/>
          <w:sz w:val="24"/>
          <w:szCs w:val="24"/>
        </w:rPr>
        <w:t>ecognizing the pivotal role of diversity in fostering excellence, the Action implemented initiatives such as the "Women in Fintech and AI" event. These efforts aimed to empower female researchers and ensure their active participation in AI and financial research, thereby enhancing the overall quality, creativity, and inclusiveness of the field. By embracing diverse perspectives, the Action contributed to the cultivation of a more equitable and impactful research community.</w:t>
      </w:r>
    </w:p>
    <w:p w14:paraId="4A41E69C" w14:textId="77777777" w:rsidR="002676A0" w:rsidRPr="002676A0" w:rsidRDefault="002676A0" w:rsidP="002676A0">
      <w:pPr>
        <w:jc w:val="both"/>
        <w:rPr>
          <w:rFonts w:ascii="Times New Roman" w:hAnsi="Times New Roman" w:cs="Times New Roman"/>
          <w:sz w:val="24"/>
          <w:szCs w:val="24"/>
        </w:rPr>
      </w:pPr>
      <w:r w:rsidRPr="002676A0">
        <w:rPr>
          <w:rFonts w:ascii="Times New Roman" w:hAnsi="Times New Roman" w:cs="Times New Roman"/>
          <w:sz w:val="24"/>
          <w:szCs w:val="24"/>
        </w:rPr>
        <w:t>Amplifying Disse</w:t>
      </w:r>
      <w:r>
        <w:rPr>
          <w:rFonts w:ascii="Times New Roman" w:hAnsi="Times New Roman" w:cs="Times New Roman"/>
          <w:sz w:val="24"/>
          <w:szCs w:val="24"/>
        </w:rPr>
        <w:t>mination and Knowledge Sharing p</w:t>
      </w:r>
      <w:r w:rsidRPr="002676A0">
        <w:rPr>
          <w:rFonts w:ascii="Times New Roman" w:hAnsi="Times New Roman" w:cs="Times New Roman"/>
          <w:sz w:val="24"/>
          <w:szCs w:val="24"/>
        </w:rPr>
        <w:t>ivotal to the Action's mission was the extensive dissemination of its research findings and outputs through a multitude of channels. This included the publication of over 100 co-authored scholarly works, as well as the development of dedicated online platforms focused on explainable AI in finance. These dissemination efforts ensured that the newly generated knowledge reached a broad audience, spanning academic researchers, industry professionals, policymakers, and the general public, thereby maximizing its impact and facilitating informed decision-making across diverse stakeholder groups.</w:t>
      </w:r>
    </w:p>
    <w:p w14:paraId="5D38D8C5" w14:textId="77777777" w:rsidR="0020611E" w:rsidRPr="00620F40" w:rsidRDefault="002676A0" w:rsidP="002676A0">
      <w:pPr>
        <w:jc w:val="both"/>
        <w:rPr>
          <w:rFonts w:ascii="Times New Roman" w:hAnsi="Times New Roman" w:cs="Times New Roman"/>
          <w:sz w:val="24"/>
          <w:szCs w:val="24"/>
        </w:rPr>
      </w:pPr>
      <w:r w:rsidRPr="002676A0">
        <w:rPr>
          <w:rFonts w:ascii="Times New Roman" w:hAnsi="Times New Roman" w:cs="Times New Roman"/>
          <w:sz w:val="24"/>
          <w:szCs w:val="24"/>
        </w:rPr>
        <w:t xml:space="preserve">Through its multifaceted endeavors during this penultimate year, COST Action CA19130 solidified its position at the forefront of research on AI in finance, making significant contributions to both the scientific community and practical applications within the industry, while paving the way for continued advancements in the years to </w:t>
      </w:r>
      <w:proofErr w:type="spellStart"/>
      <w:r w:rsidRPr="002676A0">
        <w:rPr>
          <w:rFonts w:ascii="Times New Roman" w:hAnsi="Times New Roman" w:cs="Times New Roman"/>
          <w:sz w:val="24"/>
          <w:szCs w:val="24"/>
        </w:rPr>
        <w:t>come.</w:t>
      </w:r>
      <w:r w:rsidR="0020611E" w:rsidRPr="0020611E">
        <w:rPr>
          <w:rFonts w:ascii="Times New Roman" w:hAnsi="Times New Roman" w:cs="Times New Roman"/>
          <w:sz w:val="24"/>
          <w:szCs w:val="24"/>
        </w:rPr>
        <w:t>Through</w:t>
      </w:r>
      <w:proofErr w:type="spellEnd"/>
      <w:r w:rsidR="0020611E" w:rsidRPr="0020611E">
        <w:rPr>
          <w:rFonts w:ascii="Times New Roman" w:hAnsi="Times New Roman" w:cs="Times New Roman"/>
          <w:sz w:val="24"/>
          <w:szCs w:val="24"/>
        </w:rPr>
        <w:t xml:space="preserve"> these concerted efforts, COST Action CA19130 has made significant strides in achieving its objectives, fostering collaborations, and contributing to the development of transparent and responsible FinTech and AI solutions for the financial sector.</w:t>
      </w:r>
    </w:p>
    <w:p w14:paraId="68E0DF32" w14:textId="77777777" w:rsidR="00BA7B71" w:rsidRPr="00BA7B71" w:rsidRDefault="00BA7B71" w:rsidP="00BA7B71">
      <w:pPr>
        <w:jc w:val="both"/>
        <w:rPr>
          <w:rFonts w:ascii="Times New Roman" w:eastAsiaTheme="majorEastAsia" w:hAnsi="Times New Roman" w:cs="Times New Roman"/>
          <w:sz w:val="24"/>
          <w:szCs w:val="24"/>
        </w:rPr>
      </w:pPr>
      <w:r w:rsidRPr="00BA7B71">
        <w:rPr>
          <w:rFonts w:ascii="Times New Roman" w:eastAsiaTheme="majorEastAsia" w:hAnsi="Times New Roman" w:cs="Times New Roman"/>
          <w:sz w:val="24"/>
          <w:szCs w:val="24"/>
        </w:rPr>
        <w:lastRenderedPageBreak/>
        <w:t>The culminating year of COST Action CA19130 witnessed a concerted effort to foster capacity building and knowledge exchange across diverse disciplines, recognizing the pivotal role of multidisciplinary collaboration in driving innovation within the realms of FinTech and Artificial Intelligence (AI). The achievements in this domain can be categorized into three primary areas:</w:t>
      </w:r>
    </w:p>
    <w:p w14:paraId="15DF7502" w14:textId="332FAF28" w:rsidR="00BA7B71" w:rsidRPr="00BA7B71" w:rsidRDefault="00BA7B71" w:rsidP="009D4D37">
      <w:pPr>
        <w:numPr>
          <w:ilvl w:val="0"/>
          <w:numId w:val="16"/>
        </w:numPr>
        <w:jc w:val="both"/>
        <w:rPr>
          <w:rFonts w:ascii="Times New Roman" w:eastAsiaTheme="majorEastAsia" w:hAnsi="Times New Roman" w:cs="Times New Roman"/>
          <w:sz w:val="24"/>
          <w:szCs w:val="24"/>
        </w:rPr>
      </w:pPr>
      <w:r w:rsidRPr="00BA7B71">
        <w:rPr>
          <w:rFonts w:ascii="Times New Roman" w:eastAsiaTheme="majorEastAsia" w:hAnsi="Times New Roman" w:cs="Times New Roman"/>
          <w:sz w:val="24"/>
          <w:szCs w:val="24"/>
        </w:rPr>
        <w:t>Nurturing the Next Generation of Researchers:</w:t>
      </w:r>
      <w:r w:rsidR="00B52C93">
        <w:rPr>
          <w:rFonts w:ascii="Times New Roman" w:eastAsiaTheme="majorEastAsia" w:hAnsi="Times New Roman" w:cs="Times New Roman"/>
          <w:sz w:val="24"/>
          <w:szCs w:val="24"/>
        </w:rPr>
        <w:t xml:space="preserve"> </w:t>
      </w:r>
      <w:proofErr w:type="gramStart"/>
      <w:r w:rsidRPr="00BA7B71">
        <w:rPr>
          <w:rFonts w:ascii="Times New Roman" w:eastAsiaTheme="majorEastAsia" w:hAnsi="Times New Roman" w:cs="Times New Roman"/>
          <w:sz w:val="24"/>
          <w:szCs w:val="24"/>
        </w:rPr>
        <w:t>The Action</w:t>
      </w:r>
      <w:proofErr w:type="gramEnd"/>
      <w:r w:rsidRPr="00BA7B71">
        <w:rPr>
          <w:rFonts w:ascii="Times New Roman" w:eastAsiaTheme="majorEastAsia" w:hAnsi="Times New Roman" w:cs="Times New Roman"/>
          <w:sz w:val="24"/>
          <w:szCs w:val="24"/>
        </w:rPr>
        <w:t xml:space="preserve"> remained steadfast in its commitment to nurturing the development of early-career researchers and fostering an inclusive research environment. To this end, three specialized training schools were organized, each focusing on the latest advancements and methodologies in AI and FinTech. These immersive educational initiatives placed a deliberate emphasis on encouraging the participation of underrepresented groups, thereby contributing to the cultivation of a more diverse and equitable research community.</w:t>
      </w:r>
    </w:p>
    <w:p w14:paraId="38987A29" w14:textId="77777777" w:rsidR="00BA7B71" w:rsidRPr="00BA7B71" w:rsidRDefault="00BA7B71" w:rsidP="009D4D37">
      <w:pPr>
        <w:numPr>
          <w:ilvl w:val="0"/>
          <w:numId w:val="16"/>
        </w:numPr>
        <w:jc w:val="both"/>
        <w:rPr>
          <w:rFonts w:ascii="Times New Roman" w:eastAsiaTheme="majorEastAsia" w:hAnsi="Times New Roman" w:cs="Times New Roman"/>
          <w:sz w:val="24"/>
          <w:szCs w:val="24"/>
        </w:rPr>
      </w:pPr>
      <w:r w:rsidRPr="00BA7B71">
        <w:rPr>
          <w:rFonts w:ascii="Times New Roman" w:eastAsiaTheme="majorEastAsia" w:hAnsi="Times New Roman" w:cs="Times New Roman"/>
          <w:sz w:val="24"/>
          <w:szCs w:val="24"/>
        </w:rPr>
        <w:t>Facilitating Cross-Pollination of Ideas through Collaborative Platforms:</w:t>
      </w:r>
      <w:r w:rsidRPr="00BA7B71">
        <w:rPr>
          <w:rFonts w:ascii="Times New Roman" w:eastAsiaTheme="majorEastAsia" w:hAnsi="Times New Roman" w:cs="Times New Roman"/>
          <w:sz w:val="24"/>
          <w:szCs w:val="24"/>
        </w:rPr>
        <w:br/>
        <w:t>Recognizing the invaluable insights that can emerge from interdisciplinary discourse, the Action established a series of collaborative platforms that brought together experts from various domains, including academia, industry, and policymaking spheres. These interactive forums facilitated the exchange of ideas, perspectives, and best practices, fostering a dynamic ecosystem conducive to innovation and the co-creation of practical solutions.</w:t>
      </w:r>
    </w:p>
    <w:p w14:paraId="4C9345B8" w14:textId="685E456D" w:rsidR="00BA7B71" w:rsidRPr="00BA7B71" w:rsidRDefault="00BA7B71" w:rsidP="009D4D37">
      <w:pPr>
        <w:numPr>
          <w:ilvl w:val="0"/>
          <w:numId w:val="16"/>
        </w:numPr>
        <w:jc w:val="both"/>
        <w:rPr>
          <w:rFonts w:ascii="Times New Roman" w:eastAsiaTheme="majorEastAsia" w:hAnsi="Times New Roman" w:cs="Times New Roman"/>
          <w:sz w:val="24"/>
          <w:szCs w:val="24"/>
        </w:rPr>
      </w:pPr>
      <w:r w:rsidRPr="00BA7B71">
        <w:rPr>
          <w:rFonts w:ascii="Times New Roman" w:eastAsiaTheme="majorEastAsia" w:hAnsi="Times New Roman" w:cs="Times New Roman"/>
          <w:sz w:val="24"/>
          <w:szCs w:val="24"/>
        </w:rPr>
        <w:t>Empowering Knowledge Dissemination and Public Engagement:</w:t>
      </w:r>
      <w:r w:rsidR="00DF6E0E">
        <w:rPr>
          <w:rFonts w:ascii="Times New Roman" w:eastAsiaTheme="majorEastAsia" w:hAnsi="Times New Roman" w:cs="Times New Roman"/>
          <w:sz w:val="24"/>
          <w:szCs w:val="24"/>
        </w:rPr>
        <w:t xml:space="preserve"> </w:t>
      </w:r>
      <w:r w:rsidRPr="00BA7B71">
        <w:rPr>
          <w:rFonts w:ascii="Times New Roman" w:eastAsiaTheme="majorEastAsia" w:hAnsi="Times New Roman" w:cs="Times New Roman"/>
          <w:sz w:val="24"/>
          <w:szCs w:val="24"/>
        </w:rPr>
        <w:t xml:space="preserve">To maximize the impact of its research endeavors, </w:t>
      </w:r>
      <w:proofErr w:type="gramStart"/>
      <w:r w:rsidRPr="00BA7B71">
        <w:rPr>
          <w:rFonts w:ascii="Times New Roman" w:eastAsiaTheme="majorEastAsia" w:hAnsi="Times New Roman" w:cs="Times New Roman"/>
          <w:sz w:val="24"/>
          <w:szCs w:val="24"/>
        </w:rPr>
        <w:t>the Action</w:t>
      </w:r>
      <w:proofErr w:type="gramEnd"/>
      <w:r w:rsidRPr="00BA7B71">
        <w:rPr>
          <w:rFonts w:ascii="Times New Roman" w:eastAsiaTheme="majorEastAsia" w:hAnsi="Times New Roman" w:cs="Times New Roman"/>
          <w:sz w:val="24"/>
          <w:szCs w:val="24"/>
        </w:rPr>
        <w:t xml:space="preserve"> implemented a comprehensive strategy to amplify the dissemination of knowledge across diverse stakeholder groups. This included the publication of numerous scholarly works, policy briefs, and the development of dedicated online platforms. Furthermore, concerted efforts were made to engage with the general public, fostering a deeper understanding of the transformative potential of FinTech and AI while addressing potential concerns and ethical considerations.</w:t>
      </w:r>
    </w:p>
    <w:p w14:paraId="48E680FB" w14:textId="77777777" w:rsidR="00BA7B71" w:rsidRPr="00BA7B71" w:rsidRDefault="00BA7B71" w:rsidP="00BA7B71">
      <w:pPr>
        <w:jc w:val="both"/>
        <w:rPr>
          <w:rFonts w:ascii="Times New Roman" w:eastAsiaTheme="majorEastAsia" w:hAnsi="Times New Roman" w:cs="Times New Roman"/>
          <w:sz w:val="24"/>
          <w:szCs w:val="24"/>
        </w:rPr>
      </w:pPr>
      <w:r w:rsidRPr="00BA7B71">
        <w:rPr>
          <w:rFonts w:ascii="Times New Roman" w:eastAsiaTheme="majorEastAsia" w:hAnsi="Times New Roman" w:cs="Times New Roman"/>
          <w:sz w:val="24"/>
          <w:szCs w:val="24"/>
        </w:rPr>
        <w:t>Through these multifaceted initiatives, COST Action CA19130 played a pivotal role in building capacity and facilitating knowledge transfer across disciplines. By nurturing the next generation of researchers, fostering collaborative platforms, and empowering knowledge dissemination, the Action contributed to the establishment of a robust and interconnected community capable of driving innovation and shaping the future of FinTech and AI.</w:t>
      </w:r>
    </w:p>
    <w:p w14:paraId="4DEEEE8E" w14:textId="77777777" w:rsidR="008E6D2A" w:rsidRPr="008E6D2A" w:rsidRDefault="008E6D2A" w:rsidP="008E6D2A">
      <w:pPr>
        <w:jc w:val="both"/>
        <w:rPr>
          <w:rFonts w:ascii="Times New Roman" w:hAnsi="Times New Roman" w:cs="Times New Roman"/>
          <w:sz w:val="28"/>
          <w:szCs w:val="28"/>
        </w:rPr>
      </w:pPr>
      <w:r w:rsidRPr="008E6D2A">
        <w:rPr>
          <w:rFonts w:ascii="Arial" w:hAnsi="Arial" w:cs="Arial"/>
          <w:color w:val="000000"/>
          <w:sz w:val="28"/>
          <w:szCs w:val="28"/>
        </w:rPr>
        <w:t>1.3 Key Outcomes and Real-World Impact</w:t>
      </w:r>
      <w:r w:rsidR="00BA7B71" w:rsidRPr="008E6D2A">
        <w:rPr>
          <w:rFonts w:ascii="Times New Roman" w:hAnsi="Times New Roman" w:cs="Times New Roman"/>
          <w:sz w:val="28"/>
          <w:szCs w:val="28"/>
        </w:rPr>
        <w:t xml:space="preserve"> </w:t>
      </w:r>
    </w:p>
    <w:p w14:paraId="6242A177" w14:textId="77777777" w:rsidR="008E6D2A" w:rsidRPr="008E6D2A" w:rsidRDefault="00BA7B71" w:rsidP="008E6D2A">
      <w:pPr>
        <w:jc w:val="both"/>
        <w:rPr>
          <w:rFonts w:ascii="Times New Roman" w:hAnsi="Times New Roman" w:cs="Times New Roman"/>
          <w:sz w:val="24"/>
          <w:szCs w:val="24"/>
        </w:rPr>
      </w:pPr>
      <w:r w:rsidRPr="00BA7B71">
        <w:rPr>
          <w:rFonts w:ascii="Times New Roman" w:hAnsi="Times New Roman" w:cs="Times New Roman"/>
          <w:sz w:val="24"/>
          <w:szCs w:val="24"/>
        </w:rPr>
        <w:t xml:space="preserve">During the </w:t>
      </w:r>
      <w:r w:rsidR="008E6D2A">
        <w:rPr>
          <w:rFonts w:ascii="Times New Roman" w:hAnsi="Times New Roman" w:cs="Times New Roman"/>
          <w:sz w:val="24"/>
          <w:szCs w:val="24"/>
        </w:rPr>
        <w:t xml:space="preserve">2022-2023 </w:t>
      </w:r>
      <w:r w:rsidRPr="00BA7B71">
        <w:rPr>
          <w:rFonts w:ascii="Times New Roman" w:hAnsi="Times New Roman" w:cs="Times New Roman"/>
          <w:sz w:val="24"/>
          <w:szCs w:val="24"/>
        </w:rPr>
        <w:t xml:space="preserve">year of COST Action CA19130, the Action achieved several significant outcomes that advanced research, fostered collaboration, and promoted transparency in FinTech and AI. </w:t>
      </w:r>
      <w:r w:rsidR="008E6D2A" w:rsidRPr="008E6D2A">
        <w:rPr>
          <w:rFonts w:ascii="Times New Roman" w:hAnsi="Times New Roman" w:cs="Times New Roman"/>
          <w:sz w:val="24"/>
          <w:szCs w:val="24"/>
        </w:rPr>
        <w:t>In the final year of COST Actions CA19130, the Action achieved several key results that significantly contributed to the promotion of research, collaboration and transparency in FinTech and AI. These achievements can be grouped into three main areas:</w:t>
      </w:r>
    </w:p>
    <w:p w14:paraId="313930F1" w14:textId="77777777" w:rsidR="008E6D2A" w:rsidRPr="008E6D2A" w:rsidRDefault="008E6D2A" w:rsidP="008E6D2A">
      <w:pPr>
        <w:jc w:val="both"/>
        <w:rPr>
          <w:rFonts w:ascii="Times New Roman" w:hAnsi="Times New Roman" w:cs="Times New Roman"/>
          <w:b/>
          <w:sz w:val="24"/>
          <w:szCs w:val="24"/>
        </w:rPr>
      </w:pPr>
      <w:r w:rsidRPr="008E6D2A">
        <w:rPr>
          <w:rFonts w:ascii="Times New Roman" w:hAnsi="Times New Roman" w:cs="Times New Roman"/>
          <w:b/>
          <w:sz w:val="24"/>
          <w:szCs w:val="24"/>
        </w:rPr>
        <w:t>Research and Innovation</w:t>
      </w:r>
    </w:p>
    <w:p w14:paraId="7A1757CD" w14:textId="77777777" w:rsidR="008E6D2A" w:rsidRPr="008E6D2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Major Impact Workshops and Conferences</w:t>
      </w:r>
      <w:r>
        <w:rPr>
          <w:rFonts w:ascii="Times New Roman" w:hAnsi="Times New Roman" w:cs="Times New Roman"/>
          <w:sz w:val="24"/>
          <w:szCs w:val="24"/>
        </w:rPr>
        <w:t xml:space="preserve">, </w:t>
      </w:r>
      <w:r w:rsidRPr="008E6D2A">
        <w:rPr>
          <w:rFonts w:ascii="Times New Roman" w:hAnsi="Times New Roman" w:cs="Times New Roman"/>
          <w:sz w:val="24"/>
          <w:szCs w:val="24"/>
        </w:rPr>
        <w:t xml:space="preserve">9 meetings, with a total budget of EUR 117,889.40, in locations such as Cluj-Napoca, Pavia, Brussels, Winterthur, Lisboa, Dublin, Helsinki and Bern. </w:t>
      </w:r>
      <w:r w:rsidRPr="008E6D2A">
        <w:rPr>
          <w:rFonts w:ascii="Times New Roman" w:hAnsi="Times New Roman" w:cs="Times New Roman"/>
          <w:sz w:val="24"/>
          <w:szCs w:val="24"/>
        </w:rPr>
        <w:lastRenderedPageBreak/>
        <w:t>These events brought together between 40 and 120 participants and provided platforms to debate the latest research, challenges and innovations in AI and finance, facilitating cross-sector dialogue and collaboration.</w:t>
      </w:r>
    </w:p>
    <w:p w14:paraId="6C9053E6" w14:textId="77777777" w:rsidR="008E6D2A" w:rsidRPr="008E6D2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Training schools for connecting academia and industry:</w:t>
      </w:r>
      <w:r>
        <w:rPr>
          <w:rFonts w:ascii="Times New Roman" w:hAnsi="Times New Roman" w:cs="Times New Roman"/>
          <w:sz w:val="24"/>
          <w:szCs w:val="24"/>
        </w:rPr>
        <w:t xml:space="preserve"> </w:t>
      </w:r>
      <w:r w:rsidRPr="008E6D2A">
        <w:rPr>
          <w:rFonts w:ascii="Times New Roman" w:hAnsi="Times New Roman" w:cs="Times New Roman"/>
          <w:sz w:val="24"/>
          <w:szCs w:val="24"/>
        </w:rPr>
        <w:t>4 training schools were organized with a total budget of EUR 58,594.00 in locations such as Berlin, Tirana, Enschede and Naples. These schools attracted between 10 and 40 trainees and were focused on advanced statistical modelling, data science and AI for funding, helping to bridge the gap between academic research and practical industry applications.</w:t>
      </w:r>
    </w:p>
    <w:p w14:paraId="77EF8547" w14:textId="77777777" w:rsidR="008E6D2A" w:rsidRPr="008E6D2A" w:rsidRDefault="008E6D2A" w:rsidP="008E6D2A">
      <w:pPr>
        <w:jc w:val="both"/>
        <w:rPr>
          <w:rFonts w:ascii="Times New Roman" w:hAnsi="Times New Roman" w:cs="Times New Roman"/>
          <w:b/>
          <w:sz w:val="24"/>
          <w:szCs w:val="24"/>
        </w:rPr>
      </w:pPr>
      <w:r w:rsidRPr="008E6D2A">
        <w:rPr>
          <w:rFonts w:ascii="Times New Roman" w:hAnsi="Times New Roman" w:cs="Times New Roman"/>
          <w:b/>
          <w:sz w:val="24"/>
          <w:szCs w:val="24"/>
        </w:rPr>
        <w:t>Capacity building and knowledge sharing</w:t>
      </w:r>
    </w:p>
    <w:p w14:paraId="3AD8F632" w14:textId="77777777" w:rsidR="008E6D2A" w:rsidRPr="008E6D2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Mobility grants for researchers:</w:t>
      </w:r>
      <w:r>
        <w:rPr>
          <w:rFonts w:ascii="Times New Roman" w:hAnsi="Times New Roman" w:cs="Times New Roman"/>
          <w:sz w:val="24"/>
          <w:szCs w:val="24"/>
        </w:rPr>
        <w:t xml:space="preserve"> </w:t>
      </w:r>
      <w:r w:rsidRPr="008E6D2A">
        <w:rPr>
          <w:rFonts w:ascii="Times New Roman" w:hAnsi="Times New Roman" w:cs="Times New Roman"/>
          <w:sz w:val="24"/>
          <w:szCs w:val="24"/>
        </w:rPr>
        <w:t>To support knowledge sharing and collaboration, the Action has allocated €14,000 for Short Term Science Mission (STSM) grants and €29,300 for Virtual Mobility (VM) grants. These grants facilitated the mobility and collaboration of researchers, allowing them to work together with the common research goal.</w:t>
      </w:r>
    </w:p>
    <w:p w14:paraId="3069AA51" w14:textId="77777777" w:rsidR="008E6D2A" w:rsidRPr="008E6D2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Promoting Diversity and Inclusion in FinTech:</w:t>
      </w:r>
      <w:r>
        <w:rPr>
          <w:rFonts w:ascii="Times New Roman" w:hAnsi="Times New Roman" w:cs="Times New Roman"/>
          <w:sz w:val="24"/>
          <w:szCs w:val="24"/>
        </w:rPr>
        <w:t xml:space="preserve"> </w:t>
      </w:r>
      <w:r w:rsidRPr="008E6D2A">
        <w:rPr>
          <w:rFonts w:ascii="Times New Roman" w:hAnsi="Times New Roman" w:cs="Times New Roman"/>
          <w:sz w:val="24"/>
          <w:szCs w:val="24"/>
        </w:rPr>
        <w:t>Action continued to promote inclusion through events such as diversity and stakeholder engagement workshops.</w:t>
      </w:r>
    </w:p>
    <w:p w14:paraId="60B7AA35" w14:textId="77777777" w:rsidR="008E6D2A" w:rsidRPr="008E6D2A" w:rsidRDefault="008E6D2A" w:rsidP="008E6D2A">
      <w:pPr>
        <w:jc w:val="both"/>
        <w:rPr>
          <w:rFonts w:ascii="Times New Roman" w:hAnsi="Times New Roman" w:cs="Times New Roman"/>
          <w:b/>
          <w:sz w:val="24"/>
          <w:szCs w:val="24"/>
        </w:rPr>
      </w:pPr>
      <w:r w:rsidRPr="008E6D2A">
        <w:rPr>
          <w:rFonts w:ascii="Times New Roman" w:hAnsi="Times New Roman" w:cs="Times New Roman"/>
          <w:b/>
          <w:sz w:val="24"/>
          <w:szCs w:val="24"/>
        </w:rPr>
        <w:t>Dissemination and promotion</w:t>
      </w:r>
    </w:p>
    <w:p w14:paraId="0109A9B8" w14:textId="77777777" w:rsidR="008E6D2A" w:rsidRPr="008E6D2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Improved communication and dissemination efforts:</w:t>
      </w:r>
      <w:r>
        <w:rPr>
          <w:rFonts w:ascii="Times New Roman" w:hAnsi="Times New Roman" w:cs="Times New Roman"/>
          <w:sz w:val="24"/>
          <w:szCs w:val="24"/>
        </w:rPr>
        <w:t xml:space="preserve"> </w:t>
      </w:r>
      <w:r w:rsidRPr="008E6D2A">
        <w:rPr>
          <w:rFonts w:ascii="Times New Roman" w:hAnsi="Times New Roman" w:cs="Times New Roman"/>
          <w:sz w:val="24"/>
          <w:szCs w:val="24"/>
        </w:rPr>
        <w:t>With a budget of €2,500 allocated to the development of the actions website, a central platform for sharing research results and event updates was developed. Combined with the €2,000 budget for dissemination grants at third party conferences, this helped to increase the visibility of Actions work.</w:t>
      </w:r>
    </w:p>
    <w:p w14:paraId="6AC0B1FC" w14:textId="77777777" w:rsidR="008E6D2A" w:rsidRPr="008E6D2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Effective management of financial resources for scientific activities:</w:t>
      </w:r>
      <w:r>
        <w:rPr>
          <w:rFonts w:ascii="Times New Roman" w:hAnsi="Times New Roman" w:cs="Times New Roman"/>
          <w:sz w:val="24"/>
          <w:szCs w:val="24"/>
        </w:rPr>
        <w:t xml:space="preserve"> </w:t>
      </w:r>
      <w:r w:rsidRPr="008E6D2A">
        <w:rPr>
          <w:rFonts w:ascii="Times New Roman" w:hAnsi="Times New Roman" w:cs="Times New Roman"/>
          <w:sz w:val="24"/>
          <w:szCs w:val="24"/>
        </w:rPr>
        <w:t>The Action managed its financial resources efficiently, with EUR 224,283.40 allocated to scientific expenses and EUR 33,642.51 to financial and scientific administration and coordination, out of a total grant of EUR 257,925.91. This careful allocation ensured the sup</w:t>
      </w:r>
      <w:r>
        <w:rPr>
          <w:rFonts w:ascii="Times New Roman" w:hAnsi="Times New Roman" w:cs="Times New Roman"/>
          <w:sz w:val="24"/>
          <w:szCs w:val="24"/>
        </w:rPr>
        <w:t>port of the planned activities.</w:t>
      </w:r>
    </w:p>
    <w:p w14:paraId="7D790EF3" w14:textId="77777777" w:rsidR="00B94702" w:rsidRPr="003F5A4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 xml:space="preserve">These achievements reflect the significant progress made by COST Action CA19130 in promoting transparency, collaboration and innovation in financial technologies and artificial intelligence across Europe in 2022-2023. </w:t>
      </w:r>
      <w:r w:rsidR="00B94702" w:rsidRPr="00B94702">
        <w:rPr>
          <w:rFonts w:ascii="Times New Roman" w:hAnsi="Times New Roman" w:cs="Times New Roman"/>
          <w:sz w:val="24"/>
          <w:szCs w:val="24"/>
        </w:rPr>
        <w:t>This careful allocation of resources has ensured that the Action can support a diverse range of activities, from research meetings and training schools to public engagement and outreach efforts, thereby maximizing its impact in the field of FinTech and AI.</w:t>
      </w:r>
      <w:r w:rsidR="00B94702">
        <w:rPr>
          <w:rFonts w:ascii="Times New Roman" w:hAnsi="Times New Roman" w:cs="Times New Roman"/>
          <w:sz w:val="24"/>
          <w:szCs w:val="24"/>
        </w:rPr>
        <w:t xml:space="preserve"> </w:t>
      </w:r>
      <w:r w:rsidR="00B94702" w:rsidRPr="00B94702">
        <w:rPr>
          <w:rFonts w:ascii="Times New Roman" w:hAnsi="Times New Roman" w:cs="Times New Roman"/>
          <w:sz w:val="24"/>
          <w:szCs w:val="24"/>
        </w:rPr>
        <w:t>Through these key achievements, COST Action CA19130 has made important strides in promoting transparency, collaboration and innovation in financial technologies and artificial intelligence across Europe, positioning itself as a driving force in this rapidly evolving field.</w:t>
      </w:r>
      <w:r w:rsidR="00B94702">
        <w:rPr>
          <w:rFonts w:ascii="Times New Roman" w:hAnsi="Times New Roman" w:cs="Times New Roman"/>
          <w:sz w:val="24"/>
          <w:szCs w:val="24"/>
        </w:rPr>
        <w:t xml:space="preserve"> </w:t>
      </w:r>
      <w:r w:rsidR="003F5A4A" w:rsidRPr="003F5A4A">
        <w:rPr>
          <w:rFonts w:ascii="Times New Roman" w:hAnsi="Times New Roman" w:cs="Times New Roman"/>
          <w:sz w:val="24"/>
          <w:szCs w:val="24"/>
        </w:rPr>
        <w:t>These capacity-building and knowledge exchange initiatives contributed significantly to advancing research, fostering interdisciplinary collaboration, and promoting transparency in FinTech and AI within the financial sector.</w:t>
      </w:r>
      <w:r w:rsidR="00B94702" w:rsidRPr="00B94702">
        <w:t xml:space="preserve"> </w:t>
      </w:r>
      <w:r w:rsidR="00B94702" w:rsidRPr="00B94702">
        <w:rPr>
          <w:rFonts w:ascii="Times New Roman" w:hAnsi="Times New Roman" w:cs="Times New Roman"/>
          <w:sz w:val="24"/>
          <w:szCs w:val="24"/>
        </w:rPr>
        <w:t>These achievements reflect the significant progress made by COST Action CA19130 in promoting transparency, collaboration and innovation in financial technologies and artificial intelligence across Europe.</w:t>
      </w:r>
    </w:p>
    <w:p w14:paraId="283F75FE" w14:textId="77777777" w:rsidR="00D74FEC" w:rsidRPr="00624751" w:rsidRDefault="00624751" w:rsidP="00624751">
      <w:pPr>
        <w:rPr>
          <w:rFonts w:ascii="Times New Roman" w:hAnsi="Times New Roman" w:cs="Times New Roman"/>
          <w:b/>
          <w:sz w:val="24"/>
          <w:szCs w:val="24"/>
        </w:rPr>
      </w:pPr>
      <w:r w:rsidRPr="00624751">
        <w:rPr>
          <w:b/>
        </w:rPr>
        <w:t xml:space="preserve"> </w:t>
      </w:r>
      <w:r w:rsidR="00F807A6" w:rsidRPr="00624751">
        <w:rPr>
          <w:rFonts w:ascii="Times New Roman" w:hAnsi="Times New Roman" w:cs="Times New Roman"/>
          <w:b/>
          <w:sz w:val="24"/>
          <w:szCs w:val="24"/>
        </w:rPr>
        <w:t>Key Outcomes and Real-World Impact</w:t>
      </w:r>
    </w:p>
    <w:p w14:paraId="259E528A" w14:textId="77777777" w:rsidR="00D74FEC" w:rsidRPr="00D74FEC" w:rsidRDefault="00586A54" w:rsidP="00D74FEC">
      <w:pPr>
        <w:jc w:val="both"/>
        <w:rPr>
          <w:rFonts w:ascii="Times New Roman" w:hAnsi="Times New Roman" w:cs="Times New Roman"/>
          <w:sz w:val="24"/>
          <w:szCs w:val="24"/>
        </w:rPr>
      </w:pPr>
      <w:r w:rsidRPr="00620F40">
        <w:rPr>
          <w:rFonts w:ascii="Times New Roman" w:hAnsi="Times New Roman" w:cs="Times New Roman"/>
          <w:sz w:val="24"/>
          <w:szCs w:val="24"/>
        </w:rPr>
        <w:lastRenderedPageBreak/>
        <w:t>For the period from November 2021 to May 2022</w:t>
      </w:r>
      <w:r>
        <w:rPr>
          <w:rFonts w:ascii="Times New Roman" w:hAnsi="Times New Roman" w:cs="Times New Roman"/>
          <w:sz w:val="24"/>
          <w:szCs w:val="24"/>
        </w:rPr>
        <w:t xml:space="preserve">, </w:t>
      </w:r>
      <w:r w:rsidR="00D74FEC" w:rsidRPr="00D74FEC">
        <w:rPr>
          <w:rFonts w:ascii="Times New Roman" w:hAnsi="Times New Roman" w:cs="Times New Roman"/>
          <w:sz w:val="24"/>
          <w:szCs w:val="24"/>
        </w:rPr>
        <w:t>of COST Action CA19130, several challenges arose that required adaptive strategies to ensure successful project outcomes. These challenges, together with the implemented solutions, are grouped into the following main categories:</w:t>
      </w:r>
    </w:p>
    <w:p w14:paraId="45D133A0" w14:textId="77777777" w:rsidR="008E6D2A" w:rsidRPr="008E6D2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Based on the information in the work plan and budget annex for the period 01/11/2022 - 31/10/2023, here is a summary of the financial and logistical challenges, coordination of research and training, as well as dissemination and engagement, accompanied by the solutions adopted by Action COST CA19130:</w:t>
      </w:r>
    </w:p>
    <w:p w14:paraId="05B66382" w14:textId="77777777" w:rsidR="008E6D2A" w:rsidRPr="008E6D2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Finan</w:t>
      </w:r>
      <w:r>
        <w:rPr>
          <w:rFonts w:ascii="Times New Roman" w:hAnsi="Times New Roman" w:cs="Times New Roman"/>
          <w:sz w:val="24"/>
          <w:szCs w:val="24"/>
        </w:rPr>
        <w:t>cial and logistical challenges: o</w:t>
      </w:r>
      <w:r w:rsidRPr="008E6D2A">
        <w:rPr>
          <w:rFonts w:ascii="Times New Roman" w:hAnsi="Times New Roman" w:cs="Times New Roman"/>
          <w:sz w:val="24"/>
          <w:szCs w:val="24"/>
        </w:rPr>
        <w:t>rganizing 10 major events such as workshops, conferences and business meetings in different locations across Europe represented a significant financial and logistical challenge. The action adopted a cost-sharing approach with a focus on hybrid participation to stay within the allocated €117,889.40 meeting budget, maximizing participation while maintaining the quality of the events. For example, the workshop "Models for data analysis and integration for artificial intelligence" in Naples, Italy and the conference "Driving transformations: digital assets, AI and the future of energy and finance" in Bucharest, Romania, brought together participants from academia, industry and decision makers.</w:t>
      </w:r>
    </w:p>
    <w:p w14:paraId="411438A9" w14:textId="77777777" w:rsidR="008E6D2A" w:rsidRPr="008E6D2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Coordination and quality assu</w:t>
      </w:r>
      <w:r>
        <w:rPr>
          <w:rFonts w:ascii="Times New Roman" w:hAnsi="Times New Roman" w:cs="Times New Roman"/>
          <w:sz w:val="24"/>
          <w:szCs w:val="24"/>
        </w:rPr>
        <w:t xml:space="preserve">rance in research and training: </w:t>
      </w:r>
      <w:r w:rsidRPr="008E6D2A">
        <w:rPr>
          <w:rFonts w:ascii="Times New Roman" w:hAnsi="Times New Roman" w:cs="Times New Roman"/>
          <w:sz w:val="24"/>
          <w:szCs w:val="24"/>
        </w:rPr>
        <w:t>No training schools were planned during this period, but there were challenges in ensuring the relevance of research activities to academic and industrial audiences. Action addressed this issue by carefully selecting cutting-edge topics such as AI for finance and hiring trainers with experience in both sectors.</w:t>
      </w:r>
    </w:p>
    <w:p w14:paraId="3FCE7B58" w14:textId="77777777" w:rsidR="008E6D2A" w:rsidRPr="008E6D2A" w:rsidRDefault="008E6D2A" w:rsidP="008E6D2A">
      <w:pPr>
        <w:jc w:val="both"/>
        <w:rPr>
          <w:rFonts w:ascii="Times New Roman" w:hAnsi="Times New Roman" w:cs="Times New Roman"/>
          <w:sz w:val="24"/>
          <w:szCs w:val="24"/>
        </w:rPr>
      </w:pPr>
    </w:p>
    <w:p w14:paraId="6F5EB18A" w14:textId="77777777" w:rsidR="008E6D2A" w:rsidRPr="008E6D2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Virtual Mobility Grants (ITC Conference Grant) worth €7,500 provided a solution to mobility restrictions, but required careful coordination to ensure meaningful results. The Action allocated resources to support these grants and implemented monitoring systems to assess their effectiveness.</w:t>
      </w:r>
    </w:p>
    <w:p w14:paraId="1ECDDB6B" w14:textId="77777777" w:rsidR="008E6D2A" w:rsidRPr="008E6D2A" w:rsidRDefault="008E6D2A" w:rsidP="008E6D2A">
      <w:pPr>
        <w:jc w:val="both"/>
        <w:rPr>
          <w:rFonts w:ascii="Times New Roman" w:hAnsi="Times New Roman" w:cs="Times New Roman"/>
          <w:sz w:val="24"/>
          <w:szCs w:val="24"/>
        </w:rPr>
      </w:pPr>
    </w:p>
    <w:p w14:paraId="5A675B15" w14:textId="77777777" w:rsidR="008E6D2A" w:rsidRPr="008E6D2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Dissemination and engagement challenges:</w:t>
      </w:r>
    </w:p>
    <w:p w14:paraId="4A1E0BD8" w14:textId="77777777" w:rsidR="008E6D2A" w:rsidRPr="008E6D2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With a limited budget of €5,093.34 for dissemination and communication products, the Action focused on strategic investments in digital communication, particularly through an Action website, which served as a central hub for sharing research findings and event updates. These efforts, together with third-party conference presentations, succeeded in expanding the impact of the research findings and engaging new stakeholders in Europe, supporting the Action's broader goal of promoting transparency in AI funding.</w:t>
      </w:r>
    </w:p>
    <w:p w14:paraId="7DB947CA" w14:textId="77777777" w:rsidR="008E6D2A" w:rsidRPr="008E6D2A" w:rsidRDefault="008E6D2A" w:rsidP="008E6D2A">
      <w:pPr>
        <w:jc w:val="both"/>
        <w:rPr>
          <w:rFonts w:ascii="Times New Roman" w:hAnsi="Times New Roman" w:cs="Times New Roman"/>
          <w:sz w:val="24"/>
          <w:szCs w:val="24"/>
        </w:rPr>
      </w:pPr>
    </w:p>
    <w:p w14:paraId="480406EB" w14:textId="77777777" w:rsidR="004B0BCC" w:rsidRPr="008E6D2A" w:rsidRDefault="008E6D2A" w:rsidP="008E6D2A">
      <w:pPr>
        <w:jc w:val="both"/>
        <w:rPr>
          <w:rFonts w:ascii="Times New Roman" w:hAnsi="Times New Roman" w:cs="Times New Roman"/>
          <w:sz w:val="24"/>
          <w:szCs w:val="24"/>
        </w:rPr>
      </w:pPr>
      <w:r w:rsidRPr="008E6D2A">
        <w:rPr>
          <w:rFonts w:ascii="Times New Roman" w:hAnsi="Times New Roman" w:cs="Times New Roman"/>
          <w:sz w:val="24"/>
          <w:szCs w:val="24"/>
        </w:rPr>
        <w:t xml:space="preserve">By addressing these challenges through targeted solutions such as the adoption of a cost-sharing model, careful selection of relevant topics and trainers, as well as strategic investments in digital communication, COST Action CA19130 has been able to adapt to changing circumstances and continue to progress towards its strategic goals of promoting transparency, collaboration and </w:t>
      </w:r>
      <w:r w:rsidRPr="008E6D2A">
        <w:rPr>
          <w:rFonts w:ascii="Times New Roman" w:hAnsi="Times New Roman" w:cs="Times New Roman"/>
          <w:sz w:val="24"/>
          <w:szCs w:val="24"/>
        </w:rPr>
        <w:lastRenderedPageBreak/>
        <w:t>innovation in financial technologies and artificial intelligence in Europe.</w:t>
      </w:r>
      <w:r w:rsidR="00624751" w:rsidRPr="008E6D2A">
        <w:rPr>
          <w:rFonts w:ascii="Times New Roman" w:hAnsi="Times New Roman" w:cs="Times New Roman"/>
          <w:sz w:val="24"/>
          <w:szCs w:val="24"/>
        </w:rPr>
        <w:t xml:space="preserve"> </w:t>
      </w:r>
      <w:r w:rsidR="004B0BCC" w:rsidRPr="008E6D2A">
        <w:rPr>
          <w:rFonts w:ascii="Times New Roman" w:hAnsi="Times New Roman" w:cs="Times New Roman"/>
          <w:sz w:val="24"/>
          <w:szCs w:val="24"/>
        </w:rPr>
        <w:t>Summary of challenges and solutions</w:t>
      </w:r>
    </w:p>
    <w:p w14:paraId="5D8A4CFF" w14:textId="77777777" w:rsidR="00764ADF" w:rsidRPr="00764ADF" w:rsidRDefault="0020611E" w:rsidP="00764ADF">
      <w:pPr>
        <w:jc w:val="both"/>
        <w:rPr>
          <w:rFonts w:ascii="Times New Roman" w:hAnsi="Times New Roman" w:cs="Times New Roman"/>
          <w:sz w:val="24"/>
          <w:szCs w:val="24"/>
        </w:rPr>
      </w:pPr>
      <w:r>
        <w:rPr>
          <w:rFonts w:ascii="Times New Roman" w:hAnsi="Times New Roman" w:cs="Times New Roman"/>
          <w:sz w:val="24"/>
          <w:szCs w:val="24"/>
        </w:rPr>
        <w:t>F</w:t>
      </w:r>
      <w:r w:rsidR="00764ADF" w:rsidRPr="00764ADF">
        <w:rPr>
          <w:rFonts w:ascii="Times New Roman" w:hAnsi="Times New Roman" w:cs="Times New Roman"/>
          <w:sz w:val="24"/>
          <w:szCs w:val="24"/>
        </w:rPr>
        <w:t>or the period from November 2021 to May 2022, COST Action CA19130 faced several challenges that required adaptive strategies to ensure successful project outcomes. These challenges, together with the implemented solutions, are grouped into three main categories:</w:t>
      </w:r>
    </w:p>
    <w:p w14:paraId="1DB8B47F" w14:textId="77777777" w:rsidR="00D523DF" w:rsidRDefault="00764ADF" w:rsidP="009D4D37">
      <w:pPr>
        <w:numPr>
          <w:ilvl w:val="0"/>
          <w:numId w:val="4"/>
        </w:numPr>
        <w:jc w:val="both"/>
        <w:rPr>
          <w:rFonts w:ascii="Times New Roman" w:hAnsi="Times New Roman" w:cs="Times New Roman"/>
          <w:sz w:val="24"/>
          <w:szCs w:val="24"/>
        </w:rPr>
      </w:pPr>
      <w:r w:rsidRPr="00D523DF">
        <w:rPr>
          <w:rFonts w:ascii="Times New Roman" w:hAnsi="Times New Roman" w:cs="Times New Roman"/>
          <w:sz w:val="24"/>
          <w:szCs w:val="24"/>
        </w:rPr>
        <w:t xml:space="preserve">Financial and Logistical Challenges Balancing costs for events and participation: Organizing 10 international workshops and hybrid meetings across Europe, including in Berlin, Rennes, Zagreb, Naples, Bucharest, Espoo, Enschede, Tirana, Zürich, and Utrecht, presented financial challenges due to high travel and local support costs. The solution adopted was a cost-sharing model, emphasizing hybrid participation. </w:t>
      </w:r>
      <w:r w:rsidR="00D523DF" w:rsidRPr="00D523DF">
        <w:rPr>
          <w:rFonts w:ascii="Times New Roman" w:hAnsi="Times New Roman" w:cs="Times New Roman"/>
          <w:sz w:val="24"/>
          <w:szCs w:val="24"/>
        </w:rPr>
        <w:t>To address this, the Action adopted a cost-sharing model that emphasized hybrid participation, allowing it to remain within the allocated budget of €117,889.40 for meetings while maximizing participation and maintaining the quality of the events.</w:t>
      </w:r>
    </w:p>
    <w:p w14:paraId="51F12827" w14:textId="77777777" w:rsidR="00D523DF" w:rsidRDefault="00D523DF" w:rsidP="009D4D37">
      <w:pPr>
        <w:numPr>
          <w:ilvl w:val="0"/>
          <w:numId w:val="4"/>
        </w:numPr>
        <w:jc w:val="both"/>
        <w:rPr>
          <w:rFonts w:ascii="Times New Roman" w:hAnsi="Times New Roman" w:cs="Times New Roman"/>
          <w:sz w:val="24"/>
          <w:szCs w:val="24"/>
        </w:rPr>
      </w:pPr>
      <w:r w:rsidRPr="00D523DF">
        <w:rPr>
          <w:rFonts w:ascii="Times New Roman" w:hAnsi="Times New Roman" w:cs="Times New Roman"/>
          <w:sz w:val="24"/>
          <w:szCs w:val="24"/>
        </w:rPr>
        <w:t>Coordination and Quality Assurance in Research and Training: Recognizing the importance of fostering collaborations and knowledge exchange, the Action allocated €43,300.00 to support the mobility of researchers and innovators through Short-Term Scientific Missions (STSMs) and Virtual Mobility Grants. Additionally, €58,594.00 was dedicated to organizing 4 specialized Training Schools covering cutting-edge topics related to FinTech, AI in Finance, data science, and statistical modeling, enhancing the research capabilities and knowledge transfer within the network.</w:t>
      </w:r>
    </w:p>
    <w:p w14:paraId="2B9E4CF7" w14:textId="77777777" w:rsidR="00D523DF" w:rsidRDefault="00D523DF" w:rsidP="009D4D37">
      <w:pPr>
        <w:numPr>
          <w:ilvl w:val="0"/>
          <w:numId w:val="4"/>
        </w:numPr>
        <w:jc w:val="both"/>
        <w:rPr>
          <w:rFonts w:ascii="Times New Roman" w:hAnsi="Times New Roman" w:cs="Times New Roman"/>
          <w:sz w:val="24"/>
          <w:szCs w:val="24"/>
        </w:rPr>
      </w:pPr>
      <w:r w:rsidRPr="00D523DF">
        <w:rPr>
          <w:rFonts w:ascii="Times New Roman" w:hAnsi="Times New Roman" w:cs="Times New Roman"/>
          <w:sz w:val="24"/>
          <w:szCs w:val="24"/>
        </w:rPr>
        <w:t>Dissemination and Outreach Challenges: With a limited budget of €2,500.00 for dissemination products, the Action focused on strategic investments in digital communication, particularly through improvements to the Action's website, serving as a central hub for sharing research outputs and event updates. These efforts, along with presentations at third-party conferences (allocated €2,000.00), aimed to extend the reach of research findings and engage new stakeholders across Europe, supporting the Action's broader objective of promoting transparency in AI-driven finance.</w:t>
      </w:r>
    </w:p>
    <w:p w14:paraId="72FB6FAD" w14:textId="77777777" w:rsidR="00D523DF" w:rsidRPr="00D523DF" w:rsidRDefault="00D523DF" w:rsidP="009D4D37">
      <w:pPr>
        <w:numPr>
          <w:ilvl w:val="0"/>
          <w:numId w:val="4"/>
        </w:numPr>
        <w:jc w:val="both"/>
        <w:rPr>
          <w:rFonts w:ascii="Times New Roman" w:hAnsi="Times New Roman" w:cs="Times New Roman"/>
          <w:sz w:val="24"/>
          <w:szCs w:val="24"/>
        </w:rPr>
      </w:pPr>
      <w:r w:rsidRPr="00D523DF">
        <w:rPr>
          <w:rFonts w:ascii="Times New Roman" w:hAnsi="Times New Roman" w:cs="Times New Roman"/>
          <w:sz w:val="24"/>
          <w:szCs w:val="24"/>
        </w:rPr>
        <w:t>To enhance the research capabilities and knowledge transfer within the network, €58,594.00 has been dedicated to organizing 4 specialized Training Schools. These Training Schools will cover cutting-edge topics related to FinTech, AI in Finance, data science, and statistical modeling, providing participants with valuable skills and insights.</w:t>
      </w:r>
    </w:p>
    <w:p w14:paraId="32F838C8" w14:textId="77777777" w:rsidR="00D523DF" w:rsidRPr="00974182" w:rsidRDefault="00D523DF" w:rsidP="009D4D37">
      <w:pPr>
        <w:numPr>
          <w:ilvl w:val="0"/>
          <w:numId w:val="4"/>
        </w:numPr>
        <w:jc w:val="both"/>
        <w:rPr>
          <w:rFonts w:ascii="Times New Roman" w:hAnsi="Times New Roman" w:cs="Times New Roman"/>
          <w:sz w:val="24"/>
          <w:szCs w:val="24"/>
        </w:rPr>
      </w:pPr>
      <w:r w:rsidRPr="00D523DF">
        <w:rPr>
          <w:rFonts w:ascii="Times New Roman" w:hAnsi="Times New Roman" w:cs="Times New Roman"/>
          <w:sz w:val="24"/>
          <w:szCs w:val="24"/>
        </w:rPr>
        <w:t>Berlin, Germany (20-24 Feb 2023) COST FinAI Training school Data science for sustainable economics and finance; Tirana, Albania (26-28 Apr 2023) with title: COST FinAI - Fintech and AI in Finance - Training School for the latest technologies and upcoming challenges. Enschede, Netherlands (19-23 Jun 2023) with title COST FinAI - Fintech and AI in Finance - Training School on current state-of-the-art and future challenges - Risks and Digital Assets</w:t>
      </w:r>
      <w:r>
        <w:rPr>
          <w:rFonts w:ascii="Times New Roman" w:hAnsi="Times New Roman" w:cs="Times New Roman"/>
          <w:sz w:val="24"/>
          <w:szCs w:val="24"/>
        </w:rPr>
        <w:t xml:space="preserve">; </w:t>
      </w:r>
      <w:r w:rsidRPr="00D523DF">
        <w:rPr>
          <w:rFonts w:ascii="Times New Roman" w:hAnsi="Times New Roman" w:cs="Times New Roman"/>
          <w:sz w:val="24"/>
          <w:szCs w:val="24"/>
        </w:rPr>
        <w:t>Naples, Italy (13-15 Sep 2023)</w:t>
      </w:r>
      <w:r>
        <w:rPr>
          <w:rFonts w:ascii="Times New Roman" w:hAnsi="Times New Roman" w:cs="Times New Roman"/>
          <w:sz w:val="24"/>
          <w:szCs w:val="24"/>
        </w:rPr>
        <w:t xml:space="preserve"> with t</w:t>
      </w:r>
      <w:r w:rsidRPr="00D523DF">
        <w:rPr>
          <w:rFonts w:ascii="Times New Roman" w:hAnsi="Times New Roman" w:cs="Times New Roman"/>
          <w:sz w:val="24"/>
          <w:szCs w:val="24"/>
        </w:rPr>
        <w:t>itle: Advanced Statistical Modelling for Fintech, financial inclusion and inequality (AFFINE)</w:t>
      </w:r>
    </w:p>
    <w:p w14:paraId="77A73116" w14:textId="77777777" w:rsidR="00840BE1" w:rsidRDefault="00D523DF" w:rsidP="00AB7859">
      <w:pPr>
        <w:jc w:val="both"/>
        <w:rPr>
          <w:rFonts w:ascii="Times New Roman" w:hAnsi="Times New Roman" w:cs="Times New Roman"/>
          <w:sz w:val="24"/>
          <w:szCs w:val="24"/>
        </w:rPr>
      </w:pPr>
      <w:r w:rsidRPr="00D523DF">
        <w:rPr>
          <w:rFonts w:ascii="Times New Roman" w:hAnsi="Times New Roman" w:cs="Times New Roman"/>
          <w:sz w:val="24"/>
          <w:szCs w:val="24"/>
        </w:rPr>
        <w:lastRenderedPageBreak/>
        <w:t>By proactively addressing these challenges through targeted solutions and adaptive strategies, COST Action CA19130 has been able to effectively allocate its resources, foster collaborations, enhance knowledge transfer, and disseminate research outputs, thereby making significant progress toward its strategic goals in the field of FinTech and AI in Finance.</w:t>
      </w:r>
      <w:r w:rsidR="00974182">
        <w:rPr>
          <w:rFonts w:ascii="Times New Roman" w:hAnsi="Times New Roman" w:cs="Times New Roman"/>
          <w:sz w:val="24"/>
          <w:szCs w:val="24"/>
        </w:rPr>
        <w:t xml:space="preserve"> </w:t>
      </w:r>
      <w:r w:rsidR="00764ADF" w:rsidRPr="00764ADF">
        <w:rPr>
          <w:rFonts w:ascii="Times New Roman" w:hAnsi="Times New Roman" w:cs="Times New Roman"/>
          <w:sz w:val="24"/>
          <w:szCs w:val="24"/>
        </w:rPr>
        <w:t xml:space="preserve">By addressing these challenges through targeted solutions, COST Action CA19130 has been able to adapt to changing circumstances and continue making significant progress toward its strategic goals of promoting transparency and understanding in </w:t>
      </w:r>
      <w:r w:rsidR="00624751">
        <w:rPr>
          <w:rFonts w:ascii="Times New Roman" w:hAnsi="Times New Roman" w:cs="Times New Roman"/>
          <w:sz w:val="24"/>
          <w:szCs w:val="24"/>
        </w:rPr>
        <w:t>the field of AI-driven finance.</w:t>
      </w:r>
    </w:p>
    <w:p w14:paraId="6413106D" w14:textId="77777777" w:rsidR="00600956" w:rsidRPr="00600956" w:rsidRDefault="00214164" w:rsidP="00600956">
      <w:pPr>
        <w:jc w:val="both"/>
        <w:rPr>
          <w:rFonts w:ascii="Times New Roman" w:hAnsi="Times New Roman" w:cs="Times New Roman"/>
          <w:b/>
          <w:sz w:val="24"/>
          <w:szCs w:val="24"/>
        </w:rPr>
      </w:pPr>
      <w:r>
        <w:rPr>
          <w:rFonts w:ascii="Times New Roman" w:hAnsi="Times New Roman" w:cs="Times New Roman"/>
          <w:sz w:val="24"/>
          <w:szCs w:val="24"/>
        </w:rPr>
        <w:t xml:space="preserve"> </w:t>
      </w:r>
      <w:r w:rsidR="00600956" w:rsidRPr="00600956">
        <w:rPr>
          <w:rFonts w:ascii="Times New Roman" w:hAnsi="Times New Roman" w:cs="Times New Roman"/>
          <w:b/>
          <w:sz w:val="24"/>
          <w:szCs w:val="24"/>
        </w:rPr>
        <w:t xml:space="preserve"> Looking ahead: future directions beyond COST action CA19130</w:t>
      </w:r>
    </w:p>
    <w:p w14:paraId="4A6A141E" w14:textId="77777777" w:rsidR="00974182" w:rsidRPr="00974182" w:rsidRDefault="00974182" w:rsidP="00974182">
      <w:pPr>
        <w:jc w:val="both"/>
        <w:rPr>
          <w:rFonts w:ascii="Times New Roman" w:hAnsi="Times New Roman" w:cs="Times New Roman"/>
          <w:sz w:val="24"/>
          <w:szCs w:val="24"/>
        </w:rPr>
      </w:pPr>
      <w:r w:rsidRPr="00974182">
        <w:rPr>
          <w:rFonts w:ascii="Times New Roman" w:hAnsi="Times New Roman" w:cs="Times New Roman"/>
          <w:sz w:val="24"/>
          <w:szCs w:val="24"/>
        </w:rPr>
        <w:t>As the COST Action CA19130 nears the completion of its activities and events planned for the period from November 2022 to October 2023, it is essential to consider the future directions and opportunities that can build upon the significant progress made by the network. The Action has played a pivotal role in promoting transparency, fostering collaboration, and driving innovation in the field of FinTech and AI in Finance across Europe.</w:t>
      </w:r>
    </w:p>
    <w:p w14:paraId="629299AA" w14:textId="77777777" w:rsidR="00974182" w:rsidRPr="00974182" w:rsidRDefault="00974182" w:rsidP="00974182">
      <w:pPr>
        <w:jc w:val="both"/>
        <w:rPr>
          <w:rFonts w:ascii="Times New Roman" w:hAnsi="Times New Roman" w:cs="Times New Roman"/>
          <w:sz w:val="24"/>
          <w:szCs w:val="24"/>
        </w:rPr>
      </w:pPr>
      <w:r w:rsidRPr="00974182">
        <w:rPr>
          <w:rFonts w:ascii="Times New Roman" w:hAnsi="Times New Roman" w:cs="Times New Roman"/>
          <w:sz w:val="24"/>
          <w:szCs w:val="24"/>
        </w:rPr>
        <w:t>One potential avenue for future exploration is the establishment of a dedicated research center or institute focused on the intersection of finance, technology, and artificial intelligence. Such an institution could serve as a hub for interdisciplinary research, facilitating the convergence of expertise from various domains, including computer science, economics, mathematics, and regulatory frameworks. By bringing together leading researchers, industry partners, and policymakers, this center could tackle complex challenges, develop cutting-edge solutions, and shape the future landscape of the financial sector.</w:t>
      </w:r>
    </w:p>
    <w:p w14:paraId="2D1DF5A3" w14:textId="77777777" w:rsidR="00974182" w:rsidRPr="00974182" w:rsidRDefault="00974182" w:rsidP="00974182">
      <w:pPr>
        <w:jc w:val="both"/>
        <w:rPr>
          <w:rFonts w:ascii="Times New Roman" w:hAnsi="Times New Roman" w:cs="Times New Roman"/>
          <w:sz w:val="24"/>
          <w:szCs w:val="24"/>
        </w:rPr>
      </w:pPr>
      <w:r w:rsidRPr="00974182">
        <w:rPr>
          <w:rFonts w:ascii="Times New Roman" w:hAnsi="Times New Roman" w:cs="Times New Roman"/>
          <w:sz w:val="24"/>
          <w:szCs w:val="24"/>
        </w:rPr>
        <w:t>Furthermore, the network established through the COST Action could evolve into a self-sustaining community of practice, enabling continued knowledge sharing, mentorship, and collaboration among its members. This community could organize regular events, such as conferences, workshops, and hackathons, to showcase the latest research findings, explore emerging trends, and foster innovation. Such a platform would ensure the longevity of the connections forged during the COST Action and maintain the momentum generated by the collective efforts.</w:t>
      </w:r>
    </w:p>
    <w:p w14:paraId="716530C0" w14:textId="77777777" w:rsidR="00974182" w:rsidRPr="00974182" w:rsidRDefault="00974182" w:rsidP="00974182">
      <w:pPr>
        <w:jc w:val="both"/>
        <w:rPr>
          <w:rFonts w:ascii="Times New Roman" w:hAnsi="Times New Roman" w:cs="Times New Roman"/>
          <w:sz w:val="24"/>
          <w:szCs w:val="24"/>
        </w:rPr>
      </w:pPr>
      <w:r w:rsidRPr="00974182">
        <w:rPr>
          <w:rFonts w:ascii="Times New Roman" w:hAnsi="Times New Roman" w:cs="Times New Roman"/>
          <w:sz w:val="24"/>
          <w:szCs w:val="24"/>
        </w:rPr>
        <w:t>Another promising direction could be the development of educational programs and curricula tailored to the rapidly evolving FinTech and AI in Finance domains. By leveraging the expertise and insights gained through the COST Action, academic institutions could design specialized courses, degree programs, or professional certifications to equip the next generation of professionals with the necessary skills and knowledge to thrive in this dynamic field.</w:t>
      </w:r>
    </w:p>
    <w:p w14:paraId="520C1AFA" w14:textId="77777777" w:rsidR="00974182" w:rsidRPr="00974182" w:rsidRDefault="00974182" w:rsidP="00974182">
      <w:pPr>
        <w:jc w:val="both"/>
        <w:rPr>
          <w:rFonts w:ascii="Times New Roman" w:hAnsi="Times New Roman" w:cs="Times New Roman"/>
          <w:b/>
          <w:sz w:val="24"/>
          <w:szCs w:val="24"/>
        </w:rPr>
      </w:pPr>
      <w:r w:rsidRPr="00974182">
        <w:rPr>
          <w:rFonts w:ascii="Times New Roman" w:hAnsi="Times New Roman" w:cs="Times New Roman"/>
          <w:sz w:val="24"/>
          <w:szCs w:val="24"/>
        </w:rPr>
        <w:t>Ultimately, the future directions beyond COST Action CA19130 should aim to build upon the solid foundation laid by the network, amplifying its impact and ensuring the continued advancement of research, innovation, and knowledge dissemination in the realm of FinTech and AI in Finance. By fostering collaborations, nurturing talent, and driving cutting-edge research, the legacy of the COST Action can be sustained and expanded, positioning Europe as a global leader in this transformative sector.</w:t>
      </w:r>
      <w:r w:rsidRPr="00974182">
        <w:rPr>
          <w:rFonts w:ascii="Times New Roman" w:hAnsi="Times New Roman" w:cs="Times New Roman"/>
          <w:b/>
          <w:sz w:val="24"/>
          <w:szCs w:val="24"/>
        </w:rPr>
        <w:t xml:space="preserve"> </w:t>
      </w:r>
    </w:p>
    <w:p w14:paraId="3573D1F2" w14:textId="77777777" w:rsidR="00974182" w:rsidRPr="00974182" w:rsidRDefault="00974182" w:rsidP="00974182">
      <w:pPr>
        <w:pStyle w:val="Heading2"/>
        <w:spacing w:before="0" w:line="240" w:lineRule="auto"/>
        <w:jc w:val="both"/>
        <w:rPr>
          <w:rFonts w:ascii="Times New Roman" w:eastAsiaTheme="minorHAnsi" w:hAnsi="Times New Roman" w:cs="Times New Roman"/>
          <w:color w:val="auto"/>
          <w:sz w:val="24"/>
          <w:szCs w:val="24"/>
        </w:rPr>
      </w:pPr>
      <w:bookmarkStart w:id="1" w:name="_Toc176826798"/>
      <w:r w:rsidRPr="00974182">
        <w:rPr>
          <w:rFonts w:ascii="Times New Roman" w:eastAsiaTheme="minorHAnsi" w:hAnsi="Times New Roman" w:cs="Times New Roman"/>
          <w:color w:val="auto"/>
          <w:sz w:val="24"/>
          <w:szCs w:val="24"/>
        </w:rPr>
        <w:t>Development of New Consortia and Research Projects</w:t>
      </w:r>
    </w:p>
    <w:p w14:paraId="374A04AF" w14:textId="77777777" w:rsidR="00974182" w:rsidRPr="008C7FED" w:rsidRDefault="00974182" w:rsidP="008C7FED">
      <w:pPr>
        <w:jc w:val="both"/>
        <w:rPr>
          <w:rFonts w:ascii="Times New Roman" w:hAnsi="Times New Roman" w:cs="Times New Roman"/>
          <w:sz w:val="24"/>
          <w:szCs w:val="24"/>
        </w:rPr>
      </w:pPr>
    </w:p>
    <w:p w14:paraId="2DA28A43" w14:textId="77777777" w:rsidR="00974182" w:rsidRPr="008C7FED" w:rsidRDefault="00974182" w:rsidP="008C7FED">
      <w:pPr>
        <w:jc w:val="both"/>
        <w:rPr>
          <w:rFonts w:ascii="Times New Roman" w:hAnsi="Times New Roman" w:cs="Times New Roman"/>
          <w:sz w:val="24"/>
          <w:szCs w:val="24"/>
        </w:rPr>
      </w:pPr>
      <w:r w:rsidRPr="008C7FED">
        <w:rPr>
          <w:rFonts w:ascii="Times New Roman" w:hAnsi="Times New Roman" w:cs="Times New Roman"/>
          <w:sz w:val="24"/>
          <w:szCs w:val="24"/>
        </w:rPr>
        <w:lastRenderedPageBreak/>
        <w:t>Building upon the strong collaborative network established during the COST Action CA19130, the formation of new research consortia aimed at further exploring transparency in FinTech and AI applications in the financial sector has been actively pursued. These consortia have sought and obtained funding through various European Union research grants, such as Horizon Europe, ensuring the continuity of collaborative efforts and the development of new research proposals aligned with the themes initially addressed within CA19130.</w:t>
      </w:r>
    </w:p>
    <w:p w14:paraId="4F9EFA44" w14:textId="77777777" w:rsidR="00974182" w:rsidRPr="008C7FED" w:rsidRDefault="00974182" w:rsidP="008C7FED">
      <w:pPr>
        <w:jc w:val="both"/>
        <w:rPr>
          <w:rFonts w:ascii="Times New Roman" w:hAnsi="Times New Roman" w:cs="Times New Roman"/>
          <w:sz w:val="24"/>
          <w:szCs w:val="24"/>
        </w:rPr>
      </w:pPr>
      <w:r w:rsidRPr="008C7FED">
        <w:rPr>
          <w:rFonts w:ascii="Times New Roman" w:hAnsi="Times New Roman" w:cs="Times New Roman"/>
          <w:sz w:val="24"/>
          <w:szCs w:val="24"/>
        </w:rPr>
        <w:t>One such consortium, the "</w:t>
      </w:r>
      <w:proofErr w:type="spellStart"/>
      <w:r w:rsidRPr="008C7FED">
        <w:rPr>
          <w:rFonts w:ascii="Times New Roman" w:hAnsi="Times New Roman" w:cs="Times New Roman"/>
          <w:sz w:val="24"/>
          <w:szCs w:val="24"/>
        </w:rPr>
        <w:t>EUroFinTech</w:t>
      </w:r>
      <w:proofErr w:type="spellEnd"/>
      <w:r w:rsidRPr="008C7FED">
        <w:rPr>
          <w:rFonts w:ascii="Times New Roman" w:hAnsi="Times New Roman" w:cs="Times New Roman"/>
          <w:sz w:val="24"/>
          <w:szCs w:val="24"/>
        </w:rPr>
        <w:t>" project, has brought together researchers from multiple institutions across Europe to investigate the ethical and regulatory aspects of AI-driven financial services. This project aims to develop a comprehensive framework for ensuring transparency, fairness, and accountability in AI-based financial decision-making processes.</w:t>
      </w:r>
    </w:p>
    <w:p w14:paraId="20F3D8F3" w14:textId="77777777" w:rsidR="00974182" w:rsidRPr="008C7FED" w:rsidRDefault="00974182" w:rsidP="008C7FED">
      <w:pPr>
        <w:jc w:val="both"/>
        <w:rPr>
          <w:rFonts w:ascii="Times New Roman" w:hAnsi="Times New Roman" w:cs="Times New Roman"/>
          <w:sz w:val="24"/>
          <w:szCs w:val="24"/>
        </w:rPr>
      </w:pPr>
      <w:r w:rsidRPr="008C7FED">
        <w:rPr>
          <w:rFonts w:ascii="Times New Roman" w:hAnsi="Times New Roman" w:cs="Times New Roman"/>
          <w:sz w:val="24"/>
          <w:szCs w:val="24"/>
        </w:rPr>
        <w:t>Another consortium, "FinAI-Sustainability," has been formed to explore the intersection of FinTech, AI, and sustainable finance. This interdisciplinary team is conducting research on leveraging AI and data analytics for sustainable investment strategies, climate risk modeling, and promoting financial inclusion through innovative technological solutions.</w:t>
      </w:r>
    </w:p>
    <w:p w14:paraId="45D69860" w14:textId="77777777" w:rsidR="00974182" w:rsidRPr="008C7FED" w:rsidRDefault="00974182" w:rsidP="008C7FED">
      <w:pPr>
        <w:jc w:val="both"/>
        <w:rPr>
          <w:rFonts w:ascii="Times New Roman" w:hAnsi="Times New Roman" w:cs="Times New Roman"/>
          <w:sz w:val="24"/>
          <w:szCs w:val="24"/>
        </w:rPr>
      </w:pPr>
      <w:r w:rsidRPr="008C7FED">
        <w:rPr>
          <w:rFonts w:ascii="Times New Roman" w:hAnsi="Times New Roman" w:cs="Times New Roman"/>
          <w:sz w:val="24"/>
          <w:szCs w:val="24"/>
        </w:rPr>
        <w:t>The "</w:t>
      </w:r>
      <w:proofErr w:type="spellStart"/>
      <w:r w:rsidRPr="008C7FED">
        <w:rPr>
          <w:rFonts w:ascii="Times New Roman" w:hAnsi="Times New Roman" w:cs="Times New Roman"/>
          <w:sz w:val="24"/>
          <w:szCs w:val="24"/>
        </w:rPr>
        <w:t>BlockFinX</w:t>
      </w:r>
      <w:proofErr w:type="spellEnd"/>
      <w:r w:rsidRPr="008C7FED">
        <w:rPr>
          <w:rFonts w:ascii="Times New Roman" w:hAnsi="Times New Roman" w:cs="Times New Roman"/>
          <w:sz w:val="24"/>
          <w:szCs w:val="24"/>
        </w:rPr>
        <w:t>" consortium has been established to delve into the potential of blockchain and distributed ledger technologies (DLT) in the financial sector. This project focuses on developing secure and scalable DLT-based systems for applications such as decentralized finance (DeFi), cross-border payments, and digital asset management.</w:t>
      </w:r>
    </w:p>
    <w:p w14:paraId="54A07A42" w14:textId="77777777" w:rsidR="008C7FED" w:rsidRPr="008C7FED" w:rsidRDefault="008C7FED" w:rsidP="008C7FED">
      <w:pPr>
        <w:jc w:val="both"/>
        <w:rPr>
          <w:rFonts w:ascii="Times New Roman" w:hAnsi="Times New Roman" w:cs="Times New Roman"/>
          <w:sz w:val="24"/>
          <w:szCs w:val="24"/>
        </w:rPr>
      </w:pPr>
      <w:r w:rsidRPr="008C7FED">
        <w:rPr>
          <w:rFonts w:ascii="Times New Roman" w:hAnsi="Times New Roman" w:cs="Times New Roman"/>
          <w:sz w:val="24"/>
          <w:szCs w:val="24"/>
        </w:rPr>
        <w:t>With the activities and events planned for November 2022 - October 2023 under COST Action CA19130 nearing completion, it is essential to consider future directions and opportunities that can build on the significant progress made by this network. The action played a pivotal role in promoting transparency, stimulating collaboration and driving innovation in the field of FinTech and Artificial Intelligence applied to finance, at European level.</w:t>
      </w:r>
    </w:p>
    <w:p w14:paraId="2B7F1895" w14:textId="77777777" w:rsidR="008C7FED" w:rsidRPr="008C7FED" w:rsidRDefault="008C7FED" w:rsidP="008C7FED">
      <w:pPr>
        <w:jc w:val="both"/>
        <w:rPr>
          <w:rFonts w:ascii="Times New Roman" w:hAnsi="Times New Roman" w:cs="Times New Roman"/>
          <w:sz w:val="24"/>
          <w:szCs w:val="24"/>
        </w:rPr>
      </w:pPr>
      <w:r w:rsidRPr="008C7FED">
        <w:rPr>
          <w:rFonts w:ascii="Times New Roman" w:hAnsi="Times New Roman" w:cs="Times New Roman"/>
          <w:sz w:val="24"/>
          <w:szCs w:val="24"/>
        </w:rPr>
        <w:t>A potential direction to explore could be the establishment of a research center or institute dedicated to the intersection of finance, technology and artificial intelligence. Such an institution could serve as a pivot for interdisciplinary research, facilitating the convergence of expertise from diverse fields such as computer science, economics, mathematics and regulatory frameworks. By bringing together leading researchers, industry partners and policy makers, this center could tackle complex challenges, develop cutting-edge solutions and shape the future landscape of the financial sector.</w:t>
      </w:r>
    </w:p>
    <w:p w14:paraId="45DEE777" w14:textId="77777777" w:rsidR="008C7FED" w:rsidRPr="008C7FED" w:rsidRDefault="008C7FED" w:rsidP="008C7FED">
      <w:pPr>
        <w:jc w:val="both"/>
        <w:rPr>
          <w:rFonts w:ascii="Times New Roman" w:hAnsi="Times New Roman" w:cs="Times New Roman"/>
          <w:sz w:val="24"/>
          <w:szCs w:val="24"/>
        </w:rPr>
      </w:pPr>
      <w:r w:rsidRPr="008C7FED">
        <w:rPr>
          <w:rFonts w:ascii="Times New Roman" w:hAnsi="Times New Roman" w:cs="Times New Roman"/>
          <w:sz w:val="24"/>
          <w:szCs w:val="24"/>
        </w:rPr>
        <w:t>Furthermore, the network established through the COST Action could evolve into a self-sustaining community of practice, allowing for continued knowledge sharing, mentoring and collaboration among its members. This community could organize regular events such as conferences, workshops and hackathons to present the latest research results, explore emerging trends and stimulate innovation. Such a platform would ensure the longevity of the connections forged during the COST Action and maintain the momentum generated by the collective efforts.</w:t>
      </w:r>
    </w:p>
    <w:p w14:paraId="1362AA2F" w14:textId="77777777" w:rsidR="008C7FED" w:rsidRPr="008C7FED" w:rsidRDefault="008C7FED" w:rsidP="008C7FED">
      <w:pPr>
        <w:jc w:val="both"/>
        <w:rPr>
          <w:rFonts w:ascii="Times New Roman" w:hAnsi="Times New Roman" w:cs="Times New Roman"/>
          <w:sz w:val="24"/>
          <w:szCs w:val="24"/>
        </w:rPr>
      </w:pPr>
      <w:r w:rsidRPr="008C7FED">
        <w:rPr>
          <w:rFonts w:ascii="Times New Roman" w:hAnsi="Times New Roman" w:cs="Times New Roman"/>
          <w:sz w:val="24"/>
          <w:szCs w:val="24"/>
        </w:rPr>
        <w:t xml:space="preserve">Another promising direction could be the development of educational programs and curricula adapted to the rapidly evolving fields of FinTech and AI in finance. Leveraging the expertise and insights gained through the COST Action, academic institutions could design specialized courses, </w:t>
      </w:r>
      <w:r w:rsidRPr="008C7FED">
        <w:rPr>
          <w:rFonts w:ascii="Times New Roman" w:hAnsi="Times New Roman" w:cs="Times New Roman"/>
          <w:sz w:val="24"/>
          <w:szCs w:val="24"/>
        </w:rPr>
        <w:lastRenderedPageBreak/>
        <w:t>study programs or professional certifications to train the new generation of professionals with the skills and knowledge needed to thrive in this dynamic field.</w:t>
      </w:r>
    </w:p>
    <w:p w14:paraId="4B277A68" w14:textId="77777777" w:rsidR="008C7FED" w:rsidRDefault="008C7FED" w:rsidP="008C7FED">
      <w:pPr>
        <w:jc w:val="both"/>
        <w:rPr>
          <w:rFonts w:ascii="Times New Roman" w:hAnsi="Times New Roman" w:cs="Times New Roman"/>
          <w:sz w:val="24"/>
          <w:szCs w:val="24"/>
        </w:rPr>
      </w:pPr>
      <w:r w:rsidRPr="008C7FED">
        <w:rPr>
          <w:rFonts w:ascii="Times New Roman" w:hAnsi="Times New Roman" w:cs="Times New Roman"/>
          <w:sz w:val="24"/>
          <w:szCs w:val="24"/>
        </w:rPr>
        <w:t xml:space="preserve">Finally, future directions beyond COST Action CA19130 should aim to build on the solid foundation laid by the network, amplifying its impact and ensuring the continued advancement of research, innovation and knowledge dissemination in the field of FinTech and Artificial Intelligence applied to </w:t>
      </w:r>
      <w:proofErr w:type="gramStart"/>
      <w:r w:rsidRPr="008C7FED">
        <w:rPr>
          <w:rFonts w:ascii="Times New Roman" w:hAnsi="Times New Roman" w:cs="Times New Roman"/>
          <w:sz w:val="24"/>
          <w:szCs w:val="24"/>
        </w:rPr>
        <w:t>finance .</w:t>
      </w:r>
      <w:proofErr w:type="gramEnd"/>
      <w:r w:rsidRPr="008C7FED">
        <w:rPr>
          <w:rFonts w:ascii="Times New Roman" w:hAnsi="Times New Roman" w:cs="Times New Roman"/>
          <w:sz w:val="24"/>
          <w:szCs w:val="24"/>
        </w:rPr>
        <w:t xml:space="preserve"> By fostering collaborations, nurturing talent and driving cutting-edge research, the legacy of the COST Action can be sustained and expanded, positioning Europe as a global leader in this transformative sector.</w:t>
      </w:r>
    </w:p>
    <w:p w14:paraId="448FBD80" w14:textId="77777777" w:rsidR="00974182" w:rsidRPr="008C7FED" w:rsidRDefault="00974182" w:rsidP="008C7FED">
      <w:pPr>
        <w:jc w:val="both"/>
        <w:rPr>
          <w:rFonts w:ascii="Times New Roman" w:hAnsi="Times New Roman" w:cs="Times New Roman"/>
          <w:sz w:val="24"/>
          <w:szCs w:val="24"/>
        </w:rPr>
      </w:pPr>
      <w:r w:rsidRPr="008C7FED">
        <w:rPr>
          <w:rFonts w:ascii="Times New Roman" w:hAnsi="Times New Roman" w:cs="Times New Roman"/>
          <w:sz w:val="24"/>
          <w:szCs w:val="24"/>
        </w:rPr>
        <w:t>These new research consortia exemplify the continued commitment to advancing knowledge and fostering innovation in the realm of FinTech and AI in Finance. By leveraging the existing networks and collaborations established during the COST Action, these consortia can build upon the foundation laid by CA19130 and tackle emerging challenges and opportunities in this rapidly evolving field.</w:t>
      </w:r>
    </w:p>
    <w:p w14:paraId="5965A98C" w14:textId="77777777" w:rsidR="00DF5AFD" w:rsidRPr="00624751" w:rsidRDefault="00214164" w:rsidP="00974182">
      <w:pPr>
        <w:pStyle w:val="Heading2"/>
        <w:rPr>
          <w:rFonts w:ascii="Arial" w:hAnsi="Arial" w:cs="Arial"/>
          <w:color w:val="auto"/>
          <w:sz w:val="28"/>
          <w:szCs w:val="28"/>
        </w:rPr>
      </w:pPr>
      <w:r>
        <w:rPr>
          <w:rFonts w:ascii="Arial" w:hAnsi="Arial" w:cs="Arial"/>
          <w:color w:val="auto"/>
          <w:sz w:val="28"/>
          <w:szCs w:val="28"/>
        </w:rPr>
        <w:t>3</w:t>
      </w:r>
      <w:r w:rsidR="00DF5AFD" w:rsidRPr="00624751">
        <w:rPr>
          <w:rFonts w:ascii="Arial" w:hAnsi="Arial" w:cs="Arial"/>
          <w:color w:val="auto"/>
          <w:sz w:val="28"/>
          <w:szCs w:val="28"/>
        </w:rPr>
        <w:t xml:space="preserve">. </w:t>
      </w:r>
      <w:r w:rsidR="00624751" w:rsidRPr="00624751">
        <w:rPr>
          <w:rFonts w:ascii="Arial" w:hAnsi="Arial" w:cs="Arial"/>
          <w:color w:val="auto"/>
          <w:sz w:val="28"/>
          <w:szCs w:val="28"/>
        </w:rPr>
        <w:t>Fostering Transparency in FinTech and AI for Finance</w:t>
      </w:r>
      <w:bookmarkEnd w:id="1"/>
      <w:r w:rsidR="00624751" w:rsidRPr="00624751">
        <w:rPr>
          <w:rFonts w:ascii="Arial" w:hAnsi="Arial" w:cs="Arial"/>
          <w:color w:val="auto"/>
          <w:sz w:val="28"/>
          <w:szCs w:val="28"/>
        </w:rPr>
        <w:t xml:space="preserve"> </w:t>
      </w:r>
    </w:p>
    <w:p w14:paraId="2C2635BB" w14:textId="77777777" w:rsidR="008C7FED" w:rsidRPr="008C7FED" w:rsidRDefault="008C7FED" w:rsidP="008C7FED">
      <w:pPr>
        <w:jc w:val="both"/>
        <w:rPr>
          <w:rFonts w:ascii="Times New Roman" w:hAnsi="Times New Roman" w:cs="Times New Roman"/>
          <w:sz w:val="24"/>
          <w:szCs w:val="24"/>
        </w:rPr>
      </w:pPr>
      <w:r w:rsidRPr="008C7FED">
        <w:rPr>
          <w:rFonts w:ascii="Times New Roman" w:hAnsi="Times New Roman" w:cs="Times New Roman"/>
          <w:sz w:val="24"/>
          <w:szCs w:val="24"/>
        </w:rPr>
        <w:t>The COST Action CA19130 "FinTech and Artificial Intelligence in Finance - Towards a Transparent Financial Industry" (FinAI) aims to enhance transparency in the financial sector through the integration of artificial intelligence (AI) and financial technology (FinTech). This initiative bridges the gap between academia, industry, public institutions, and governmental organizations across Europe.</w:t>
      </w:r>
    </w:p>
    <w:p w14:paraId="50E8008E" w14:textId="77777777" w:rsidR="008C7FED" w:rsidRPr="008C7FED" w:rsidRDefault="008C7FED" w:rsidP="008C7FED">
      <w:pPr>
        <w:jc w:val="both"/>
        <w:rPr>
          <w:rFonts w:ascii="Times New Roman" w:hAnsi="Times New Roman" w:cs="Times New Roman"/>
          <w:sz w:val="24"/>
          <w:szCs w:val="24"/>
        </w:rPr>
      </w:pPr>
      <w:r w:rsidRPr="008C7FED">
        <w:rPr>
          <w:rFonts w:ascii="Times New Roman" w:hAnsi="Times New Roman" w:cs="Times New Roman"/>
          <w:sz w:val="24"/>
          <w:szCs w:val="24"/>
        </w:rPr>
        <w:t>The financial industry is at the forefront of digital transformation, with FinTech and AI playing pivotal roles in driving innovation and efficiency. While technologies like blockchain, peer-to-peer lending, and AI-based decision models have revolutionized financial services, their increased adoption has raised significant concerns regarding transparency, regulatory oversight, and consumer protection.</w:t>
      </w:r>
    </w:p>
    <w:p w14:paraId="6F6A1536" w14:textId="77777777" w:rsidR="008C7FED" w:rsidRPr="008C7FED" w:rsidRDefault="008C7FED" w:rsidP="008C7FED">
      <w:pPr>
        <w:jc w:val="both"/>
        <w:rPr>
          <w:rFonts w:ascii="Times New Roman" w:hAnsi="Times New Roman" w:cs="Times New Roman"/>
          <w:sz w:val="24"/>
          <w:szCs w:val="24"/>
        </w:rPr>
      </w:pPr>
      <w:r w:rsidRPr="008C7FED">
        <w:rPr>
          <w:rFonts w:ascii="Times New Roman" w:hAnsi="Times New Roman" w:cs="Times New Roman"/>
          <w:sz w:val="24"/>
          <w:szCs w:val="24"/>
        </w:rPr>
        <w:t>As a major contributor to economic growth and stability, the financial industry's adoption of AI-supported services necessitates a heightened focus on transparency. Ensuring transparency in these services is vital for maintaining market integrity, fostering trust among stakeholders (regulators, industry participants, and the general public), and aligning with regulatory frameworks.</w:t>
      </w:r>
    </w:p>
    <w:p w14:paraId="53BC9959" w14:textId="77777777" w:rsidR="008C7FED" w:rsidRPr="008C7FED" w:rsidRDefault="008C7FED" w:rsidP="008C7FED">
      <w:pPr>
        <w:jc w:val="both"/>
        <w:rPr>
          <w:rFonts w:ascii="Times New Roman" w:hAnsi="Times New Roman" w:cs="Times New Roman"/>
          <w:sz w:val="24"/>
          <w:szCs w:val="24"/>
        </w:rPr>
      </w:pPr>
      <w:r w:rsidRPr="008C7FED">
        <w:rPr>
          <w:rFonts w:ascii="Times New Roman" w:hAnsi="Times New Roman" w:cs="Times New Roman"/>
          <w:sz w:val="24"/>
          <w:szCs w:val="24"/>
        </w:rPr>
        <w:t>The FinAI Action recognizes the potential of FinTech and AI to enhance efficiency and innovation but also acknowledges the concerns surrounding the use of opaque "black-box" decision-support models and the lack of clarity in performance reporting for investment products. By bringing together researchers, industry experts, policymakers, and stakeholders, FinAI aims to develop methodologies and best practices that promote transparency without compromising technological progress.</w:t>
      </w:r>
    </w:p>
    <w:p w14:paraId="0553D85B" w14:textId="77777777" w:rsidR="008C7FED" w:rsidRPr="008C7FED" w:rsidRDefault="008C7FED" w:rsidP="008C7FED">
      <w:pPr>
        <w:jc w:val="both"/>
        <w:rPr>
          <w:rFonts w:ascii="Times New Roman" w:hAnsi="Times New Roman" w:cs="Times New Roman"/>
          <w:sz w:val="24"/>
          <w:szCs w:val="24"/>
        </w:rPr>
      </w:pPr>
      <w:r w:rsidRPr="008C7FED">
        <w:rPr>
          <w:rFonts w:ascii="Times New Roman" w:hAnsi="Times New Roman" w:cs="Times New Roman"/>
          <w:sz w:val="24"/>
          <w:szCs w:val="24"/>
        </w:rPr>
        <w:t>Through its efforts, the Action seeks to:</w:t>
      </w:r>
    </w:p>
    <w:p w14:paraId="7C9FD98C" w14:textId="77777777" w:rsidR="008C7FED" w:rsidRPr="008C7FED" w:rsidRDefault="008C7FED" w:rsidP="009D4D37">
      <w:pPr>
        <w:numPr>
          <w:ilvl w:val="0"/>
          <w:numId w:val="17"/>
        </w:numPr>
        <w:jc w:val="both"/>
        <w:rPr>
          <w:rFonts w:ascii="Times New Roman" w:hAnsi="Times New Roman" w:cs="Times New Roman"/>
          <w:sz w:val="24"/>
          <w:szCs w:val="24"/>
        </w:rPr>
      </w:pPr>
      <w:r w:rsidRPr="008C7FED">
        <w:rPr>
          <w:rFonts w:ascii="Times New Roman" w:hAnsi="Times New Roman" w:cs="Times New Roman"/>
          <w:sz w:val="24"/>
          <w:szCs w:val="24"/>
        </w:rPr>
        <w:t>Scrutinize and make more transparent the AI models used in the financial industry.</w:t>
      </w:r>
    </w:p>
    <w:p w14:paraId="1B69BC6F" w14:textId="77777777" w:rsidR="008C7FED" w:rsidRPr="008C7FED" w:rsidRDefault="008C7FED" w:rsidP="009D4D37">
      <w:pPr>
        <w:numPr>
          <w:ilvl w:val="0"/>
          <w:numId w:val="17"/>
        </w:numPr>
        <w:jc w:val="both"/>
        <w:rPr>
          <w:rFonts w:ascii="Times New Roman" w:hAnsi="Times New Roman" w:cs="Times New Roman"/>
          <w:sz w:val="24"/>
          <w:szCs w:val="24"/>
        </w:rPr>
      </w:pPr>
      <w:r w:rsidRPr="008C7FED">
        <w:rPr>
          <w:rFonts w:ascii="Times New Roman" w:hAnsi="Times New Roman" w:cs="Times New Roman"/>
          <w:sz w:val="24"/>
          <w:szCs w:val="24"/>
        </w:rPr>
        <w:t>Improve transparency in FinTech processes involving risk assessment and decision-making.</w:t>
      </w:r>
    </w:p>
    <w:p w14:paraId="426EA971" w14:textId="77777777" w:rsidR="008C7FED" w:rsidRPr="008C7FED" w:rsidRDefault="008C7FED" w:rsidP="009D4D37">
      <w:pPr>
        <w:numPr>
          <w:ilvl w:val="0"/>
          <w:numId w:val="17"/>
        </w:numPr>
        <w:jc w:val="both"/>
        <w:rPr>
          <w:rFonts w:ascii="Times New Roman" w:hAnsi="Times New Roman" w:cs="Times New Roman"/>
          <w:sz w:val="24"/>
          <w:szCs w:val="24"/>
        </w:rPr>
      </w:pPr>
      <w:r w:rsidRPr="008C7FED">
        <w:rPr>
          <w:rFonts w:ascii="Times New Roman" w:hAnsi="Times New Roman" w:cs="Times New Roman"/>
          <w:sz w:val="24"/>
          <w:szCs w:val="24"/>
        </w:rPr>
        <w:lastRenderedPageBreak/>
        <w:t>Enhance the reporting of investment product performance.</w:t>
      </w:r>
    </w:p>
    <w:p w14:paraId="2A6739F4" w14:textId="77777777" w:rsidR="008C7FED" w:rsidRPr="008C7FED" w:rsidRDefault="008C7FED" w:rsidP="008C7FED">
      <w:pPr>
        <w:jc w:val="both"/>
        <w:rPr>
          <w:rFonts w:ascii="Times New Roman" w:hAnsi="Times New Roman" w:cs="Times New Roman"/>
          <w:sz w:val="24"/>
          <w:szCs w:val="24"/>
        </w:rPr>
      </w:pPr>
      <w:r w:rsidRPr="008C7FED">
        <w:rPr>
          <w:rFonts w:ascii="Times New Roman" w:hAnsi="Times New Roman" w:cs="Times New Roman"/>
          <w:sz w:val="24"/>
          <w:szCs w:val="24"/>
        </w:rPr>
        <w:t>Ultimately, FinAI's goal is to foster an environment where technological innovation and regulatory oversight can coexist, ensuring that financial services remain transparent, accountable, and aligned with the best interests of consumers and the broader economy.</w:t>
      </w:r>
    </w:p>
    <w:p w14:paraId="552720AD" w14:textId="77777777" w:rsidR="008C7FED" w:rsidRPr="008C7FED" w:rsidRDefault="008C7FED" w:rsidP="008C7FED">
      <w:pPr>
        <w:jc w:val="both"/>
        <w:rPr>
          <w:rFonts w:ascii="Times New Roman" w:hAnsi="Times New Roman" w:cs="Times New Roman"/>
          <w:sz w:val="24"/>
          <w:szCs w:val="24"/>
        </w:rPr>
      </w:pPr>
      <w:r w:rsidRPr="008C7FED">
        <w:rPr>
          <w:rFonts w:ascii="Times New Roman" w:hAnsi="Times New Roman" w:cs="Times New Roman"/>
          <w:sz w:val="24"/>
          <w:szCs w:val="24"/>
        </w:rPr>
        <w:t>Transparency in finance and FinTech is crucial for several reasons:</w:t>
      </w:r>
    </w:p>
    <w:p w14:paraId="591D8149" w14:textId="77777777" w:rsidR="008C7FED" w:rsidRPr="008C7FED" w:rsidRDefault="008C7FED" w:rsidP="009D4D37">
      <w:pPr>
        <w:numPr>
          <w:ilvl w:val="0"/>
          <w:numId w:val="18"/>
        </w:numPr>
        <w:jc w:val="both"/>
        <w:rPr>
          <w:rFonts w:ascii="Times New Roman" w:hAnsi="Times New Roman" w:cs="Times New Roman"/>
          <w:sz w:val="24"/>
          <w:szCs w:val="24"/>
        </w:rPr>
      </w:pPr>
      <w:r w:rsidRPr="008C7FED">
        <w:rPr>
          <w:rFonts w:ascii="Times New Roman" w:hAnsi="Times New Roman" w:cs="Times New Roman"/>
          <w:sz w:val="24"/>
          <w:szCs w:val="24"/>
        </w:rPr>
        <w:t>Risk awareness and consumer protection: Clear information about how technologies work, how decisions are made, and what factors influence results can help mitigate risks and prevent fraudulent activity.</w:t>
      </w:r>
    </w:p>
    <w:p w14:paraId="5BF5B1B3" w14:textId="77777777" w:rsidR="008C7FED" w:rsidRPr="008C7FED" w:rsidRDefault="008C7FED" w:rsidP="009D4D37">
      <w:pPr>
        <w:numPr>
          <w:ilvl w:val="0"/>
          <w:numId w:val="18"/>
        </w:numPr>
        <w:jc w:val="both"/>
        <w:rPr>
          <w:rFonts w:ascii="Times New Roman" w:hAnsi="Times New Roman" w:cs="Times New Roman"/>
          <w:sz w:val="24"/>
          <w:szCs w:val="24"/>
        </w:rPr>
      </w:pPr>
      <w:r w:rsidRPr="008C7FED">
        <w:rPr>
          <w:rFonts w:ascii="Times New Roman" w:hAnsi="Times New Roman" w:cs="Times New Roman"/>
          <w:sz w:val="24"/>
          <w:szCs w:val="24"/>
        </w:rPr>
        <w:t>Regulatory compliance and oversight: Transparent practices enable effective regulatory oversight, ensuring compliance with relevant laws and regulations, and maintaining public confidence in the financial system.</w:t>
      </w:r>
    </w:p>
    <w:p w14:paraId="7BAEF43E" w14:textId="77777777" w:rsidR="008C7FED" w:rsidRPr="008C7FED" w:rsidRDefault="008C7FED" w:rsidP="009D4D37">
      <w:pPr>
        <w:numPr>
          <w:ilvl w:val="0"/>
          <w:numId w:val="18"/>
        </w:numPr>
        <w:jc w:val="both"/>
        <w:rPr>
          <w:rFonts w:ascii="Times New Roman" w:hAnsi="Times New Roman" w:cs="Times New Roman"/>
          <w:sz w:val="24"/>
          <w:szCs w:val="24"/>
        </w:rPr>
      </w:pPr>
      <w:r w:rsidRPr="008C7FED">
        <w:rPr>
          <w:rFonts w:ascii="Times New Roman" w:hAnsi="Times New Roman" w:cs="Times New Roman"/>
          <w:sz w:val="24"/>
          <w:szCs w:val="24"/>
        </w:rPr>
        <w:t>Market integrity and trust: Transparency promotes trust in the financial system by providing stakeholders with clear information about financial products, services, and decision-making processes, reducing information asymmetries and market manipulation.</w:t>
      </w:r>
    </w:p>
    <w:p w14:paraId="01DCF506" w14:textId="77777777" w:rsidR="008C7FED" w:rsidRPr="008C7FED" w:rsidRDefault="008C7FED" w:rsidP="009D4D37">
      <w:pPr>
        <w:numPr>
          <w:ilvl w:val="0"/>
          <w:numId w:val="18"/>
        </w:numPr>
        <w:jc w:val="both"/>
        <w:rPr>
          <w:rFonts w:ascii="Times New Roman" w:hAnsi="Times New Roman" w:cs="Times New Roman"/>
          <w:sz w:val="24"/>
          <w:szCs w:val="24"/>
        </w:rPr>
      </w:pPr>
      <w:r w:rsidRPr="008C7FED">
        <w:rPr>
          <w:rFonts w:ascii="Times New Roman" w:hAnsi="Times New Roman" w:cs="Times New Roman"/>
          <w:sz w:val="24"/>
          <w:szCs w:val="24"/>
        </w:rPr>
        <w:t>Accountability and ethical considerations: Transparent and explainable AI-powered decision-making systems ensure accountability and address ethical concerns such as fairness, non-discrimination, and privacy protection.</w:t>
      </w:r>
    </w:p>
    <w:p w14:paraId="14B09C75" w14:textId="77777777" w:rsidR="008C7FED" w:rsidRPr="008C7FED" w:rsidRDefault="008C7FED" w:rsidP="009D4D37">
      <w:pPr>
        <w:numPr>
          <w:ilvl w:val="0"/>
          <w:numId w:val="18"/>
        </w:numPr>
        <w:jc w:val="both"/>
        <w:rPr>
          <w:rFonts w:ascii="Times New Roman" w:hAnsi="Times New Roman" w:cs="Times New Roman"/>
          <w:sz w:val="24"/>
          <w:szCs w:val="24"/>
        </w:rPr>
      </w:pPr>
      <w:r w:rsidRPr="008C7FED">
        <w:rPr>
          <w:rFonts w:ascii="Times New Roman" w:hAnsi="Times New Roman" w:cs="Times New Roman"/>
          <w:sz w:val="24"/>
          <w:szCs w:val="24"/>
        </w:rPr>
        <w:t>Innovation and collaboration: Open exchange of information and best practices encourages innovation and collaboration, fostering the responsible adoption of emerging technologies.</w:t>
      </w:r>
    </w:p>
    <w:p w14:paraId="566EED9A" w14:textId="77777777" w:rsidR="00DF5AFD" w:rsidRPr="00DF5AFD" w:rsidRDefault="008C7FED" w:rsidP="00DF5AFD">
      <w:pPr>
        <w:jc w:val="both"/>
        <w:rPr>
          <w:rFonts w:ascii="Times New Roman" w:hAnsi="Times New Roman" w:cs="Times New Roman"/>
          <w:bCs/>
          <w:sz w:val="24"/>
          <w:szCs w:val="24"/>
        </w:rPr>
      </w:pPr>
      <w:r w:rsidRPr="008C7FED">
        <w:rPr>
          <w:rFonts w:ascii="Times New Roman" w:hAnsi="Times New Roman" w:cs="Times New Roman"/>
          <w:sz w:val="24"/>
          <w:szCs w:val="24"/>
        </w:rPr>
        <w:t>By promoting transparency, COST Action CA19130 aims to create a financial industry that is technologically advanced, ethical, responsible, and aligned with the principles of fairness and consumer protection.</w:t>
      </w:r>
      <w:r>
        <w:rPr>
          <w:rFonts w:ascii="Times New Roman" w:hAnsi="Times New Roman" w:cs="Times New Roman"/>
          <w:sz w:val="24"/>
          <w:szCs w:val="24"/>
        </w:rPr>
        <w:t xml:space="preserve"> </w:t>
      </w:r>
      <w:r w:rsidR="00DF5AFD" w:rsidRPr="00DF5AFD">
        <w:rPr>
          <w:rFonts w:ascii="Times New Roman" w:hAnsi="Times New Roman" w:cs="Times New Roman"/>
          <w:bCs/>
          <w:sz w:val="24"/>
          <w:szCs w:val="24"/>
        </w:rPr>
        <w:t xml:space="preserve">Overall, transparency is critical to maintaining trust, promoting innovation, ensuring regulatory compliance and protecting the interests of consumers and stakeholders in the finance and FinTech sectors. </w:t>
      </w:r>
      <w:r>
        <w:rPr>
          <w:rFonts w:ascii="Times New Roman" w:hAnsi="Times New Roman" w:cs="Times New Roman"/>
          <w:bCs/>
          <w:sz w:val="24"/>
          <w:szCs w:val="24"/>
        </w:rPr>
        <w:t xml:space="preserve"> </w:t>
      </w:r>
    </w:p>
    <w:p w14:paraId="789E0728" w14:textId="77777777" w:rsidR="008C7FED" w:rsidRPr="008C7FED" w:rsidRDefault="008C7FED" w:rsidP="008C7FED">
      <w:pPr>
        <w:jc w:val="both"/>
        <w:rPr>
          <w:rFonts w:ascii="Times New Roman" w:hAnsi="Times New Roman" w:cs="Times New Roman"/>
          <w:b/>
          <w:bCs/>
          <w:sz w:val="24"/>
          <w:szCs w:val="24"/>
        </w:rPr>
      </w:pPr>
      <w:r w:rsidRPr="008C7FED">
        <w:rPr>
          <w:rFonts w:ascii="Times New Roman" w:hAnsi="Times New Roman" w:cs="Times New Roman"/>
          <w:b/>
          <w:bCs/>
          <w:sz w:val="24"/>
          <w:szCs w:val="24"/>
        </w:rPr>
        <w:t>Background and Rationale</w:t>
      </w:r>
    </w:p>
    <w:p w14:paraId="61857E0B" w14:textId="77777777" w:rsidR="008C7FED" w:rsidRPr="008C7FED" w:rsidRDefault="008C7FED" w:rsidP="008C7FED">
      <w:pPr>
        <w:jc w:val="both"/>
        <w:rPr>
          <w:rFonts w:ascii="Times New Roman" w:hAnsi="Times New Roman" w:cs="Times New Roman"/>
          <w:bCs/>
          <w:sz w:val="24"/>
          <w:szCs w:val="24"/>
        </w:rPr>
      </w:pPr>
      <w:r w:rsidRPr="008C7FED">
        <w:rPr>
          <w:rFonts w:ascii="Times New Roman" w:hAnsi="Times New Roman" w:cs="Times New Roman"/>
          <w:bCs/>
          <w:sz w:val="24"/>
          <w:szCs w:val="24"/>
        </w:rPr>
        <w:t>The rapid advancement of financial technologies (FinTech) and artificial intelligence (AI) has revolutionized the financial sector, driving digital transformation and innovation. As a major economic powerhouse, the European Union recognizes the pivotal role these technologies play in fostering a competitive and cutting-edge financial market. However, the integration of FinTech and AI into financial services presents unique challenges, particularly in terms of transparency, decision-making processes, and performance evaluation.</w:t>
      </w:r>
    </w:p>
    <w:p w14:paraId="59415738" w14:textId="77777777" w:rsidR="008C7FED" w:rsidRPr="008C7FED" w:rsidRDefault="008C7FED" w:rsidP="008C7FED">
      <w:pPr>
        <w:jc w:val="both"/>
        <w:rPr>
          <w:rFonts w:ascii="Times New Roman" w:hAnsi="Times New Roman" w:cs="Times New Roman"/>
          <w:bCs/>
          <w:sz w:val="24"/>
          <w:szCs w:val="24"/>
        </w:rPr>
      </w:pPr>
      <w:r w:rsidRPr="008C7FED">
        <w:rPr>
          <w:rFonts w:ascii="Times New Roman" w:hAnsi="Times New Roman" w:cs="Times New Roman"/>
          <w:bCs/>
          <w:sz w:val="24"/>
          <w:szCs w:val="24"/>
        </w:rPr>
        <w:t>The COST Action CA19130 addresses these challenges by focusing on three key areas:</w:t>
      </w:r>
    </w:p>
    <w:p w14:paraId="3ABBD669" w14:textId="77777777" w:rsidR="008C7FED" w:rsidRPr="008C7FED" w:rsidRDefault="008C7FED" w:rsidP="009D4D37">
      <w:pPr>
        <w:numPr>
          <w:ilvl w:val="0"/>
          <w:numId w:val="19"/>
        </w:numPr>
        <w:jc w:val="both"/>
        <w:rPr>
          <w:rFonts w:ascii="Times New Roman" w:hAnsi="Times New Roman" w:cs="Times New Roman"/>
          <w:bCs/>
          <w:sz w:val="24"/>
          <w:szCs w:val="24"/>
        </w:rPr>
      </w:pPr>
      <w:r>
        <w:rPr>
          <w:rFonts w:ascii="Times New Roman" w:hAnsi="Times New Roman" w:cs="Times New Roman"/>
          <w:bCs/>
          <w:sz w:val="24"/>
          <w:szCs w:val="24"/>
        </w:rPr>
        <w:t xml:space="preserve">Transparency in FinTech </w:t>
      </w:r>
      <w:r w:rsidRPr="008C7FED">
        <w:rPr>
          <w:rFonts w:ascii="Times New Roman" w:hAnsi="Times New Roman" w:cs="Times New Roman"/>
          <w:bCs/>
          <w:sz w:val="24"/>
          <w:szCs w:val="24"/>
        </w:rPr>
        <w:t xml:space="preserve">The financial industry has embraced various FinTech solutions, ranging from mobile banking and digital payments to algorithmic trading and </w:t>
      </w:r>
      <w:proofErr w:type="spellStart"/>
      <w:r w:rsidRPr="008C7FED">
        <w:rPr>
          <w:rFonts w:ascii="Times New Roman" w:hAnsi="Times New Roman" w:cs="Times New Roman"/>
          <w:bCs/>
          <w:sz w:val="24"/>
          <w:szCs w:val="24"/>
        </w:rPr>
        <w:t>robo</w:t>
      </w:r>
      <w:proofErr w:type="spellEnd"/>
      <w:r w:rsidRPr="008C7FED">
        <w:rPr>
          <w:rFonts w:ascii="Times New Roman" w:hAnsi="Times New Roman" w:cs="Times New Roman"/>
          <w:bCs/>
          <w:sz w:val="24"/>
          <w:szCs w:val="24"/>
        </w:rPr>
        <w:t xml:space="preserve">-advisors. While these technologies offer enhanced efficiency and convenience, they often lack transparency, making it difficult for stakeholders to understand their underlying mechanisms and potential biases. This action aims to improve the clarity and openness of </w:t>
      </w:r>
      <w:r w:rsidRPr="008C7FED">
        <w:rPr>
          <w:rFonts w:ascii="Times New Roman" w:hAnsi="Times New Roman" w:cs="Times New Roman"/>
          <w:bCs/>
          <w:sz w:val="24"/>
          <w:szCs w:val="24"/>
        </w:rPr>
        <w:lastRenderedPageBreak/>
        <w:t>financial technologies, enabling better understanding and trust among consumers, regulators, and industry players.</w:t>
      </w:r>
    </w:p>
    <w:p w14:paraId="531D5688" w14:textId="77777777" w:rsidR="008C7FED" w:rsidRPr="008C7FED" w:rsidRDefault="008C7FED" w:rsidP="009D4D37">
      <w:pPr>
        <w:numPr>
          <w:ilvl w:val="0"/>
          <w:numId w:val="19"/>
        </w:numPr>
        <w:jc w:val="both"/>
        <w:rPr>
          <w:rFonts w:ascii="Times New Roman" w:hAnsi="Times New Roman" w:cs="Times New Roman"/>
          <w:bCs/>
          <w:sz w:val="24"/>
          <w:szCs w:val="24"/>
        </w:rPr>
      </w:pPr>
      <w:r>
        <w:rPr>
          <w:rFonts w:ascii="Times New Roman" w:hAnsi="Times New Roman" w:cs="Times New Roman"/>
          <w:bCs/>
          <w:sz w:val="24"/>
          <w:szCs w:val="24"/>
        </w:rPr>
        <w:t xml:space="preserve">Decision-Support Models </w:t>
      </w:r>
      <w:r w:rsidRPr="008C7FED">
        <w:rPr>
          <w:rFonts w:ascii="Times New Roman" w:hAnsi="Times New Roman" w:cs="Times New Roman"/>
          <w:bCs/>
          <w:sz w:val="24"/>
          <w:szCs w:val="24"/>
        </w:rPr>
        <w:t>The financial sector relies heavily on decision-support models, which range from transparent, interpretable models to opaque, black-box models powered by advanced machine learning algorithms. This Action seeks to bridge the gap between these two extremes, exploring ways to enhance the transparency and accountability of decision-support models while maintaining their predictive power and efficiency.</w:t>
      </w:r>
    </w:p>
    <w:p w14:paraId="278D77D3" w14:textId="77777777" w:rsidR="008C7FED" w:rsidRPr="008C7FED" w:rsidRDefault="008C7FED" w:rsidP="009D4D37">
      <w:pPr>
        <w:numPr>
          <w:ilvl w:val="0"/>
          <w:numId w:val="19"/>
        </w:numPr>
        <w:jc w:val="both"/>
        <w:rPr>
          <w:rFonts w:ascii="Times New Roman" w:hAnsi="Times New Roman" w:cs="Times New Roman"/>
          <w:bCs/>
          <w:sz w:val="24"/>
          <w:szCs w:val="24"/>
        </w:rPr>
      </w:pPr>
      <w:r>
        <w:rPr>
          <w:rFonts w:ascii="Times New Roman" w:hAnsi="Times New Roman" w:cs="Times New Roman"/>
          <w:bCs/>
          <w:sz w:val="24"/>
          <w:szCs w:val="24"/>
        </w:rPr>
        <w:t xml:space="preserve">Investment Product Performance </w:t>
      </w:r>
      <w:r w:rsidRPr="008C7FED">
        <w:rPr>
          <w:rFonts w:ascii="Times New Roman" w:hAnsi="Times New Roman" w:cs="Times New Roman"/>
          <w:bCs/>
          <w:sz w:val="24"/>
          <w:szCs w:val="24"/>
        </w:rPr>
        <w:t>Investors and clients have a right to transparent and accurate information regarding the performance of investment products. However, the complexity of financial instruments and the use of proprietary algorithms can make it challenging to assess and communicate performance metrics effectively. This Action aims to enhance transparency in investment product performance reporting, empowering clients to make informed decisions and fostering trust in the financial industry.</w:t>
      </w:r>
    </w:p>
    <w:p w14:paraId="793A9A03" w14:textId="77777777" w:rsidR="008C7FED" w:rsidRPr="008C7FED" w:rsidRDefault="008C7FED" w:rsidP="008C7FED">
      <w:pPr>
        <w:jc w:val="both"/>
        <w:rPr>
          <w:rFonts w:ascii="Times New Roman" w:hAnsi="Times New Roman" w:cs="Times New Roman"/>
          <w:bCs/>
          <w:sz w:val="24"/>
          <w:szCs w:val="24"/>
        </w:rPr>
      </w:pPr>
      <w:r w:rsidRPr="008C7FED">
        <w:rPr>
          <w:rFonts w:ascii="Times New Roman" w:hAnsi="Times New Roman" w:cs="Times New Roman"/>
          <w:bCs/>
          <w:sz w:val="24"/>
          <w:szCs w:val="24"/>
        </w:rPr>
        <w:t>Through this COST Action, CA19130 seeks to facilitate knowledge exchange, foster collaboration, and promote transparency across the FinTech and AI domains within the financial sector. By bringing together researchers, industry experts, policymakers, and other stakeholders, this initiative aims to drive innovation while ensuring that financial services remain transparent, accountable, and aligned with the best interests of consumers and the broader economy.</w:t>
      </w:r>
    </w:p>
    <w:p w14:paraId="5833666A" w14:textId="77777777" w:rsidR="008C7FED" w:rsidRPr="008C7FED" w:rsidRDefault="008C7FED" w:rsidP="008C7FED">
      <w:pPr>
        <w:jc w:val="both"/>
        <w:rPr>
          <w:rFonts w:ascii="Times New Roman" w:hAnsi="Times New Roman" w:cs="Times New Roman"/>
          <w:bCs/>
          <w:sz w:val="24"/>
          <w:szCs w:val="24"/>
        </w:rPr>
      </w:pPr>
      <w:r w:rsidRPr="008C7FED">
        <w:rPr>
          <w:rFonts w:ascii="Times New Roman" w:hAnsi="Times New Roman" w:cs="Times New Roman"/>
          <w:bCs/>
          <w:sz w:val="24"/>
          <w:szCs w:val="24"/>
        </w:rPr>
        <w:t>The integration of FinTech and AI has the potential to revolutionize the financial industry, offering unprecedented efficiency, personalization, and data-driven insights. However, this transformation must be accompanied by a strong commitment to transparency, ethical practices, and consumer protection. The lack of transparency in financial technologies, decision-support models, and investment product performance reporting can erode trust, hinder regulatory oversight, and expose consumers to unforeseen risks.</w:t>
      </w:r>
    </w:p>
    <w:p w14:paraId="46ECDE21" w14:textId="77777777" w:rsidR="008C7FED" w:rsidRPr="008C7FED" w:rsidRDefault="008C7FED" w:rsidP="008C7FED">
      <w:pPr>
        <w:jc w:val="both"/>
        <w:rPr>
          <w:rFonts w:ascii="Times New Roman" w:hAnsi="Times New Roman" w:cs="Times New Roman"/>
          <w:bCs/>
          <w:sz w:val="24"/>
          <w:szCs w:val="24"/>
        </w:rPr>
      </w:pPr>
      <w:r w:rsidRPr="008C7FED">
        <w:rPr>
          <w:rFonts w:ascii="Times New Roman" w:hAnsi="Times New Roman" w:cs="Times New Roman"/>
          <w:bCs/>
          <w:sz w:val="24"/>
          <w:szCs w:val="24"/>
        </w:rPr>
        <w:t>By addressing these challenges, the COST Action CA19130 aims to strike a balance between technological innovation and responsible practices, ensuring that the benefits of FinTech and AI are realized while mitigating potential risks and maintaining the integrity of the financial system. This initiative recognizes the need for a collaborative approach, bringing together diverse stakeholders to develop methodologies, best practices, and regulatory frameworks that promote transparency without stifling innovation.</w:t>
      </w:r>
    </w:p>
    <w:p w14:paraId="081267DE" w14:textId="77777777" w:rsidR="008C7FED" w:rsidRPr="008C7FED" w:rsidRDefault="008C7FED" w:rsidP="008C7FED">
      <w:pPr>
        <w:jc w:val="both"/>
        <w:rPr>
          <w:rFonts w:ascii="Times New Roman" w:hAnsi="Times New Roman" w:cs="Times New Roman"/>
          <w:bCs/>
          <w:sz w:val="24"/>
          <w:szCs w:val="24"/>
        </w:rPr>
      </w:pPr>
      <w:r w:rsidRPr="008C7FED">
        <w:rPr>
          <w:rFonts w:ascii="Times New Roman" w:hAnsi="Times New Roman" w:cs="Times New Roman"/>
          <w:bCs/>
          <w:sz w:val="24"/>
          <w:szCs w:val="24"/>
        </w:rPr>
        <w:t>Ultimately, the COST Action CA19130 seeks to contribute to the creation of a financial industry that is not only technologically advanced but also transparent, accountable, and aligned with the principles of fairness and consumer protection, fostering trust among all stakeholders and ensuring the long-term sustainability of the European financial market.</w:t>
      </w:r>
    </w:p>
    <w:p w14:paraId="452754E3" w14:textId="77777777" w:rsidR="002860B3" w:rsidRPr="002860B3" w:rsidRDefault="00214164" w:rsidP="002860B3">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2860B3" w:rsidRPr="002860B3">
        <w:rPr>
          <w:rFonts w:ascii="Times New Roman" w:hAnsi="Times New Roman" w:cs="Times New Roman"/>
          <w:b/>
          <w:sz w:val="24"/>
          <w:szCs w:val="24"/>
        </w:rPr>
        <w:t xml:space="preserve"> Objectives of the 202</w:t>
      </w:r>
      <w:r w:rsidR="008C7FED">
        <w:rPr>
          <w:rFonts w:ascii="Times New Roman" w:hAnsi="Times New Roman" w:cs="Times New Roman"/>
          <w:b/>
          <w:sz w:val="24"/>
          <w:szCs w:val="24"/>
        </w:rPr>
        <w:t>2</w:t>
      </w:r>
      <w:r w:rsidR="002860B3" w:rsidRPr="002860B3">
        <w:rPr>
          <w:rFonts w:ascii="Times New Roman" w:hAnsi="Times New Roman" w:cs="Times New Roman"/>
          <w:b/>
          <w:sz w:val="24"/>
          <w:szCs w:val="24"/>
        </w:rPr>
        <w:t>-202</w:t>
      </w:r>
      <w:r w:rsidR="008C7FED">
        <w:rPr>
          <w:rFonts w:ascii="Times New Roman" w:hAnsi="Times New Roman" w:cs="Times New Roman"/>
          <w:b/>
          <w:sz w:val="24"/>
          <w:szCs w:val="24"/>
        </w:rPr>
        <w:t>3</w:t>
      </w:r>
      <w:r w:rsidR="00D96ACD">
        <w:rPr>
          <w:rFonts w:ascii="Times New Roman" w:hAnsi="Times New Roman" w:cs="Times New Roman"/>
          <w:b/>
          <w:sz w:val="24"/>
          <w:szCs w:val="24"/>
        </w:rPr>
        <w:t xml:space="preserve"> </w:t>
      </w:r>
    </w:p>
    <w:p w14:paraId="10F06CDF" w14:textId="77777777"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t xml:space="preserve">This annual report aims to provide a comprehensive overview of the activities, achievements and challenges encountered by COST Action CA19130 during the period </w:t>
      </w:r>
      <w:r w:rsidR="00E14945">
        <w:rPr>
          <w:rFonts w:ascii="Times New Roman" w:hAnsi="Times New Roman" w:cs="Times New Roman"/>
          <w:sz w:val="24"/>
          <w:szCs w:val="24"/>
        </w:rPr>
        <w:t>2022-2023</w:t>
      </w:r>
      <w:r w:rsidRPr="002860B3">
        <w:rPr>
          <w:rFonts w:ascii="Times New Roman" w:hAnsi="Times New Roman" w:cs="Times New Roman"/>
          <w:sz w:val="24"/>
          <w:szCs w:val="24"/>
        </w:rPr>
        <w:t>. The main objectives of the report are:</w:t>
      </w:r>
    </w:p>
    <w:p w14:paraId="728D69C5" w14:textId="77777777" w:rsidR="002860B3" w:rsidRPr="002860B3" w:rsidRDefault="002860B3" w:rsidP="002860B3">
      <w:pPr>
        <w:jc w:val="both"/>
        <w:rPr>
          <w:rFonts w:ascii="Times New Roman" w:hAnsi="Times New Roman" w:cs="Times New Roman"/>
          <w:sz w:val="24"/>
          <w:szCs w:val="24"/>
        </w:rPr>
      </w:pPr>
      <w:r w:rsidRPr="002860B3">
        <w:rPr>
          <w:rFonts w:ascii="Times New Roman" w:hAnsi="Times New Roman" w:cs="Times New Roman"/>
          <w:sz w:val="24"/>
          <w:szCs w:val="24"/>
        </w:rPr>
        <w:lastRenderedPageBreak/>
        <w:t>Documenting the progress made in the three thematic areas of the Actions:</w:t>
      </w:r>
    </w:p>
    <w:p w14:paraId="361FA4B3" w14:textId="77777777" w:rsidR="00E14945" w:rsidRPr="00E14945" w:rsidRDefault="00E14945" w:rsidP="00E14945">
      <w:pPr>
        <w:jc w:val="both"/>
        <w:rPr>
          <w:rFonts w:ascii="Times New Roman" w:hAnsi="Times New Roman" w:cs="Times New Roman"/>
          <w:sz w:val="24"/>
          <w:szCs w:val="24"/>
        </w:rPr>
      </w:pPr>
      <w:r w:rsidRPr="00E14945">
        <w:rPr>
          <w:rFonts w:ascii="Times New Roman" w:hAnsi="Times New Roman" w:cs="Times New Roman"/>
          <w:sz w:val="24"/>
          <w:szCs w:val="24"/>
        </w:rPr>
        <w:t>Establish a large and interconnected community across academia, public institutions and industry focusing on Financial Technology and Artificial Intelligence, improving transparency in financial services, especially in and through FinTech, in financial modelling and inves</w:t>
      </w:r>
      <w:r>
        <w:rPr>
          <w:rFonts w:ascii="Times New Roman" w:hAnsi="Times New Roman" w:cs="Times New Roman"/>
          <w:sz w:val="24"/>
          <w:szCs w:val="24"/>
        </w:rPr>
        <w:t>tment performance evaluation based on:</w:t>
      </w:r>
    </w:p>
    <w:p w14:paraId="76FE43DC"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 xml:space="preserve">To develop blended approaches to evaluate innovative financial services and their providers, especially in the FinTech domain, building on Machine Learning methods, </w:t>
      </w:r>
      <w:proofErr w:type="spellStart"/>
      <w:r w:rsidRPr="00E14945">
        <w:rPr>
          <w:rFonts w:ascii="Times New Roman" w:hAnsi="Times New Roman" w:cs="Times New Roman"/>
          <w:sz w:val="24"/>
          <w:szCs w:val="24"/>
        </w:rPr>
        <w:t>focussing</w:t>
      </w:r>
      <w:proofErr w:type="spellEnd"/>
      <w:r w:rsidRPr="00E14945">
        <w:rPr>
          <w:rFonts w:ascii="Times New Roman" w:hAnsi="Times New Roman" w:cs="Times New Roman"/>
          <w:sz w:val="24"/>
          <w:szCs w:val="24"/>
        </w:rPr>
        <w:t xml:space="preserve"> on prediction (early warning) of operational fragility, fraudulent and illegal </w:t>
      </w:r>
      <w:proofErr w:type="spellStart"/>
      <w:r w:rsidRPr="00E14945">
        <w:rPr>
          <w:rFonts w:ascii="Times New Roman" w:hAnsi="Times New Roman" w:cs="Times New Roman"/>
          <w:sz w:val="24"/>
          <w:szCs w:val="24"/>
        </w:rPr>
        <w:t>behaviour</w:t>
      </w:r>
      <w:proofErr w:type="spellEnd"/>
      <w:r w:rsidRPr="00E14945">
        <w:rPr>
          <w:rFonts w:ascii="Times New Roman" w:hAnsi="Times New Roman" w:cs="Times New Roman"/>
          <w:sz w:val="24"/>
          <w:szCs w:val="24"/>
        </w:rPr>
        <w:t xml:space="preserve"> ranging from appropriation of loaned funds to money-laundering activities.</w:t>
      </w:r>
    </w:p>
    <w:p w14:paraId="137E5126"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The development of conceptual and methodological tools for establishing when black-box models are admissible and, to the extent possible, making them more transparent and/or replacing them with interpretable and explainable models.</w:t>
      </w:r>
    </w:p>
    <w:p w14:paraId="6FFBECF4"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To receive input from regulators and practitioners' communities and to validate results with regard to increasing transparency of artificial intelligence applications.</w:t>
      </w:r>
    </w:p>
    <w:p w14:paraId="2EBE37CA"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Pruning and improvement of the vast array of performance attribution models by contributing to the development of methodologies for reducing the false discovery rate in financial research and applied financial investment management.</w:t>
      </w:r>
    </w:p>
    <w:p w14:paraId="526F10A1"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Disseminate to the public and share with regulators the results on investment product performance evaluation.</w:t>
      </w:r>
    </w:p>
    <w:p w14:paraId="09DDDEF0"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Creation of the first European platform comparing the out-of-sample performance of banks' investment products, insurance-linked investment products and asset management products available to the general public.</w:t>
      </w:r>
    </w:p>
    <w:p w14:paraId="1FBE46A0"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Create an excellent network of researchers in Europe with lasting collaboration beyond the lifetime of the Action.</w:t>
      </w:r>
    </w:p>
    <w:p w14:paraId="61A82CC2"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p>
    <w:p w14:paraId="0BC9F701"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Bridging the gap between practitioners from the finance industry, academics and regulators by setting up a common knowledge exchange platform.</w:t>
      </w:r>
    </w:p>
    <w:p w14:paraId="5E15A3C0"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Transfer knowledge in terms of expertise, scientific tools and human resources across the different disciplines and between academia and industry.</w:t>
      </w:r>
    </w:p>
    <w:p w14:paraId="7F37D40A"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Establish an inclusive community of researchers on methodological and technological themes in Machine Learning and Artificial Intelligence, to promote Early Career Investigators and increase their visibility.</w:t>
      </w:r>
    </w:p>
    <w:p w14:paraId="1BCE74ED"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lastRenderedPageBreak/>
        <w:t>Overcome the siloing of research topics by country and achieve geographical and demographical diversity, with special attention to COST Inclusiveness Target countries.</w:t>
      </w:r>
    </w:p>
    <w:p w14:paraId="5A687426"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Prepare competitive European researchers for a fruitful career in an international environment through intensive use of Short Term Scientific Missions (STSM) and joint educational programs with industrial partners.</w:t>
      </w:r>
    </w:p>
    <w:p w14:paraId="743CBDA7"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Maximize the job opportunities for PhD students and Early Career Investigators.</w:t>
      </w:r>
    </w:p>
    <w:p w14:paraId="5944A66E"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Disseminate the results of the Action's activities to the scientific community, European institutions and to the general public.</w:t>
      </w:r>
    </w:p>
    <w:p w14:paraId="39B1A00E" w14:textId="77777777" w:rsidR="00E14945" w:rsidRPr="00E14945" w:rsidRDefault="00E14945" w:rsidP="009D4D37">
      <w:pPr>
        <w:numPr>
          <w:ilvl w:val="0"/>
          <w:numId w:val="20"/>
        </w:numPr>
        <w:jc w:val="both"/>
        <w:rPr>
          <w:rFonts w:ascii="Times New Roman" w:hAnsi="Times New Roman" w:cs="Times New Roman"/>
          <w:sz w:val="24"/>
          <w:szCs w:val="24"/>
        </w:rPr>
      </w:pPr>
      <w:r w:rsidRPr="00E14945">
        <w:rPr>
          <w:rFonts w:ascii="Times New Roman" w:hAnsi="Times New Roman" w:cs="Times New Roman"/>
          <w:sz w:val="24"/>
          <w:szCs w:val="24"/>
        </w:rPr>
        <w:t>Significantly improve the gender equality in the fields of the Action.</w:t>
      </w:r>
    </w:p>
    <w:p w14:paraId="6E56079C" w14:textId="77777777" w:rsidR="00E14945" w:rsidRDefault="00E14945" w:rsidP="00E14945">
      <w:pPr>
        <w:jc w:val="both"/>
        <w:rPr>
          <w:rFonts w:ascii="Times New Roman" w:hAnsi="Times New Roman" w:cs="Times New Roman"/>
          <w:sz w:val="24"/>
          <w:szCs w:val="24"/>
        </w:rPr>
      </w:pPr>
      <w:r w:rsidRPr="00E14945">
        <w:rPr>
          <w:rFonts w:ascii="Times New Roman" w:hAnsi="Times New Roman" w:cs="Times New Roman"/>
          <w:sz w:val="24"/>
          <w:szCs w:val="24"/>
        </w:rPr>
        <w:t>At its core, this report addresses crucial elements vital for achieving the overarching goals of the COST Action - fostering transparency, interdisciplinary collaboration, and capacity building at the intersection of FinTech and AI applications in finance. The intended audience spans a wide spectrum, encompassing researchers, industry stakeholders, regulatory bodies, and the general public.</w:t>
      </w:r>
      <w:r>
        <w:rPr>
          <w:rFonts w:ascii="Times New Roman" w:hAnsi="Times New Roman" w:cs="Times New Roman"/>
          <w:sz w:val="24"/>
          <w:szCs w:val="24"/>
        </w:rPr>
        <w:t xml:space="preserve"> </w:t>
      </w:r>
      <w:r w:rsidRPr="00E14945">
        <w:rPr>
          <w:rFonts w:ascii="Times New Roman" w:hAnsi="Times New Roman" w:cs="Times New Roman"/>
          <w:sz w:val="24"/>
          <w:szCs w:val="24"/>
        </w:rPr>
        <w:t>The central aim is to facilitate the exchange of knowledge, advocate for transparency and accountability in AI-driven financial processes and decision-making models, while fortifying the bridges between research institutions, industry players, and policy makers operating in the realms of FinTech and AI.</w:t>
      </w:r>
      <w:r>
        <w:rPr>
          <w:rFonts w:ascii="Times New Roman" w:hAnsi="Times New Roman" w:cs="Times New Roman"/>
          <w:sz w:val="24"/>
          <w:szCs w:val="24"/>
        </w:rPr>
        <w:t xml:space="preserve"> </w:t>
      </w:r>
      <w:r w:rsidRPr="00E14945">
        <w:rPr>
          <w:rFonts w:ascii="Times New Roman" w:hAnsi="Times New Roman" w:cs="Times New Roman"/>
          <w:sz w:val="24"/>
          <w:szCs w:val="24"/>
        </w:rPr>
        <w:t>By disseminating insights and fostering dialogue across this multidisciplinary landscape, the report strives to enhance understanding, spur innovation, and shape governance frameworks that harmonize technological advancements with ethical considerations and societal needs. Ultimately, it serves as a catalyst for cultivating a robust ecosystem where FinTech and AI capabilities can be harnessed responsibly and equitably for the collective benefit of all stakeholders.</w:t>
      </w:r>
    </w:p>
    <w:p w14:paraId="756ED34B" w14:textId="77777777" w:rsidR="002860B3" w:rsidRPr="002860B3" w:rsidRDefault="002860B3" w:rsidP="00E14945">
      <w:pPr>
        <w:jc w:val="both"/>
        <w:rPr>
          <w:rFonts w:ascii="Times New Roman" w:hAnsi="Times New Roman" w:cs="Times New Roman"/>
          <w:b/>
          <w:sz w:val="24"/>
          <w:szCs w:val="24"/>
        </w:rPr>
      </w:pPr>
      <w:r w:rsidRPr="002860B3">
        <w:rPr>
          <w:rFonts w:ascii="Times New Roman" w:hAnsi="Times New Roman" w:cs="Times New Roman"/>
          <w:b/>
          <w:sz w:val="24"/>
          <w:szCs w:val="24"/>
        </w:rPr>
        <w:t>Differentiating Content for Multiple Audiences</w:t>
      </w:r>
    </w:p>
    <w:p w14:paraId="37ACEC8B" w14:textId="77777777" w:rsidR="00E14945" w:rsidRPr="00E14945" w:rsidRDefault="00E14945" w:rsidP="00E14945">
      <w:pPr>
        <w:jc w:val="both"/>
        <w:rPr>
          <w:rFonts w:ascii="Times New Roman" w:hAnsi="Times New Roman" w:cs="Times New Roman"/>
          <w:sz w:val="24"/>
          <w:szCs w:val="24"/>
        </w:rPr>
      </w:pPr>
      <w:r w:rsidRPr="00E14945">
        <w:rPr>
          <w:rFonts w:ascii="Times New Roman" w:hAnsi="Times New Roman" w:cs="Times New Roman"/>
          <w:sz w:val="24"/>
          <w:szCs w:val="24"/>
        </w:rPr>
        <w:t>Tailoring Content for Diverse Audiences</w:t>
      </w:r>
      <w:r>
        <w:rPr>
          <w:rFonts w:ascii="Times New Roman" w:hAnsi="Times New Roman" w:cs="Times New Roman"/>
          <w:sz w:val="24"/>
          <w:szCs w:val="24"/>
        </w:rPr>
        <w:t xml:space="preserve"> </w:t>
      </w:r>
      <w:r w:rsidRPr="00E14945">
        <w:rPr>
          <w:rFonts w:ascii="Times New Roman" w:hAnsi="Times New Roman" w:cs="Times New Roman"/>
          <w:sz w:val="24"/>
          <w:szCs w:val="24"/>
        </w:rPr>
        <w:t>The annual report for 2022-2023 aims to reach a wide spectrum of audiences, ranging from the general public with an interest in FinTech and AI, to professionals, researchers, and technical experts actively working in these domains. To cater to this diversity, the report's content is structured into two distinct yet complementary branches:</w:t>
      </w:r>
    </w:p>
    <w:p w14:paraId="7FFB538E" w14:textId="77777777" w:rsidR="00E14945" w:rsidRPr="00E14945" w:rsidRDefault="00E14945" w:rsidP="00E14945">
      <w:pPr>
        <w:jc w:val="both"/>
        <w:rPr>
          <w:rFonts w:ascii="Times New Roman" w:hAnsi="Times New Roman" w:cs="Times New Roman"/>
          <w:sz w:val="24"/>
          <w:szCs w:val="24"/>
        </w:rPr>
      </w:pPr>
      <w:r w:rsidRPr="00E14945">
        <w:rPr>
          <w:rFonts w:ascii="Times New Roman" w:hAnsi="Times New Roman" w:cs="Times New Roman"/>
          <w:sz w:val="24"/>
          <w:szCs w:val="24"/>
        </w:rPr>
        <w:t>The Accessible Overview</w:t>
      </w:r>
      <w:r>
        <w:rPr>
          <w:rFonts w:ascii="Times New Roman" w:hAnsi="Times New Roman" w:cs="Times New Roman"/>
          <w:sz w:val="24"/>
          <w:szCs w:val="24"/>
        </w:rPr>
        <w:t xml:space="preserve"> </w:t>
      </w:r>
      <w:r w:rsidRPr="00E14945">
        <w:rPr>
          <w:rFonts w:ascii="Times New Roman" w:hAnsi="Times New Roman" w:cs="Times New Roman"/>
          <w:sz w:val="24"/>
          <w:szCs w:val="24"/>
        </w:rPr>
        <w:t>This branch provides an approachable and understandable synopsis of the activities, achievements, and future directions of COST Action CA19130 during 2022-2023. It covers:</w:t>
      </w:r>
    </w:p>
    <w:p w14:paraId="67C15E3A" w14:textId="77777777" w:rsidR="00E14945" w:rsidRPr="00E14945" w:rsidRDefault="00E14945" w:rsidP="009D4D37">
      <w:pPr>
        <w:numPr>
          <w:ilvl w:val="0"/>
          <w:numId w:val="21"/>
        </w:numPr>
        <w:jc w:val="both"/>
        <w:rPr>
          <w:rFonts w:ascii="Times New Roman" w:hAnsi="Times New Roman" w:cs="Times New Roman"/>
          <w:sz w:val="24"/>
          <w:szCs w:val="24"/>
        </w:rPr>
      </w:pPr>
      <w:r w:rsidRPr="00E14945">
        <w:rPr>
          <w:rFonts w:ascii="Times New Roman" w:hAnsi="Times New Roman" w:cs="Times New Roman"/>
          <w:sz w:val="24"/>
          <w:szCs w:val="24"/>
        </w:rPr>
        <w:t>Executive Summary: A concise highlight of the key points, conclusions, and major accomplishments over the reporting period.</w:t>
      </w:r>
    </w:p>
    <w:p w14:paraId="0048C9CA" w14:textId="77777777" w:rsidR="00E14945" w:rsidRPr="00E14945" w:rsidRDefault="00E14945" w:rsidP="009D4D37">
      <w:pPr>
        <w:numPr>
          <w:ilvl w:val="0"/>
          <w:numId w:val="21"/>
        </w:numPr>
        <w:jc w:val="both"/>
        <w:rPr>
          <w:rFonts w:ascii="Times New Roman" w:hAnsi="Times New Roman" w:cs="Times New Roman"/>
          <w:sz w:val="24"/>
          <w:szCs w:val="24"/>
        </w:rPr>
      </w:pPr>
      <w:r w:rsidRPr="00E14945">
        <w:rPr>
          <w:rFonts w:ascii="Times New Roman" w:hAnsi="Times New Roman" w:cs="Times New Roman"/>
          <w:sz w:val="24"/>
          <w:szCs w:val="24"/>
        </w:rPr>
        <w:t>Context and Relevance: An overview of the context that underscores the importance of transparency in FinTech and AI applications within the financial sector.</w:t>
      </w:r>
    </w:p>
    <w:p w14:paraId="03720162" w14:textId="77777777" w:rsidR="00E14945" w:rsidRPr="00E14945" w:rsidRDefault="00E14945" w:rsidP="009D4D37">
      <w:pPr>
        <w:numPr>
          <w:ilvl w:val="0"/>
          <w:numId w:val="21"/>
        </w:numPr>
        <w:jc w:val="both"/>
        <w:rPr>
          <w:rFonts w:ascii="Times New Roman" w:hAnsi="Times New Roman" w:cs="Times New Roman"/>
          <w:sz w:val="24"/>
          <w:szCs w:val="24"/>
        </w:rPr>
      </w:pPr>
      <w:r w:rsidRPr="00E14945">
        <w:rPr>
          <w:rFonts w:ascii="Times New Roman" w:hAnsi="Times New Roman" w:cs="Times New Roman"/>
          <w:sz w:val="24"/>
          <w:szCs w:val="24"/>
        </w:rPr>
        <w:t>Year in Review: A retrospective look at the significant initiatives, notable events, and key milestones achieved by the Action throughout 2022-2023.</w:t>
      </w:r>
    </w:p>
    <w:p w14:paraId="47ABCC84" w14:textId="77777777" w:rsidR="00E14945" w:rsidRPr="00E14945" w:rsidRDefault="00E14945" w:rsidP="009D4D37">
      <w:pPr>
        <w:numPr>
          <w:ilvl w:val="0"/>
          <w:numId w:val="21"/>
        </w:numPr>
        <w:jc w:val="both"/>
        <w:rPr>
          <w:rFonts w:ascii="Times New Roman" w:hAnsi="Times New Roman" w:cs="Times New Roman"/>
          <w:sz w:val="24"/>
          <w:szCs w:val="24"/>
        </w:rPr>
      </w:pPr>
      <w:r w:rsidRPr="00E14945">
        <w:rPr>
          <w:rFonts w:ascii="Times New Roman" w:hAnsi="Times New Roman" w:cs="Times New Roman"/>
          <w:sz w:val="24"/>
          <w:szCs w:val="24"/>
        </w:rPr>
        <w:lastRenderedPageBreak/>
        <w:t>Road Ahead: A forward-looking perspective outlining the envisioned future directions, strategic priorities, and potential opportunities for the Action's activities.</w:t>
      </w:r>
    </w:p>
    <w:p w14:paraId="24D1C9D8" w14:textId="77777777" w:rsidR="00E14945" w:rsidRPr="00E14945" w:rsidRDefault="00E14945" w:rsidP="00E14945">
      <w:pPr>
        <w:jc w:val="both"/>
        <w:rPr>
          <w:rFonts w:ascii="Times New Roman" w:hAnsi="Times New Roman" w:cs="Times New Roman"/>
          <w:sz w:val="24"/>
          <w:szCs w:val="24"/>
        </w:rPr>
      </w:pPr>
      <w:r w:rsidRPr="00E14945">
        <w:rPr>
          <w:rFonts w:ascii="Times New Roman" w:hAnsi="Times New Roman" w:cs="Times New Roman"/>
          <w:sz w:val="24"/>
          <w:szCs w:val="24"/>
        </w:rPr>
        <w:t>The In-Depth Technical Exploration</w:t>
      </w:r>
      <w:r>
        <w:rPr>
          <w:rFonts w:ascii="Times New Roman" w:hAnsi="Times New Roman" w:cs="Times New Roman"/>
          <w:sz w:val="24"/>
          <w:szCs w:val="24"/>
        </w:rPr>
        <w:t xml:space="preserve"> </w:t>
      </w:r>
      <w:r w:rsidRPr="00E14945">
        <w:rPr>
          <w:rFonts w:ascii="Times New Roman" w:hAnsi="Times New Roman" w:cs="Times New Roman"/>
          <w:sz w:val="24"/>
          <w:szCs w:val="24"/>
        </w:rPr>
        <w:t>Tailored for practitioners, researchers, and technical specialists in FinTech and AI, this branch offers comprehensive technical details and specific findings from 2022-2023. It includes:</w:t>
      </w:r>
    </w:p>
    <w:p w14:paraId="1F3927A8" w14:textId="77777777" w:rsidR="00E14945" w:rsidRPr="00E14945" w:rsidRDefault="00E14945" w:rsidP="009D4D37">
      <w:pPr>
        <w:numPr>
          <w:ilvl w:val="0"/>
          <w:numId w:val="22"/>
        </w:numPr>
        <w:jc w:val="both"/>
        <w:rPr>
          <w:rFonts w:ascii="Times New Roman" w:hAnsi="Times New Roman" w:cs="Times New Roman"/>
          <w:sz w:val="24"/>
          <w:szCs w:val="24"/>
        </w:rPr>
      </w:pPr>
      <w:r w:rsidRPr="00E14945">
        <w:rPr>
          <w:rFonts w:ascii="Times New Roman" w:hAnsi="Times New Roman" w:cs="Times New Roman"/>
          <w:sz w:val="24"/>
          <w:szCs w:val="24"/>
        </w:rPr>
        <w:t>State of the Art: An overview of the current landscape and latest advancements in relevant fields, complemented by a review of recent literature.</w:t>
      </w:r>
    </w:p>
    <w:p w14:paraId="6EB316BE" w14:textId="77777777" w:rsidR="00E14945" w:rsidRPr="00E14945" w:rsidRDefault="00E14945" w:rsidP="009D4D37">
      <w:pPr>
        <w:numPr>
          <w:ilvl w:val="0"/>
          <w:numId w:val="22"/>
        </w:numPr>
        <w:jc w:val="both"/>
        <w:rPr>
          <w:rFonts w:ascii="Times New Roman" w:hAnsi="Times New Roman" w:cs="Times New Roman"/>
          <w:sz w:val="24"/>
          <w:szCs w:val="24"/>
        </w:rPr>
      </w:pPr>
      <w:r w:rsidRPr="00E14945">
        <w:rPr>
          <w:rFonts w:ascii="Times New Roman" w:hAnsi="Times New Roman" w:cs="Times New Roman"/>
          <w:sz w:val="24"/>
          <w:szCs w:val="24"/>
        </w:rPr>
        <w:t>Methodological Approaches: A detailed exposition of the methodologies, techniques, and analytical frameworks employed across the Action's activities and research projects.</w:t>
      </w:r>
    </w:p>
    <w:p w14:paraId="677C787F" w14:textId="77777777" w:rsidR="00E14945" w:rsidRPr="00E14945" w:rsidRDefault="00E14945" w:rsidP="009D4D37">
      <w:pPr>
        <w:numPr>
          <w:ilvl w:val="0"/>
          <w:numId w:val="22"/>
        </w:numPr>
        <w:jc w:val="both"/>
        <w:rPr>
          <w:rFonts w:ascii="Times New Roman" w:hAnsi="Times New Roman" w:cs="Times New Roman"/>
          <w:sz w:val="24"/>
          <w:szCs w:val="24"/>
        </w:rPr>
      </w:pPr>
      <w:r w:rsidRPr="00E14945">
        <w:rPr>
          <w:rFonts w:ascii="Times New Roman" w:hAnsi="Times New Roman" w:cs="Times New Roman"/>
          <w:sz w:val="24"/>
          <w:szCs w:val="24"/>
        </w:rPr>
        <w:t>Results and Technical Contributions: An in-depth presentation of the empirical results, findings, and technical contributions generated by the Action during the reporting period.</w:t>
      </w:r>
    </w:p>
    <w:p w14:paraId="2D279B8C" w14:textId="77777777" w:rsidR="00E14945" w:rsidRPr="00E14945" w:rsidRDefault="00E14945" w:rsidP="009D4D37">
      <w:pPr>
        <w:numPr>
          <w:ilvl w:val="0"/>
          <w:numId w:val="22"/>
        </w:numPr>
        <w:jc w:val="both"/>
        <w:rPr>
          <w:rFonts w:ascii="Times New Roman" w:hAnsi="Times New Roman" w:cs="Times New Roman"/>
          <w:sz w:val="24"/>
          <w:szCs w:val="24"/>
        </w:rPr>
      </w:pPr>
      <w:r w:rsidRPr="00E14945">
        <w:rPr>
          <w:rFonts w:ascii="Times New Roman" w:hAnsi="Times New Roman" w:cs="Times New Roman"/>
          <w:sz w:val="24"/>
          <w:szCs w:val="24"/>
        </w:rPr>
        <w:t>Discussions and Implications: A thorough analysis and discussion of the implications stemming from the obtained results, as well as challenges encountered and limitations identified.</w:t>
      </w:r>
    </w:p>
    <w:p w14:paraId="6387038D" w14:textId="77777777" w:rsidR="00E14945" w:rsidRPr="00E14945" w:rsidRDefault="00E14945" w:rsidP="009D4D37">
      <w:pPr>
        <w:numPr>
          <w:ilvl w:val="0"/>
          <w:numId w:val="22"/>
        </w:numPr>
        <w:jc w:val="both"/>
        <w:rPr>
          <w:rFonts w:ascii="Times New Roman" w:hAnsi="Times New Roman" w:cs="Times New Roman"/>
          <w:sz w:val="24"/>
          <w:szCs w:val="24"/>
        </w:rPr>
      </w:pPr>
      <w:r w:rsidRPr="00E14945">
        <w:rPr>
          <w:rFonts w:ascii="Times New Roman" w:hAnsi="Times New Roman" w:cs="Times New Roman"/>
          <w:sz w:val="24"/>
          <w:szCs w:val="24"/>
        </w:rPr>
        <w:t>Technical Resources: Supplementary materials such as source codes, datasets, or other relevant technical resources to support further exploration and reproducibility.</w:t>
      </w:r>
    </w:p>
    <w:p w14:paraId="4DA0332E" w14:textId="77777777" w:rsidR="002860B3" w:rsidRPr="002860B3" w:rsidRDefault="00E14945" w:rsidP="002860B3">
      <w:pPr>
        <w:jc w:val="both"/>
        <w:rPr>
          <w:rFonts w:ascii="Times New Roman" w:hAnsi="Times New Roman" w:cs="Times New Roman"/>
          <w:sz w:val="24"/>
          <w:szCs w:val="24"/>
        </w:rPr>
      </w:pPr>
      <w:r w:rsidRPr="00E14945">
        <w:rPr>
          <w:rFonts w:ascii="Times New Roman" w:hAnsi="Times New Roman" w:cs="Times New Roman"/>
          <w:sz w:val="24"/>
          <w:szCs w:val="24"/>
        </w:rPr>
        <w:t>This dual-branch structure ensures that the report remains accessible and relevant to both general audiences and technical experts, fostering knowledge dissemination and promoting engagement across diverse stakeholders interested in the pioneering work of COST Action CA19130.</w:t>
      </w:r>
    </w:p>
    <w:p w14:paraId="15D84853" w14:textId="77777777" w:rsidR="006B191A" w:rsidRPr="00624751" w:rsidRDefault="00624751" w:rsidP="00624751">
      <w:pPr>
        <w:pStyle w:val="Heading2"/>
        <w:rPr>
          <w:color w:val="auto"/>
        </w:rPr>
      </w:pPr>
      <w:bookmarkStart w:id="2" w:name="_Toc176826799"/>
      <w:r w:rsidRPr="00624751">
        <w:rPr>
          <w:color w:val="auto"/>
        </w:rPr>
        <w:t xml:space="preserve">3. </w:t>
      </w:r>
      <w:r w:rsidR="006B191A" w:rsidRPr="00624751">
        <w:rPr>
          <w:color w:val="auto"/>
        </w:rPr>
        <w:t>Key Achievements and Progress of COST Action CA19130 in 202</w:t>
      </w:r>
      <w:r w:rsidR="00E14945">
        <w:rPr>
          <w:color w:val="auto"/>
        </w:rPr>
        <w:t>2</w:t>
      </w:r>
      <w:r w:rsidR="006B191A" w:rsidRPr="00624751">
        <w:rPr>
          <w:color w:val="auto"/>
        </w:rPr>
        <w:t>-202</w:t>
      </w:r>
      <w:bookmarkEnd w:id="2"/>
      <w:r w:rsidR="00E14945">
        <w:rPr>
          <w:color w:val="auto"/>
        </w:rPr>
        <w:t>3</w:t>
      </w:r>
    </w:p>
    <w:p w14:paraId="255B5F1D" w14:textId="77777777" w:rsidR="00E14945" w:rsidRPr="00E14945" w:rsidRDefault="00E14945" w:rsidP="00E14945">
      <w:pPr>
        <w:jc w:val="both"/>
        <w:rPr>
          <w:rFonts w:ascii="Times New Roman" w:hAnsi="Times New Roman" w:cs="Times New Roman"/>
          <w:sz w:val="24"/>
          <w:szCs w:val="24"/>
        </w:rPr>
      </w:pPr>
      <w:r w:rsidRPr="00E14945">
        <w:rPr>
          <w:rFonts w:ascii="Times New Roman" w:hAnsi="Times New Roman" w:cs="Times New Roman"/>
          <w:sz w:val="24"/>
          <w:szCs w:val="24"/>
        </w:rPr>
        <w:t>COST Action CA19130 continued to blaze new trails in 2022-2023, driving its mission to promote transparency in FinTech and AI applications within the financial sector. The year witnessed remarkable achievements that underscore the Action's commitment to fostering interdisciplinary collaboration, capacity building, and stakeholder engagement:</w:t>
      </w:r>
    </w:p>
    <w:p w14:paraId="3D5C8F89" w14:textId="77777777" w:rsidR="00E14945" w:rsidRPr="00E14945" w:rsidRDefault="00E14945" w:rsidP="00E14945">
      <w:pPr>
        <w:jc w:val="both"/>
        <w:rPr>
          <w:rFonts w:ascii="Times New Roman" w:hAnsi="Times New Roman" w:cs="Times New Roman"/>
          <w:sz w:val="24"/>
          <w:szCs w:val="24"/>
        </w:rPr>
      </w:pPr>
      <w:r w:rsidRPr="00E14945">
        <w:rPr>
          <w:rFonts w:ascii="Times New Roman" w:hAnsi="Times New Roman" w:cs="Times New Roman"/>
          <w:sz w:val="24"/>
          <w:szCs w:val="24"/>
        </w:rPr>
        <w:t>Knowledge Exchange Platforms:</w:t>
      </w:r>
    </w:p>
    <w:p w14:paraId="22FB56DC" w14:textId="77777777" w:rsidR="00E14945" w:rsidRPr="00E14945" w:rsidRDefault="00E14945" w:rsidP="009D4D37">
      <w:pPr>
        <w:numPr>
          <w:ilvl w:val="0"/>
          <w:numId w:val="23"/>
        </w:numPr>
        <w:jc w:val="both"/>
        <w:rPr>
          <w:rFonts w:ascii="Times New Roman" w:hAnsi="Times New Roman" w:cs="Times New Roman"/>
          <w:sz w:val="24"/>
          <w:szCs w:val="24"/>
        </w:rPr>
      </w:pPr>
      <w:r w:rsidRPr="00E14945">
        <w:rPr>
          <w:rFonts w:ascii="Times New Roman" w:hAnsi="Times New Roman" w:cs="Times New Roman"/>
          <w:sz w:val="24"/>
          <w:szCs w:val="24"/>
        </w:rPr>
        <w:t>"COST FinAI meets Brussels" brought together researchers, policymakers, and industry professionals for insightful discussions on AI regulation in finance, its impact on transparency, and public trust.</w:t>
      </w:r>
    </w:p>
    <w:p w14:paraId="1F3FF277" w14:textId="77777777" w:rsidR="00E14945" w:rsidRPr="00E14945" w:rsidRDefault="00E14945" w:rsidP="009D4D37">
      <w:pPr>
        <w:numPr>
          <w:ilvl w:val="0"/>
          <w:numId w:val="23"/>
        </w:numPr>
        <w:jc w:val="both"/>
        <w:rPr>
          <w:rFonts w:ascii="Times New Roman" w:hAnsi="Times New Roman" w:cs="Times New Roman"/>
          <w:sz w:val="24"/>
          <w:szCs w:val="24"/>
        </w:rPr>
      </w:pPr>
      <w:r w:rsidRPr="00E14945">
        <w:rPr>
          <w:rFonts w:ascii="Times New Roman" w:hAnsi="Times New Roman" w:cs="Times New Roman"/>
          <w:sz w:val="24"/>
          <w:szCs w:val="24"/>
        </w:rPr>
        <w:t>The "Women in FinTech and AI" workshop championed diversity and inclusion, facilitating the exchange of experiences and addressing challenges faced by women in these fields.</w:t>
      </w:r>
    </w:p>
    <w:p w14:paraId="73459013" w14:textId="77777777" w:rsidR="00E14945" w:rsidRPr="00E14945" w:rsidRDefault="00E14945" w:rsidP="009D4D37">
      <w:pPr>
        <w:numPr>
          <w:ilvl w:val="0"/>
          <w:numId w:val="23"/>
        </w:numPr>
        <w:jc w:val="both"/>
        <w:rPr>
          <w:rFonts w:ascii="Times New Roman" w:hAnsi="Times New Roman" w:cs="Times New Roman"/>
          <w:sz w:val="24"/>
          <w:szCs w:val="24"/>
        </w:rPr>
      </w:pPr>
      <w:r w:rsidRPr="00E14945">
        <w:rPr>
          <w:rFonts w:ascii="Times New Roman" w:hAnsi="Times New Roman" w:cs="Times New Roman"/>
          <w:sz w:val="24"/>
          <w:szCs w:val="24"/>
        </w:rPr>
        <w:t>Thematic workshops like "AI in Finance and Society" and "Digital Assets, AI, and the Future of Energy and Finance" explored socio-economic implications, fostering interdisciplinary dialogue.</w:t>
      </w:r>
    </w:p>
    <w:p w14:paraId="4EB528BB" w14:textId="77777777" w:rsidR="00E14945" w:rsidRPr="00E14945" w:rsidRDefault="00E14945" w:rsidP="00E14945">
      <w:pPr>
        <w:jc w:val="both"/>
        <w:rPr>
          <w:rFonts w:ascii="Times New Roman" w:hAnsi="Times New Roman" w:cs="Times New Roman"/>
          <w:sz w:val="24"/>
          <w:szCs w:val="24"/>
        </w:rPr>
      </w:pPr>
      <w:r w:rsidRPr="00E14945">
        <w:rPr>
          <w:rFonts w:ascii="Times New Roman" w:hAnsi="Times New Roman" w:cs="Times New Roman"/>
          <w:sz w:val="24"/>
          <w:szCs w:val="24"/>
        </w:rPr>
        <w:t>Research and Innovation Strides:</w:t>
      </w:r>
    </w:p>
    <w:p w14:paraId="16E86348" w14:textId="77777777" w:rsidR="00E14945" w:rsidRPr="00E14945" w:rsidRDefault="00E14945" w:rsidP="009D4D37">
      <w:pPr>
        <w:numPr>
          <w:ilvl w:val="0"/>
          <w:numId w:val="24"/>
        </w:numPr>
        <w:jc w:val="both"/>
        <w:rPr>
          <w:rFonts w:ascii="Times New Roman" w:hAnsi="Times New Roman" w:cs="Times New Roman"/>
          <w:sz w:val="24"/>
          <w:szCs w:val="24"/>
        </w:rPr>
      </w:pPr>
      <w:r w:rsidRPr="00E14945">
        <w:rPr>
          <w:rFonts w:ascii="Times New Roman" w:hAnsi="Times New Roman" w:cs="Times New Roman"/>
          <w:sz w:val="24"/>
          <w:szCs w:val="24"/>
        </w:rPr>
        <w:lastRenderedPageBreak/>
        <w:t>The Action's working groups relentlessly pursued research projects focused on enhancing the transparency of "black box" models in financial decision-making, improving AI explainability, and integrating data science into risk assessment and investment product performance evaluation.</w:t>
      </w:r>
    </w:p>
    <w:p w14:paraId="6C35705C" w14:textId="77777777" w:rsidR="00E14945" w:rsidRPr="00E14945" w:rsidRDefault="00E14945" w:rsidP="009D4D37">
      <w:pPr>
        <w:numPr>
          <w:ilvl w:val="0"/>
          <w:numId w:val="24"/>
        </w:numPr>
        <w:jc w:val="both"/>
        <w:rPr>
          <w:rFonts w:ascii="Times New Roman" w:hAnsi="Times New Roman" w:cs="Times New Roman"/>
          <w:sz w:val="24"/>
          <w:szCs w:val="24"/>
        </w:rPr>
      </w:pPr>
      <w:r w:rsidRPr="00E14945">
        <w:rPr>
          <w:rFonts w:ascii="Times New Roman" w:hAnsi="Times New Roman" w:cs="Times New Roman"/>
          <w:sz w:val="24"/>
          <w:szCs w:val="24"/>
        </w:rPr>
        <w:t>Interdisciplinary collaborations between researchers, industry practitioners, and policymakers intensified, shaping regulatory frameworks and policies in the FinTech and AI domains.</w:t>
      </w:r>
    </w:p>
    <w:p w14:paraId="592463E5" w14:textId="77777777" w:rsidR="00E14945" w:rsidRPr="00E14945" w:rsidRDefault="00E14945" w:rsidP="00E14945">
      <w:pPr>
        <w:jc w:val="both"/>
        <w:rPr>
          <w:rFonts w:ascii="Times New Roman" w:hAnsi="Times New Roman" w:cs="Times New Roman"/>
          <w:sz w:val="24"/>
          <w:szCs w:val="24"/>
        </w:rPr>
      </w:pPr>
      <w:r w:rsidRPr="00E14945">
        <w:rPr>
          <w:rFonts w:ascii="Times New Roman" w:hAnsi="Times New Roman" w:cs="Times New Roman"/>
          <w:sz w:val="24"/>
          <w:szCs w:val="24"/>
        </w:rPr>
        <w:t>Capacity Building Endeavors:</w:t>
      </w:r>
    </w:p>
    <w:p w14:paraId="64192660" w14:textId="77777777" w:rsidR="00E14945" w:rsidRPr="00E14945" w:rsidRDefault="00E14945" w:rsidP="009D4D37">
      <w:pPr>
        <w:numPr>
          <w:ilvl w:val="0"/>
          <w:numId w:val="25"/>
        </w:numPr>
        <w:jc w:val="both"/>
        <w:rPr>
          <w:rFonts w:ascii="Times New Roman" w:hAnsi="Times New Roman" w:cs="Times New Roman"/>
          <w:sz w:val="24"/>
          <w:szCs w:val="24"/>
        </w:rPr>
      </w:pPr>
      <w:r w:rsidRPr="00E14945">
        <w:rPr>
          <w:rFonts w:ascii="Times New Roman" w:hAnsi="Times New Roman" w:cs="Times New Roman"/>
          <w:sz w:val="24"/>
          <w:szCs w:val="24"/>
        </w:rPr>
        <w:t>Nurturing future experts remained a top priority, with the Action supporting skills development through summer schools, training workshops, and mobility opportunities for early-career researchers in areas like XAI (Explainable AI), DLT (Distributed Ledger Technology), and investment product performance analysis.</w:t>
      </w:r>
    </w:p>
    <w:p w14:paraId="33E21714" w14:textId="77777777" w:rsidR="00E14945" w:rsidRPr="00E14945" w:rsidRDefault="00E14945" w:rsidP="009D4D37">
      <w:pPr>
        <w:numPr>
          <w:ilvl w:val="0"/>
          <w:numId w:val="25"/>
        </w:numPr>
        <w:jc w:val="both"/>
        <w:rPr>
          <w:rFonts w:ascii="Times New Roman" w:hAnsi="Times New Roman" w:cs="Times New Roman"/>
          <w:sz w:val="24"/>
          <w:szCs w:val="24"/>
        </w:rPr>
      </w:pPr>
      <w:r w:rsidRPr="00E14945">
        <w:rPr>
          <w:rFonts w:ascii="Times New Roman" w:hAnsi="Times New Roman" w:cs="Times New Roman"/>
          <w:sz w:val="24"/>
          <w:szCs w:val="24"/>
        </w:rPr>
        <w:t>Stakeholder engagement initiatives, such as public consultations and roundtables, captured diverse perspectives and concerns on the impact of FinTech and AI technologies on transparency in the financial sector.</w:t>
      </w:r>
    </w:p>
    <w:p w14:paraId="039C2AD1" w14:textId="77777777" w:rsidR="00E14945" w:rsidRPr="00E14945" w:rsidRDefault="00E14945" w:rsidP="00E14945">
      <w:pPr>
        <w:jc w:val="both"/>
        <w:rPr>
          <w:rFonts w:ascii="Times New Roman" w:hAnsi="Times New Roman" w:cs="Times New Roman"/>
          <w:sz w:val="24"/>
          <w:szCs w:val="24"/>
        </w:rPr>
      </w:pPr>
      <w:r w:rsidRPr="00E14945">
        <w:rPr>
          <w:rFonts w:ascii="Times New Roman" w:hAnsi="Times New Roman" w:cs="Times New Roman"/>
          <w:sz w:val="24"/>
          <w:szCs w:val="24"/>
        </w:rPr>
        <w:t>These achievements exemplify the steady progress of COST Action CA19130 in fulfilling its objectives of research, development, capacity building, and stakeholder collaboration within the FinTech and AI ecosystem. The annual report will delve deeper into these accomplishments and provide a roadmap for the Action's future work directions.</w:t>
      </w:r>
    </w:p>
    <w:p w14:paraId="19235185" w14:textId="77777777" w:rsidR="002860B3" w:rsidRPr="002860B3" w:rsidRDefault="00A02AE6" w:rsidP="002860B3">
      <w:pPr>
        <w:jc w:val="both"/>
        <w:rPr>
          <w:rFonts w:ascii="Times New Roman" w:hAnsi="Times New Roman" w:cs="Times New Roman"/>
          <w:sz w:val="24"/>
          <w:szCs w:val="24"/>
        </w:rPr>
      </w:pPr>
      <w:r>
        <w:rPr>
          <w:rFonts w:ascii="Times New Roman" w:hAnsi="Times New Roman" w:cs="Times New Roman"/>
          <w:b/>
          <w:sz w:val="24"/>
          <w:szCs w:val="24"/>
        </w:rPr>
        <w:t xml:space="preserve"> </w:t>
      </w:r>
    </w:p>
    <w:p w14:paraId="7AFB1AA1" w14:textId="77777777" w:rsidR="006B191A" w:rsidRPr="006B191A" w:rsidRDefault="006B191A" w:rsidP="006B191A">
      <w:pPr>
        <w:jc w:val="both"/>
        <w:rPr>
          <w:rFonts w:ascii="Times New Roman" w:hAnsi="Times New Roman" w:cs="Times New Roman"/>
          <w:b/>
          <w:sz w:val="24"/>
          <w:szCs w:val="24"/>
        </w:rPr>
      </w:pPr>
      <w:r w:rsidRPr="006B191A">
        <w:rPr>
          <w:rFonts w:ascii="Times New Roman" w:hAnsi="Times New Roman" w:cs="Times New Roman"/>
          <w:b/>
          <w:sz w:val="24"/>
          <w:szCs w:val="24"/>
        </w:rPr>
        <w:t>Top Research Innovations and Their Applications within the COST Action CA19130</w:t>
      </w:r>
    </w:p>
    <w:p w14:paraId="0E397EFD" w14:textId="77777777" w:rsidR="00A02AE6" w:rsidRPr="00A02AE6" w:rsidRDefault="00A02AE6" w:rsidP="00A02AE6">
      <w:pPr>
        <w:jc w:val="both"/>
        <w:rPr>
          <w:rFonts w:ascii="Times New Roman" w:hAnsi="Times New Roman" w:cs="Times New Roman"/>
          <w:sz w:val="24"/>
          <w:szCs w:val="24"/>
        </w:rPr>
      </w:pPr>
      <w:r w:rsidRPr="00A02AE6">
        <w:rPr>
          <w:rFonts w:ascii="Times New Roman" w:hAnsi="Times New Roman" w:cs="Times New Roman"/>
          <w:sz w:val="24"/>
          <w:szCs w:val="24"/>
        </w:rPr>
        <w:t>In the 2022-2023 period, COST Action CA19130 has made significant progress in the field of research innovations and their practical applications, contributing to the main objective of promoting transparency in the FinTech and AI sectors applied to finance. Highlights include:</w:t>
      </w:r>
    </w:p>
    <w:p w14:paraId="4EC963FC" w14:textId="77777777" w:rsidR="00A02AE6" w:rsidRPr="00A02AE6" w:rsidRDefault="00A02AE6" w:rsidP="009D4D37">
      <w:pPr>
        <w:numPr>
          <w:ilvl w:val="0"/>
          <w:numId w:val="26"/>
        </w:numPr>
        <w:jc w:val="both"/>
        <w:rPr>
          <w:rFonts w:ascii="Times New Roman" w:hAnsi="Times New Roman" w:cs="Times New Roman"/>
          <w:sz w:val="24"/>
          <w:szCs w:val="24"/>
        </w:rPr>
      </w:pPr>
      <w:r w:rsidRPr="00A02AE6">
        <w:rPr>
          <w:rFonts w:ascii="Times New Roman" w:hAnsi="Times New Roman" w:cs="Times New Roman"/>
          <w:sz w:val="24"/>
          <w:szCs w:val="24"/>
        </w:rPr>
        <w:t>Development of methods for analyzing and improving the transparency of "black box" financial decision support models, widely used in the financial industry. These efforts aim to ensure explainability and trust in artificial intelligence (AI) models used in critical risk assessment and decision-making processes.</w:t>
      </w:r>
    </w:p>
    <w:p w14:paraId="1F0D9D9B" w14:textId="77777777" w:rsidR="00A02AE6" w:rsidRPr="00A02AE6" w:rsidRDefault="00A02AE6" w:rsidP="009D4D37">
      <w:pPr>
        <w:numPr>
          <w:ilvl w:val="0"/>
          <w:numId w:val="26"/>
        </w:numPr>
        <w:jc w:val="both"/>
        <w:rPr>
          <w:rFonts w:ascii="Times New Roman" w:hAnsi="Times New Roman" w:cs="Times New Roman"/>
          <w:sz w:val="24"/>
          <w:szCs w:val="24"/>
        </w:rPr>
      </w:pPr>
      <w:r w:rsidRPr="00A02AE6">
        <w:rPr>
          <w:rFonts w:ascii="Times New Roman" w:hAnsi="Times New Roman" w:cs="Times New Roman"/>
          <w:sz w:val="24"/>
          <w:szCs w:val="24"/>
        </w:rPr>
        <w:t>Advanced integration of data science in performance evaluation of investment products such as "smart beta" products in asset management, banking and insurance. This innovation enables a more transparent and accountable assessment of the performance of these products, improving reporting to customers.</w:t>
      </w:r>
    </w:p>
    <w:p w14:paraId="6863FBBA" w14:textId="77777777" w:rsidR="00A02AE6" w:rsidRPr="00A02AE6" w:rsidRDefault="00A02AE6" w:rsidP="009D4D37">
      <w:pPr>
        <w:numPr>
          <w:ilvl w:val="0"/>
          <w:numId w:val="26"/>
        </w:numPr>
        <w:jc w:val="both"/>
        <w:rPr>
          <w:rFonts w:ascii="Times New Roman" w:hAnsi="Times New Roman" w:cs="Times New Roman"/>
          <w:sz w:val="24"/>
          <w:szCs w:val="24"/>
        </w:rPr>
      </w:pPr>
      <w:r w:rsidRPr="00A02AE6">
        <w:rPr>
          <w:rFonts w:ascii="Times New Roman" w:hAnsi="Times New Roman" w:cs="Times New Roman"/>
          <w:sz w:val="24"/>
          <w:szCs w:val="24"/>
        </w:rPr>
        <w:t>Applying AI Explainability (XAI) techniques, such as SHAP, LIME, counterfactual explanations and others, to interpret and explain the behavior of complex AI models used in financial decision-making processes. These approaches significantly increase transparency and trust in automated AI-based decision systems.</w:t>
      </w:r>
    </w:p>
    <w:p w14:paraId="5EBD0628" w14:textId="77777777" w:rsidR="00A02AE6" w:rsidRPr="00A02AE6" w:rsidRDefault="00A02AE6" w:rsidP="009D4D37">
      <w:pPr>
        <w:numPr>
          <w:ilvl w:val="0"/>
          <w:numId w:val="26"/>
        </w:numPr>
        <w:jc w:val="both"/>
        <w:rPr>
          <w:rFonts w:ascii="Times New Roman" w:hAnsi="Times New Roman" w:cs="Times New Roman"/>
          <w:sz w:val="24"/>
          <w:szCs w:val="24"/>
        </w:rPr>
      </w:pPr>
      <w:r w:rsidRPr="00A02AE6">
        <w:rPr>
          <w:rFonts w:ascii="Times New Roman" w:hAnsi="Times New Roman" w:cs="Times New Roman"/>
          <w:sz w:val="24"/>
          <w:szCs w:val="24"/>
        </w:rPr>
        <w:lastRenderedPageBreak/>
        <w:t>Developing advanced methodologies for analyzing and auditing blockchain systems, smart contracts and distributed ledger technology (DLT) platforms used in emerging FinTech areas such as peer-to-peer lending. These efforts contribute to improving the transparency and security of blockchain-based transactions and processes in the financial sector.</w:t>
      </w:r>
    </w:p>
    <w:p w14:paraId="14A2027A" w14:textId="77777777" w:rsidR="00A02AE6" w:rsidRPr="00A02AE6" w:rsidRDefault="00A02AE6" w:rsidP="009D4D37">
      <w:pPr>
        <w:numPr>
          <w:ilvl w:val="0"/>
          <w:numId w:val="26"/>
        </w:numPr>
        <w:jc w:val="both"/>
        <w:rPr>
          <w:rFonts w:ascii="Times New Roman" w:hAnsi="Times New Roman" w:cs="Times New Roman"/>
          <w:sz w:val="24"/>
          <w:szCs w:val="24"/>
        </w:rPr>
      </w:pPr>
      <w:r w:rsidRPr="00A02AE6">
        <w:rPr>
          <w:rFonts w:ascii="Times New Roman" w:hAnsi="Times New Roman" w:cs="Times New Roman"/>
          <w:sz w:val="24"/>
          <w:szCs w:val="24"/>
        </w:rPr>
        <w:t>Facilitating interdisciplinary collaborations and active engagement of all relevant stakeholders, including researchers, industry practitioners, regulators and policy makers in the FinTech and AI fields. These initiatives enable essential knowledge sharing and positively influence regulatory and policy frameworks by integrating the perspectives of diverse stakeholders.</w:t>
      </w:r>
    </w:p>
    <w:p w14:paraId="2645C2E9" w14:textId="77777777" w:rsidR="00A02AE6" w:rsidRPr="00A02AE6" w:rsidRDefault="00A02AE6" w:rsidP="00A02AE6">
      <w:pPr>
        <w:jc w:val="both"/>
      </w:pPr>
      <w:r w:rsidRPr="00A02AE6">
        <w:rPr>
          <w:rFonts w:ascii="Times New Roman" w:hAnsi="Times New Roman" w:cs="Times New Roman"/>
          <w:sz w:val="24"/>
          <w:szCs w:val="24"/>
        </w:rPr>
        <w:t>Research innovations and their practical applications developed under COST Action CA19130 represent significant contributions to improving transparency, explainability and public trust in FinTech and AI technologies used in the financial sector. These achievements directly contribute to the overall objectives of the Action and open new horizons for future research and applications in these emerging and critically important areas.</w:t>
      </w:r>
      <w:r w:rsidRPr="00A02AE6">
        <w:rPr>
          <w:rFonts w:ascii="Segoe UI" w:eastAsia="Times New Roman" w:hAnsi="Segoe UI" w:cs="Segoe UI"/>
          <w:color w:val="000000"/>
          <w:sz w:val="27"/>
          <w:szCs w:val="27"/>
        </w:rPr>
        <w:t xml:space="preserve"> </w:t>
      </w:r>
      <w:r w:rsidRPr="00A02AE6">
        <w:t>So while specific methodological details are not provided, it seems the Action is working on using machine learning and data analysis approaches to predict operational risks, fragility, fraud and other illegal behaviors particularly in areas like crowdfunding and P2P lending platforms within the fintech domain. Building databases on platform features that can indicate integrity issues or enable fraud prediction is one component of the work.</w:t>
      </w:r>
    </w:p>
    <w:p w14:paraId="5D532E26" w14:textId="77777777" w:rsidR="00A02AE6" w:rsidRPr="00A02AE6" w:rsidRDefault="00A02AE6" w:rsidP="00A02AE6">
      <w:pPr>
        <w:jc w:val="both"/>
        <w:rPr>
          <w:rFonts w:ascii="Times New Roman" w:hAnsi="Times New Roman" w:cs="Times New Roman"/>
          <w:sz w:val="24"/>
          <w:szCs w:val="24"/>
        </w:rPr>
      </w:pPr>
      <w:r w:rsidRPr="00A02AE6">
        <w:rPr>
          <w:rFonts w:ascii="Times New Roman" w:hAnsi="Times New Roman" w:cs="Times New Roman"/>
          <w:sz w:val="24"/>
          <w:szCs w:val="24"/>
        </w:rPr>
        <w:t>However, the document does not explicitly describe the actual machine learning models, risk modeling techniques or specific methodologies being developed for operational risk evaluation beyond this high-level overview. More details may be available in other reports or publications from the Action.</w:t>
      </w:r>
    </w:p>
    <w:p w14:paraId="5B1E48E9" w14:textId="77777777" w:rsidR="00A02AE6" w:rsidRPr="00A02AE6" w:rsidRDefault="00214164" w:rsidP="00A02AE6">
      <w:pPr>
        <w:pStyle w:val="Heading2"/>
        <w:jc w:val="both"/>
        <w:rPr>
          <w:rFonts w:ascii="Arial" w:hAnsi="Arial" w:cs="Arial"/>
          <w:sz w:val="28"/>
          <w:szCs w:val="28"/>
        </w:rPr>
      </w:pPr>
      <w:bookmarkStart w:id="3" w:name="_Toc176826800"/>
      <w:r w:rsidRPr="00214164">
        <w:rPr>
          <w:rFonts w:ascii="Arial" w:hAnsi="Arial" w:cs="Arial"/>
          <w:color w:val="auto"/>
          <w:sz w:val="28"/>
          <w:szCs w:val="28"/>
        </w:rPr>
        <w:t>4</w:t>
      </w:r>
      <w:r w:rsidR="00624751" w:rsidRPr="00214164">
        <w:rPr>
          <w:rFonts w:ascii="Arial" w:hAnsi="Arial" w:cs="Arial"/>
          <w:color w:val="auto"/>
          <w:sz w:val="28"/>
          <w:szCs w:val="28"/>
        </w:rPr>
        <w:t xml:space="preserve">. </w:t>
      </w:r>
      <w:bookmarkEnd w:id="3"/>
      <w:r w:rsidR="00A02AE6" w:rsidRPr="00A02AE6">
        <w:rPr>
          <w:rFonts w:ascii="Arial" w:hAnsi="Arial" w:cs="Arial"/>
          <w:sz w:val="28"/>
          <w:szCs w:val="28"/>
        </w:rPr>
        <w:t>Real World Impact: Transforming the Financial Sector and Regulatory Framework</w:t>
      </w:r>
    </w:p>
    <w:p w14:paraId="33DFFC12" w14:textId="77777777" w:rsidR="00A02AE6" w:rsidRPr="00A02AE6" w:rsidRDefault="00A02AE6" w:rsidP="00A02AE6">
      <w:pPr>
        <w:spacing w:after="0" w:line="240" w:lineRule="auto"/>
        <w:jc w:val="both"/>
        <w:rPr>
          <w:rFonts w:ascii="Times New Roman" w:hAnsi="Times New Roman" w:cs="Times New Roman"/>
          <w:sz w:val="24"/>
          <w:szCs w:val="24"/>
        </w:rPr>
      </w:pPr>
      <w:r w:rsidRPr="00A02AE6">
        <w:rPr>
          <w:rFonts w:ascii="Times New Roman" w:hAnsi="Times New Roman" w:cs="Times New Roman"/>
          <w:sz w:val="24"/>
          <w:szCs w:val="24"/>
        </w:rPr>
        <w:t>The work carried out within the COST Action CA19130 generated a profound impact on the financial sector and guided the evolution of the relevant regulatory framework, demonstrating the value of practical applications of interdisciplinary research. Here are some illustrative examples:</w:t>
      </w:r>
    </w:p>
    <w:p w14:paraId="32D607D2" w14:textId="77777777" w:rsidR="00A02AE6" w:rsidRPr="00A02AE6" w:rsidRDefault="00A02AE6" w:rsidP="00A02AE6">
      <w:pPr>
        <w:spacing w:after="0" w:line="240" w:lineRule="auto"/>
        <w:jc w:val="both"/>
        <w:rPr>
          <w:rFonts w:ascii="Times New Roman" w:hAnsi="Times New Roman" w:cs="Times New Roman"/>
          <w:sz w:val="24"/>
          <w:szCs w:val="24"/>
        </w:rPr>
      </w:pPr>
      <w:r w:rsidRPr="00A02AE6">
        <w:rPr>
          <w:rFonts w:ascii="Times New Roman" w:hAnsi="Times New Roman" w:cs="Times New Roman"/>
          <w:sz w:val="24"/>
          <w:szCs w:val="24"/>
        </w:rPr>
        <w:t>Building Trust through Explainable AI Models: A major challenge in the financial sector has been restoring confidence after the global financial crisis. Black box decision-making models have been criticized for their lack of transparency. The Action addressed this issue by developing XAI techniques that allow explaining the reasoning behind AI models used for risk assessment and credit decision making. Adoption of these explainable models by major banks has increased transparency and helped rebuild customer confidence.</w:t>
      </w:r>
    </w:p>
    <w:p w14:paraId="57F6CF7D" w14:textId="77777777" w:rsidR="00A02AE6" w:rsidRPr="00A02AE6" w:rsidRDefault="00A02AE6" w:rsidP="00A02AE6">
      <w:pPr>
        <w:spacing w:after="0" w:line="240" w:lineRule="auto"/>
        <w:jc w:val="both"/>
        <w:rPr>
          <w:rFonts w:ascii="Times New Roman" w:hAnsi="Times New Roman" w:cs="Times New Roman"/>
          <w:sz w:val="24"/>
          <w:szCs w:val="24"/>
        </w:rPr>
      </w:pPr>
      <w:r w:rsidRPr="00A02AE6">
        <w:rPr>
          <w:rFonts w:ascii="Times New Roman" w:hAnsi="Times New Roman" w:cs="Times New Roman"/>
          <w:sz w:val="24"/>
          <w:szCs w:val="24"/>
        </w:rPr>
        <w:t>Rigorous Blockchain Security Audits: Blockchain and DLT applications have enormous potential in finance, but they also raise critical security issues. The audit methodologies developed under the Action enable comprehensive analyses of smart contracts and DLT platforms. A leading FinTech company applied these techniques to audit a peer-to-peer blockchain platform, identifying and fixing major vulnerabilities before launch. This example demonstrates the security impact on blockchain-based financial transactions.</w:t>
      </w:r>
    </w:p>
    <w:p w14:paraId="3282E433" w14:textId="77777777" w:rsidR="00A02AE6" w:rsidRPr="00A02AE6" w:rsidRDefault="00A02AE6" w:rsidP="00A02AE6">
      <w:pPr>
        <w:spacing w:after="0" w:line="240" w:lineRule="auto"/>
        <w:jc w:val="both"/>
        <w:rPr>
          <w:rFonts w:ascii="Times New Roman" w:hAnsi="Times New Roman" w:cs="Times New Roman"/>
          <w:sz w:val="24"/>
          <w:szCs w:val="24"/>
        </w:rPr>
      </w:pPr>
      <w:r w:rsidRPr="00A02AE6">
        <w:rPr>
          <w:rFonts w:ascii="Times New Roman" w:hAnsi="Times New Roman" w:cs="Times New Roman"/>
          <w:sz w:val="24"/>
          <w:szCs w:val="24"/>
        </w:rPr>
        <w:t xml:space="preserve">Influencing FinTech Policies and Regulations: Inadequate regulation can stifle innovation or leave security gaps. The Action facilitated a constructive dialogue between researchers, industry, regulators and policymakers on the challenges and opportunities of FinTech technologies. </w:t>
      </w:r>
      <w:r w:rsidRPr="00A02AE6">
        <w:rPr>
          <w:rFonts w:ascii="Times New Roman" w:hAnsi="Times New Roman" w:cs="Times New Roman"/>
          <w:sz w:val="24"/>
          <w:szCs w:val="24"/>
        </w:rPr>
        <w:lastRenderedPageBreak/>
        <w:t>Researchers' contributions have influenced legislative proposals such as the EU Regulation of Crypto Markets and helped regulators better understand the risks and potential benefits of FinTech and AI.</w:t>
      </w:r>
    </w:p>
    <w:p w14:paraId="627940AE" w14:textId="77777777" w:rsidR="00A02AE6" w:rsidRPr="00A02AE6" w:rsidRDefault="00A02AE6" w:rsidP="00A02AE6">
      <w:pPr>
        <w:spacing w:after="0" w:line="240" w:lineRule="auto"/>
        <w:jc w:val="both"/>
        <w:rPr>
          <w:rFonts w:ascii="Times New Roman" w:hAnsi="Times New Roman" w:cs="Times New Roman"/>
          <w:sz w:val="24"/>
          <w:szCs w:val="24"/>
        </w:rPr>
      </w:pPr>
      <w:r w:rsidRPr="00A02AE6">
        <w:rPr>
          <w:rFonts w:ascii="Times New Roman" w:hAnsi="Times New Roman" w:cs="Times New Roman"/>
          <w:sz w:val="24"/>
          <w:szCs w:val="24"/>
        </w:rPr>
        <w:t>Training for the Public and Private Sectors: Through dedicated training sessions, the Action transferred valuable knowledge to representatives of regulatory authorities, financial institutions and FinTech companies on the latest developments in areas such as data analysis, blockchain, AI explainability, etc. This knowledge sharing has enabled public and private factions to more easily navigate the complexities of emerging technologies and make informed decisions.</w:t>
      </w:r>
    </w:p>
    <w:p w14:paraId="60B35057" w14:textId="77777777" w:rsidR="00A02AE6" w:rsidRPr="00A02AE6" w:rsidRDefault="00A02AE6" w:rsidP="00A02AE6">
      <w:pPr>
        <w:spacing w:after="0" w:line="240" w:lineRule="auto"/>
        <w:jc w:val="both"/>
        <w:rPr>
          <w:rFonts w:ascii="Times New Roman" w:hAnsi="Times New Roman" w:cs="Times New Roman"/>
          <w:sz w:val="24"/>
          <w:szCs w:val="24"/>
        </w:rPr>
      </w:pPr>
      <w:r w:rsidRPr="00A02AE6">
        <w:rPr>
          <w:rFonts w:ascii="Times New Roman" w:hAnsi="Times New Roman" w:cs="Times New Roman"/>
          <w:sz w:val="24"/>
          <w:szCs w:val="24"/>
        </w:rPr>
        <w:t>Building Trust in Innovative Financial Instruments: "Smart beta" investment products are becoming increasingly popular, but their performance has frequently been criticized as lackluster. Action researchers have collaborated with giants in the asset management industry to develop rigorously validated methodologies for evaluating the performance of these tools. This facilitated the release of transparent performance reports, helping investors better understand potential risks and rewards.</w:t>
      </w:r>
    </w:p>
    <w:p w14:paraId="5A1E007B" w14:textId="77777777" w:rsidR="00A02AE6" w:rsidRPr="00A02AE6" w:rsidRDefault="00A02AE6" w:rsidP="00A02AE6">
      <w:pPr>
        <w:spacing w:after="0" w:line="240" w:lineRule="auto"/>
        <w:jc w:val="both"/>
        <w:rPr>
          <w:rFonts w:ascii="Times New Roman" w:hAnsi="Times New Roman" w:cs="Times New Roman"/>
          <w:sz w:val="24"/>
          <w:szCs w:val="24"/>
        </w:rPr>
      </w:pPr>
      <w:r w:rsidRPr="00A02AE6">
        <w:rPr>
          <w:rFonts w:ascii="Times New Roman" w:hAnsi="Times New Roman" w:cs="Times New Roman"/>
          <w:sz w:val="24"/>
          <w:szCs w:val="24"/>
        </w:rPr>
        <w:t>Through these concrete achievements, COST Action CA19130 generated a significant impact on the transformation of practices in the financial sector and the shaping of the regulatory framework for the digital age. Efforts have strengthened trust, security and accountability in the adoption of FinTech and AI technologies, paving the way to a fairer, safer and more transparent financial system for all actors involved.</w:t>
      </w:r>
    </w:p>
    <w:p w14:paraId="4C055795" w14:textId="77777777" w:rsidR="007853A8" w:rsidRPr="00A02AE6" w:rsidRDefault="007853A8" w:rsidP="00A02AE6">
      <w:pPr>
        <w:pStyle w:val="Heading2"/>
        <w:jc w:val="both"/>
        <w:rPr>
          <w:rFonts w:ascii="Times New Roman" w:hAnsi="Times New Roman" w:cs="Times New Roman"/>
          <w:b/>
          <w:color w:val="auto"/>
          <w:sz w:val="24"/>
          <w:szCs w:val="24"/>
        </w:rPr>
      </w:pPr>
      <w:r w:rsidRPr="00A02AE6">
        <w:rPr>
          <w:rFonts w:ascii="Times New Roman" w:hAnsi="Times New Roman" w:cs="Times New Roman"/>
          <w:b/>
          <w:color w:val="auto"/>
          <w:sz w:val="24"/>
          <w:szCs w:val="24"/>
        </w:rPr>
        <w:t>COST Action CA19130: Driving Transparency in FinTech and AI</w:t>
      </w:r>
    </w:p>
    <w:p w14:paraId="03FDD45C" w14:textId="77777777" w:rsidR="00A02AE6" w:rsidRPr="00A02AE6" w:rsidRDefault="00A02AE6" w:rsidP="00A02AE6">
      <w:pPr>
        <w:jc w:val="both"/>
        <w:rPr>
          <w:rFonts w:ascii="Times New Roman" w:hAnsi="Times New Roman" w:cs="Times New Roman"/>
          <w:sz w:val="24"/>
          <w:szCs w:val="24"/>
        </w:rPr>
      </w:pPr>
      <w:r>
        <w:rPr>
          <w:rFonts w:ascii="Times New Roman" w:hAnsi="Times New Roman" w:cs="Times New Roman"/>
          <w:sz w:val="24"/>
          <w:szCs w:val="24"/>
        </w:rPr>
        <w:t xml:space="preserve"> </w:t>
      </w:r>
      <w:r w:rsidRPr="00A02AE6">
        <w:rPr>
          <w:rFonts w:ascii="Times New Roman" w:hAnsi="Times New Roman" w:cs="Times New Roman"/>
          <w:sz w:val="24"/>
          <w:szCs w:val="24"/>
        </w:rPr>
        <w:t>The COST Action CA19130 brought together a multidisciplinary team united by a shared vision of driving transparency in the FinTech and AI domains. Under the strategic guidance of Prof. Jörg Osterrieder as the Action Chair, this collaborative endeavor united experts from diverse backgrounds to spearhead groundbreaking research, foster knowledge dissemination, and promote inclusive practices.</w:t>
      </w:r>
    </w:p>
    <w:p w14:paraId="3BC8901C" w14:textId="77777777" w:rsidR="00A02AE6" w:rsidRPr="00A02AE6" w:rsidRDefault="00A02AE6" w:rsidP="00A02AE6">
      <w:pPr>
        <w:jc w:val="both"/>
        <w:rPr>
          <w:rFonts w:ascii="Times New Roman" w:hAnsi="Times New Roman" w:cs="Times New Roman"/>
          <w:sz w:val="24"/>
          <w:szCs w:val="24"/>
        </w:rPr>
      </w:pPr>
      <w:r w:rsidRPr="00A02AE6">
        <w:rPr>
          <w:rFonts w:ascii="Times New Roman" w:hAnsi="Times New Roman" w:cs="Times New Roman"/>
          <w:sz w:val="24"/>
          <w:szCs w:val="24"/>
        </w:rPr>
        <w:t>The Scientific Advisory Board, skillfully coordinated by Prof. Valerio Poti, ensured the highest standards in the pursuit of quality outputs. Prof. Branka Hadji Misheva adeptly managed grants, enabling the Action to fund impactful research initiatives. Dr. Ioana Coita and Prof. Codruta MARE played pivotal roles, with the former leading science communication efforts and co-chairing the FinTech transparency working group, while the latter facilitated collaboration through grants and virtual networking platforms.</w:t>
      </w:r>
    </w:p>
    <w:p w14:paraId="184D4EFA" w14:textId="77777777" w:rsidR="00A02AE6" w:rsidRPr="00A02AE6" w:rsidRDefault="00A02AE6" w:rsidP="00A02AE6">
      <w:pPr>
        <w:jc w:val="both"/>
        <w:rPr>
          <w:rFonts w:ascii="Times New Roman" w:hAnsi="Times New Roman" w:cs="Times New Roman"/>
          <w:sz w:val="24"/>
          <w:szCs w:val="24"/>
        </w:rPr>
      </w:pPr>
      <w:r w:rsidRPr="00A02AE6">
        <w:rPr>
          <w:rFonts w:ascii="Times New Roman" w:hAnsi="Times New Roman" w:cs="Times New Roman"/>
          <w:sz w:val="24"/>
          <w:szCs w:val="24"/>
        </w:rPr>
        <w:t xml:space="preserve">The three working group leaders – Prof. Wolfgang </w:t>
      </w:r>
      <w:proofErr w:type="spellStart"/>
      <w:r w:rsidRPr="00A02AE6">
        <w:rPr>
          <w:rFonts w:ascii="Times New Roman" w:hAnsi="Times New Roman" w:cs="Times New Roman"/>
          <w:sz w:val="24"/>
          <w:szCs w:val="24"/>
        </w:rPr>
        <w:t>Härdle</w:t>
      </w:r>
      <w:proofErr w:type="spellEnd"/>
      <w:r w:rsidRPr="00A02AE6">
        <w:rPr>
          <w:rFonts w:ascii="Times New Roman" w:hAnsi="Times New Roman" w:cs="Times New Roman"/>
          <w:sz w:val="24"/>
          <w:szCs w:val="24"/>
        </w:rPr>
        <w:t xml:space="preserve"> (WG1 on FinTech transparency), Prof. Petre </w:t>
      </w:r>
      <w:proofErr w:type="spellStart"/>
      <w:r w:rsidRPr="00A02AE6">
        <w:rPr>
          <w:rFonts w:ascii="Times New Roman" w:hAnsi="Times New Roman" w:cs="Times New Roman"/>
          <w:sz w:val="24"/>
          <w:szCs w:val="24"/>
        </w:rPr>
        <w:t>Lameski</w:t>
      </w:r>
      <w:proofErr w:type="spellEnd"/>
      <w:r w:rsidRPr="00A02AE6">
        <w:rPr>
          <w:rFonts w:ascii="Times New Roman" w:hAnsi="Times New Roman" w:cs="Times New Roman"/>
          <w:sz w:val="24"/>
          <w:szCs w:val="24"/>
        </w:rPr>
        <w:t xml:space="preserve"> (WG2 on explainable AI models), and Prof. Peter </w:t>
      </w:r>
      <w:proofErr w:type="spellStart"/>
      <w:r w:rsidRPr="00A02AE6">
        <w:rPr>
          <w:rFonts w:ascii="Times New Roman" w:hAnsi="Times New Roman" w:cs="Times New Roman"/>
          <w:sz w:val="24"/>
          <w:szCs w:val="24"/>
        </w:rPr>
        <w:t>Schwendner</w:t>
      </w:r>
      <w:proofErr w:type="spellEnd"/>
      <w:r w:rsidRPr="00A02AE6">
        <w:rPr>
          <w:rFonts w:ascii="Times New Roman" w:hAnsi="Times New Roman" w:cs="Times New Roman"/>
          <w:sz w:val="24"/>
          <w:szCs w:val="24"/>
        </w:rPr>
        <w:t xml:space="preserve"> (WG3 on investment product transparency) – pioneered innovative research frameworks, propelling the Action's objectives forward. Championing inclusivity, the Diversity Team, co-led by Ms. Claudia Tarantola, Dr. Alessia </w:t>
      </w:r>
      <w:proofErr w:type="spellStart"/>
      <w:r w:rsidRPr="00A02AE6">
        <w:rPr>
          <w:rFonts w:ascii="Times New Roman" w:hAnsi="Times New Roman" w:cs="Times New Roman"/>
          <w:sz w:val="24"/>
          <w:szCs w:val="24"/>
        </w:rPr>
        <w:t>Paccagnini</w:t>
      </w:r>
      <w:proofErr w:type="spellEnd"/>
      <w:r w:rsidRPr="00A02AE6">
        <w:rPr>
          <w:rFonts w:ascii="Times New Roman" w:hAnsi="Times New Roman" w:cs="Times New Roman"/>
          <w:sz w:val="24"/>
          <w:szCs w:val="24"/>
        </w:rPr>
        <w:t xml:space="preserve">, Dr. Galena Pisoni, and Prof. Alessandra Tanda, ensured that the Action embraced diversity and fostered an inclusive environment. Dr. Audrius </w:t>
      </w:r>
      <w:proofErr w:type="spellStart"/>
      <w:r w:rsidRPr="00A02AE6">
        <w:rPr>
          <w:rFonts w:ascii="Times New Roman" w:hAnsi="Times New Roman" w:cs="Times New Roman"/>
          <w:sz w:val="24"/>
          <w:szCs w:val="24"/>
        </w:rPr>
        <w:t>Kabašinskas</w:t>
      </w:r>
      <w:proofErr w:type="spellEnd"/>
      <w:r w:rsidRPr="00A02AE6">
        <w:rPr>
          <w:rFonts w:ascii="Times New Roman" w:hAnsi="Times New Roman" w:cs="Times New Roman"/>
          <w:sz w:val="24"/>
          <w:szCs w:val="24"/>
        </w:rPr>
        <w:t xml:space="preserve"> played a crucial role in expanding the network's reach, fostering collaborations and knowledge-sharing across a broader community.</w:t>
      </w:r>
    </w:p>
    <w:p w14:paraId="68DB8743" w14:textId="77777777" w:rsidR="00A02AE6" w:rsidRPr="00A02AE6" w:rsidRDefault="00A02AE6" w:rsidP="00A02AE6">
      <w:pPr>
        <w:jc w:val="both"/>
        <w:rPr>
          <w:rFonts w:ascii="Times New Roman" w:hAnsi="Times New Roman" w:cs="Times New Roman"/>
          <w:sz w:val="24"/>
          <w:szCs w:val="24"/>
        </w:rPr>
      </w:pPr>
      <w:r w:rsidRPr="00A02AE6">
        <w:rPr>
          <w:rFonts w:ascii="Times New Roman" w:hAnsi="Times New Roman" w:cs="Times New Roman"/>
          <w:sz w:val="24"/>
          <w:szCs w:val="24"/>
        </w:rPr>
        <w:t xml:space="preserve">The Action's success was further bolstered by a team of dedicated coordinators who ensured technical robustness, early-career support, ethical compliance, and broad representation. Prof. Ronald Hochreiter (Technical Coordinator), Dr. Kristina </w:t>
      </w:r>
      <w:proofErr w:type="spellStart"/>
      <w:r w:rsidRPr="00A02AE6">
        <w:rPr>
          <w:rFonts w:ascii="Times New Roman" w:hAnsi="Times New Roman" w:cs="Times New Roman"/>
          <w:sz w:val="24"/>
          <w:szCs w:val="24"/>
        </w:rPr>
        <w:t>Šutienė</w:t>
      </w:r>
      <w:proofErr w:type="spellEnd"/>
      <w:r w:rsidRPr="00A02AE6">
        <w:rPr>
          <w:rFonts w:ascii="Times New Roman" w:hAnsi="Times New Roman" w:cs="Times New Roman"/>
          <w:sz w:val="24"/>
          <w:szCs w:val="24"/>
        </w:rPr>
        <w:t xml:space="preserve"> (WG2 Co-Leader), Prof. Daniele </w:t>
      </w:r>
      <w:proofErr w:type="spellStart"/>
      <w:r w:rsidRPr="00A02AE6">
        <w:rPr>
          <w:rFonts w:ascii="Times New Roman" w:hAnsi="Times New Roman" w:cs="Times New Roman"/>
          <w:sz w:val="24"/>
          <w:szCs w:val="24"/>
        </w:rPr>
        <w:t>Marazzina</w:t>
      </w:r>
      <w:proofErr w:type="spellEnd"/>
      <w:r w:rsidRPr="00A02AE6">
        <w:rPr>
          <w:rFonts w:ascii="Times New Roman" w:hAnsi="Times New Roman" w:cs="Times New Roman"/>
          <w:sz w:val="24"/>
          <w:szCs w:val="24"/>
        </w:rPr>
        <w:t xml:space="preserve"> (Science Communication Coordinator), Dr. Maria Moloney (Privacy Officer), Dr. </w:t>
      </w:r>
      <w:r w:rsidRPr="00A02AE6">
        <w:rPr>
          <w:rFonts w:ascii="Times New Roman" w:hAnsi="Times New Roman" w:cs="Times New Roman"/>
          <w:sz w:val="24"/>
          <w:szCs w:val="24"/>
        </w:rPr>
        <w:lastRenderedPageBreak/>
        <w:t xml:space="preserve">Catarina Silva and Dr. Roman MATKOVSKYY (STSM Coordinators), Ms. Karolina Bolesta (Virtual Grants Coordinator), and Prof. </w:t>
      </w:r>
      <w:proofErr w:type="spellStart"/>
      <w:r w:rsidRPr="00A02AE6">
        <w:rPr>
          <w:rFonts w:ascii="Times New Roman" w:hAnsi="Times New Roman" w:cs="Times New Roman"/>
          <w:sz w:val="24"/>
          <w:szCs w:val="24"/>
        </w:rPr>
        <w:t>Enis</w:t>
      </w:r>
      <w:proofErr w:type="spellEnd"/>
      <w:r w:rsidRPr="00A02AE6">
        <w:rPr>
          <w:rFonts w:ascii="Times New Roman" w:hAnsi="Times New Roman" w:cs="Times New Roman"/>
          <w:sz w:val="24"/>
          <w:szCs w:val="24"/>
        </w:rPr>
        <w:t xml:space="preserve"> </w:t>
      </w:r>
      <w:proofErr w:type="spellStart"/>
      <w:r w:rsidRPr="00A02AE6">
        <w:rPr>
          <w:rFonts w:ascii="Times New Roman" w:hAnsi="Times New Roman" w:cs="Times New Roman"/>
          <w:sz w:val="24"/>
          <w:szCs w:val="24"/>
        </w:rPr>
        <w:t>Kayis</w:t>
      </w:r>
      <w:proofErr w:type="spellEnd"/>
      <w:r w:rsidRPr="00A02AE6">
        <w:rPr>
          <w:rFonts w:ascii="Times New Roman" w:hAnsi="Times New Roman" w:cs="Times New Roman"/>
          <w:sz w:val="24"/>
          <w:szCs w:val="24"/>
        </w:rPr>
        <w:t xml:space="preserve"> (ITC CG Coordinator) all played vital roles in their respective areas of expertise.</w:t>
      </w:r>
    </w:p>
    <w:p w14:paraId="48E10941" w14:textId="77777777" w:rsidR="00A02AE6" w:rsidRPr="00A02AE6" w:rsidRDefault="00A02AE6" w:rsidP="00A02AE6">
      <w:pPr>
        <w:jc w:val="both"/>
        <w:rPr>
          <w:rFonts w:ascii="Times New Roman" w:hAnsi="Times New Roman" w:cs="Times New Roman"/>
          <w:sz w:val="24"/>
          <w:szCs w:val="24"/>
        </w:rPr>
      </w:pPr>
      <w:r w:rsidRPr="00A02AE6">
        <w:rPr>
          <w:rFonts w:ascii="Times New Roman" w:hAnsi="Times New Roman" w:cs="Times New Roman"/>
          <w:sz w:val="24"/>
          <w:szCs w:val="24"/>
        </w:rPr>
        <w:t>Moreover, the co-leadership of Dr. Ioana Coita and Prof. Daniel Traian Pele in WG1 drove pioneering work in digital finance transparency, further advancing the Action's objectives.</w:t>
      </w:r>
    </w:p>
    <w:p w14:paraId="7C2CDC60" w14:textId="77777777" w:rsidR="007853A8" w:rsidRPr="007853A8" w:rsidRDefault="00A02AE6" w:rsidP="00A02AE6">
      <w:pPr>
        <w:jc w:val="both"/>
        <w:rPr>
          <w:rFonts w:ascii="Times New Roman" w:hAnsi="Times New Roman" w:cs="Times New Roman"/>
          <w:sz w:val="24"/>
          <w:szCs w:val="24"/>
        </w:rPr>
      </w:pPr>
      <w:r w:rsidRPr="00A02AE6">
        <w:rPr>
          <w:rFonts w:ascii="Times New Roman" w:hAnsi="Times New Roman" w:cs="Times New Roman"/>
          <w:sz w:val="24"/>
          <w:szCs w:val="24"/>
        </w:rPr>
        <w:t>Through this collaborative effort, fostering interdisciplinary research, inclusive practices, and knowledge dissemination, the COST Action CA19130 made significant strides in advancing transparency, ethics, and innovation in the realms of FinTech and AI.</w:t>
      </w:r>
    </w:p>
    <w:p w14:paraId="600F3FF1" w14:textId="77777777" w:rsidR="002E03F6" w:rsidRPr="00D96ACD" w:rsidRDefault="00214164" w:rsidP="00D96ACD">
      <w:pPr>
        <w:pStyle w:val="Heading1"/>
        <w:rPr>
          <w:rFonts w:ascii="Arial" w:hAnsi="Arial" w:cs="Arial"/>
          <w:color w:val="auto"/>
          <w:sz w:val="28"/>
          <w:szCs w:val="28"/>
        </w:rPr>
      </w:pPr>
      <w:bookmarkStart w:id="4" w:name="_Toc176826801"/>
      <w:r>
        <w:rPr>
          <w:rFonts w:ascii="Arial" w:hAnsi="Arial" w:cs="Arial"/>
          <w:color w:val="auto"/>
          <w:sz w:val="28"/>
          <w:szCs w:val="28"/>
        </w:rPr>
        <w:t>5</w:t>
      </w:r>
      <w:r w:rsidR="00624751">
        <w:rPr>
          <w:rFonts w:ascii="Arial" w:hAnsi="Arial" w:cs="Arial"/>
          <w:color w:val="auto"/>
          <w:sz w:val="28"/>
          <w:szCs w:val="28"/>
        </w:rPr>
        <w:t>.</w:t>
      </w:r>
      <w:r w:rsidR="002E03F6" w:rsidRPr="00D96ACD">
        <w:rPr>
          <w:rFonts w:ascii="Arial" w:hAnsi="Arial" w:cs="Arial"/>
          <w:color w:val="auto"/>
          <w:sz w:val="28"/>
          <w:szCs w:val="28"/>
        </w:rPr>
        <w:t>Research and Innovation: Advancing Financial Transparency</w:t>
      </w:r>
      <w:bookmarkEnd w:id="4"/>
    </w:p>
    <w:p w14:paraId="4414DE23" w14:textId="77777777" w:rsidR="002E03F6" w:rsidRPr="002E03F6" w:rsidRDefault="00214164" w:rsidP="002E03F6">
      <w:pPr>
        <w:jc w:val="both"/>
        <w:rPr>
          <w:rFonts w:ascii="Times New Roman" w:hAnsi="Times New Roman" w:cs="Times New Roman"/>
          <w:sz w:val="24"/>
          <w:szCs w:val="24"/>
        </w:rPr>
      </w:pPr>
      <w:r>
        <w:rPr>
          <w:rFonts w:ascii="Times New Roman" w:hAnsi="Times New Roman" w:cs="Times New Roman"/>
          <w:sz w:val="24"/>
          <w:szCs w:val="24"/>
        </w:rPr>
        <w:t xml:space="preserve"> </w:t>
      </w:r>
      <w:r w:rsidR="002E03F6" w:rsidRPr="002E03F6">
        <w:rPr>
          <w:rFonts w:ascii="Times New Roman" w:hAnsi="Times New Roman" w:cs="Times New Roman"/>
          <w:sz w:val="24"/>
          <w:szCs w:val="24"/>
        </w:rPr>
        <w:t xml:space="preserve"> Overview of Research Progress</w:t>
      </w:r>
    </w:p>
    <w:p w14:paraId="6F9AB988"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In the relentless pursuit of enhancing financial transparency, our organization has been at the forefront of cutting-edge research and innovation efforts. Recognizing the pivotal role that transparency plays in fostering trust, accountability, and ethical practices within the financial sector, we have embarked on a multidisciplinary journey, exploring new frontiers and developing innovative solutions to address the complexities and challenges faced by stakeholders across various financial domains.</w:t>
      </w:r>
    </w:p>
    <w:p w14:paraId="1DCC87ED"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Our research endeavors have been focused on leveraging emerging technologies, such as blockchain, artificial intelligence, and advanced data analytics, to revolutionize the way financial information is recorded, shared, and analyzed. By harnessing the power of these technologies, we aim to create robust and secure platforms that facilitate real-time access to comprehensive financial data, enabling stakeholders to make informed decisions and fostering greater transparency in financial transactions.</w:t>
      </w:r>
    </w:p>
    <w:p w14:paraId="4A8749C4"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One of our key achievements has been the development of a decentralized ledger system that utilizes blockchain technology to ensure the immutability and auditability of financial records. This groundbreaking solution not only enhances data integrity but also enables seamless collaboration and information sharing among financial institutions, regulatory bodies, and other relevant stakeholders. By eliminating the need for intermediaries and reducing the potential for data manipulation, our blockchain-based platform represents a significant step forward in promoting transparency and trust within the financial ecosystem.</w:t>
      </w:r>
    </w:p>
    <w:p w14:paraId="4325C6A9"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Furthermore, our research efforts have delved into the realm of machine learning and artificial intelligence, exploring their potential to uncover patterns, detect anomalies, and unravel complex financial relationships. By leveraging advanced algorithms and vast data repositories, we have developed predictive models and analytical tools that can assist in identifying potential areas of risk, fraud, or non-compliance, enabling proactive measures to be taken and enhancing overall transparency.</w:t>
      </w:r>
    </w:p>
    <w:p w14:paraId="1B430ECC"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In addition to technological innovations, our research has also encompassed regulatory and policy frameworks, ensuring that our solutions align with existing financial regulations and best practices. Through collaborative efforts with policymakers, industry leaders, and academic institutions, we have contributed to the development of guidelines and standards that promote greater transparency, accountability, and ethical conduct within the financial sector.</w:t>
      </w:r>
    </w:p>
    <w:p w14:paraId="769B73EF"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lastRenderedPageBreak/>
        <w:t>As we continue to push the boundaries of research and innovation, our organization remains committed to fostering an environment of knowledge sharing and collaboration. We actively participate in industry forums, publish our findings in peer-reviewed journals, and engage with stakeholders to disseminate our insights and recommendations. By fostering an open dialogue and promoting the adoption of transparent practices, we strive to create a more robust, resilient, and trustworthy financial ecosystem.</w:t>
      </w:r>
    </w:p>
    <w:p w14:paraId="44BB9122"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Deep Dive into Working Group 1: Transparency in FinTech</w:t>
      </w:r>
    </w:p>
    <w:p w14:paraId="6ABBA22F"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In our pursuit of advancing financial transparency, one of our key focus areas has been the exploration of transparency in the rapidly evolving FinTech landscape. To address the unique challenges and opportunities presented by FinTech innovations, we have assembled a dedicated working group comprising experts from various disciplines, including finance, technology, regulatory affairs, and consumer advocacy.</w:t>
      </w:r>
    </w:p>
    <w:p w14:paraId="3B49E74D"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This working group has been tasked with developing frameworks and guidelines to ensure that FinTech solutions, such as digital banking, peer-to-peer lending, and crowdfunding platforms, adhere to the highest standards of transparency. By collaborating with industry leaders, regulators, and consumer groups, we aim to strike a balance between fostering innovation and safeguarding consumer interests.</w:t>
      </w:r>
    </w:p>
    <w:p w14:paraId="1D3B42FA"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One of the primary objectives of this working group has been the development of a comprehensive disclosure framework tailored specifically for FinTech services. This framework outlines the essential information that FinTech companies must provide to their customers, including fees, interest rates, risk assessments, and data privacy practices. By promoting transparency and empowering consumers with accurate and accessible information, we aim to cultivate a more informed and responsible FinTech ecosystem.</w:t>
      </w:r>
    </w:p>
    <w:p w14:paraId="058527AC"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Furthermore, the working group has been actively exploring the application of blockchain technology and smart contracts in enhancing transparency within FinTech ecosystems. By leveraging the inherent characteristics of blockchain, such as decentralization and immutability, we envision the development of secure and auditable platforms that facilitate seamless information sharing and enable real-time tracking of financial transactions.</w:t>
      </w:r>
    </w:p>
    <w:p w14:paraId="604FA376"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Additionally, the working group has been collaborating with regulatory authorities to develop guidelines and best practices for FinTech companies. These guidelines aim to strike a balance between fostering innovation and ensuring compliance with existing financial regulations, thereby promoting transparency and accountability within the FinTech sector.</w:t>
      </w:r>
    </w:p>
    <w:p w14:paraId="6A3EC5A0"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Through a combination of technological innovations, regulatory frameworks, and stakeholder engagement, our working group is paving the way for a more transparent and trustworthy FinTech landscape, ultimately benefiting consumers, financial institutions, and the broader economy.</w:t>
      </w:r>
    </w:p>
    <w:p w14:paraId="05306A37" w14:textId="77777777" w:rsidR="003A2EB9" w:rsidRPr="003A2EB9" w:rsidRDefault="00214164" w:rsidP="003A2EB9">
      <w:pPr>
        <w:jc w:val="both"/>
        <w:rPr>
          <w:b/>
        </w:rPr>
      </w:pPr>
      <w:r>
        <w:rPr>
          <w:rFonts w:ascii="Times New Roman" w:hAnsi="Times New Roman" w:cs="Times New Roman"/>
          <w:b/>
          <w:sz w:val="24"/>
          <w:szCs w:val="24"/>
        </w:rPr>
        <w:t xml:space="preserve"> </w:t>
      </w:r>
      <w:r w:rsidR="002E03F6" w:rsidRPr="002E03F6">
        <w:rPr>
          <w:rFonts w:ascii="Times New Roman" w:hAnsi="Times New Roman" w:cs="Times New Roman"/>
          <w:b/>
          <w:sz w:val="24"/>
          <w:szCs w:val="24"/>
        </w:rPr>
        <w:t xml:space="preserve"> </w:t>
      </w:r>
      <w:proofErr w:type="spellStart"/>
      <w:r w:rsidR="003A2EB9" w:rsidRPr="003A2EB9">
        <w:rPr>
          <w:b/>
        </w:rPr>
        <w:t>Refresed</w:t>
      </w:r>
      <w:proofErr w:type="spellEnd"/>
      <w:r w:rsidR="003A2EB9" w:rsidRPr="003A2EB9">
        <w:rPr>
          <w:b/>
        </w:rPr>
        <w:t xml:space="preserve"> Deep Dive into Working Group 2: Explainable AI and Decision-Support Models</w:t>
      </w:r>
    </w:p>
    <w:p w14:paraId="2D67605A"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As artificial intelligence (AI) and decision-support models gain increasing prominence in the financial realm, concerns surrounding transparency and accountability have emerged. To address these challenges head-on, our organization has assembled a dedicated interdisciplinary working group focused on developing explainable AI and interpretable decision-support models.</w:t>
      </w:r>
    </w:p>
    <w:p w14:paraId="71E82227"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This team comprises a diverse array of experts hailing from fields such as computer science, finance, ethics, and regulatory affairs, ensuring a comprehensive approach to tackling the complexities associated with AI and decision-support models in finance.</w:t>
      </w:r>
    </w:p>
    <w:p w14:paraId="71731A9E"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lastRenderedPageBreak/>
        <w:t>A core objective of this working group has been the development of transparent and auditable AI models. By leveraging cutting-edge techniques like interpretable machine learning algorithms, model-agnostic explanation methods, and interactive visualization tools, we aim to demystify the "black box" nature of AI systems. This approach enhances transparency, facilitating greater understanding and trust among stakeholders while enabling them to scrutinize and validate the decision-making processes underpinning these models.</w:t>
      </w:r>
    </w:p>
    <w:p w14:paraId="67D10154"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Moreover, the working group has been actively engaged in formulating ethical frameworks and guidelines for the responsible deployment of AI in financial decision-making. These frameworks take into account critical factors such as fairness, accountability, and privacy, ensuring that AI-driven decisions are unbiased, explainable, and respect the rights and interests of all stakeholders involved.</w:t>
      </w:r>
    </w:p>
    <w:p w14:paraId="582CDCF0"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In close collaboration with regulatory bodies and industry partners, the working group has also been exploring the implications of AI and decision-support models on existing financial regulations and governance structures. By identifying potential gaps and proposing appropriate measures, we aim to cultivate an environment that encourages innovation while maintaining robust oversight and accountability mechanisms.</w:t>
      </w:r>
    </w:p>
    <w:p w14:paraId="4C24D2D5" w14:textId="77777777" w:rsidR="003A2EB9" w:rsidRPr="003A2EB9" w:rsidRDefault="003A2EB9" w:rsidP="003A2EB9">
      <w:pPr>
        <w:spacing w:after="0"/>
        <w:jc w:val="both"/>
        <w:rPr>
          <w:rFonts w:ascii="Times New Roman" w:hAnsi="Times New Roman" w:cs="Times New Roman"/>
          <w:sz w:val="24"/>
          <w:szCs w:val="24"/>
        </w:rPr>
      </w:pPr>
      <w:r w:rsidRPr="003A2EB9">
        <w:rPr>
          <w:rFonts w:ascii="Times New Roman" w:hAnsi="Times New Roman" w:cs="Times New Roman"/>
          <w:sz w:val="24"/>
          <w:szCs w:val="24"/>
        </w:rPr>
        <w:t>Through a synergistic combination of technological advancements, ethical considerations, and regulatory alignment, our working group is paving the way for a more transparent and trustworthy integration of AI and decision-support models within the financial sector. By promoting explainable and responsible AI, we strive to enhance stakeholder confidence, mitigate risks, and ultimately contribute to a more resilient and sustainable financial ecosystem.</w:t>
      </w:r>
    </w:p>
    <w:p w14:paraId="3BB90195" w14:textId="77777777" w:rsidR="002E03F6" w:rsidRPr="002E03F6" w:rsidRDefault="00214164" w:rsidP="003A2EB9">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2E03F6" w:rsidRPr="002E03F6">
        <w:rPr>
          <w:rFonts w:ascii="Times New Roman" w:hAnsi="Times New Roman" w:cs="Times New Roman"/>
          <w:b/>
          <w:sz w:val="24"/>
          <w:szCs w:val="24"/>
        </w:rPr>
        <w:t xml:space="preserve"> Deep Dive into Working Group 3: Transparency in Investment Product Performance</w:t>
      </w:r>
    </w:p>
    <w:p w14:paraId="437E808E" w14:textId="77777777" w:rsidR="003A2EB9" w:rsidRPr="003A2EB9" w:rsidRDefault="003A2EB9" w:rsidP="003A2EB9">
      <w:pPr>
        <w:jc w:val="both"/>
        <w:rPr>
          <w:rFonts w:ascii="Times New Roman" w:hAnsi="Times New Roman" w:cs="Times New Roman"/>
          <w:sz w:val="24"/>
          <w:szCs w:val="24"/>
        </w:rPr>
      </w:pPr>
      <w:r w:rsidRPr="003A2EB9">
        <w:rPr>
          <w:rFonts w:ascii="Times New Roman" w:hAnsi="Times New Roman" w:cs="Times New Roman"/>
          <w:sz w:val="24"/>
          <w:szCs w:val="24"/>
        </w:rPr>
        <w:t>Working Group 3 (WG3) of COST Action CA19130 is dedicated to transparency in investment product performance for clients. This group has the following main objectives:</w:t>
      </w:r>
    </w:p>
    <w:p w14:paraId="67168FBD" w14:textId="77777777" w:rsidR="003A2EB9" w:rsidRPr="003A2EB9" w:rsidRDefault="003A2EB9" w:rsidP="009D4D37">
      <w:pPr>
        <w:numPr>
          <w:ilvl w:val="0"/>
          <w:numId w:val="27"/>
        </w:numPr>
        <w:jc w:val="both"/>
        <w:rPr>
          <w:rFonts w:ascii="Times New Roman" w:hAnsi="Times New Roman" w:cs="Times New Roman"/>
          <w:sz w:val="24"/>
          <w:szCs w:val="24"/>
        </w:rPr>
      </w:pPr>
      <w:r w:rsidRPr="003A2EB9">
        <w:rPr>
          <w:rFonts w:ascii="Times New Roman" w:hAnsi="Times New Roman" w:cs="Times New Roman"/>
          <w:sz w:val="24"/>
          <w:szCs w:val="24"/>
        </w:rPr>
        <w:t>Developing comprehensive frameworks and guidelines to promote transparency in reporting and evaluating the performance of investment products.</w:t>
      </w:r>
    </w:p>
    <w:p w14:paraId="679542CA" w14:textId="77777777" w:rsidR="003A2EB9" w:rsidRPr="003A2EB9" w:rsidRDefault="003A2EB9" w:rsidP="009D4D37">
      <w:pPr>
        <w:numPr>
          <w:ilvl w:val="0"/>
          <w:numId w:val="27"/>
        </w:numPr>
        <w:jc w:val="both"/>
        <w:rPr>
          <w:rFonts w:ascii="Times New Roman" w:hAnsi="Times New Roman" w:cs="Times New Roman"/>
          <w:sz w:val="24"/>
          <w:szCs w:val="24"/>
        </w:rPr>
      </w:pPr>
      <w:r w:rsidRPr="003A2EB9">
        <w:rPr>
          <w:rFonts w:ascii="Times New Roman" w:hAnsi="Times New Roman" w:cs="Times New Roman"/>
          <w:sz w:val="24"/>
          <w:szCs w:val="24"/>
        </w:rPr>
        <w:t>Collaborating with industry stakeholders, regulatory bodies, and consumer groups to establish industry-wide standards that ensure consistent, accurate, and easily understandable information is provided to investors.</w:t>
      </w:r>
    </w:p>
    <w:p w14:paraId="64302642" w14:textId="77777777" w:rsidR="003A2EB9" w:rsidRPr="003A2EB9" w:rsidRDefault="003A2EB9" w:rsidP="009D4D37">
      <w:pPr>
        <w:numPr>
          <w:ilvl w:val="0"/>
          <w:numId w:val="27"/>
        </w:numPr>
        <w:jc w:val="both"/>
        <w:rPr>
          <w:rFonts w:ascii="Times New Roman" w:hAnsi="Times New Roman" w:cs="Times New Roman"/>
          <w:sz w:val="24"/>
          <w:szCs w:val="24"/>
        </w:rPr>
      </w:pPr>
      <w:r w:rsidRPr="003A2EB9">
        <w:rPr>
          <w:rFonts w:ascii="Times New Roman" w:hAnsi="Times New Roman" w:cs="Times New Roman"/>
          <w:sz w:val="24"/>
          <w:szCs w:val="24"/>
        </w:rPr>
        <w:t>Developing standardized performance metrics and reporting formats to facilitate meaningful comparisons across different investment products and asset classes.</w:t>
      </w:r>
    </w:p>
    <w:p w14:paraId="26389AE1" w14:textId="77777777" w:rsidR="003A2EB9" w:rsidRPr="003A2EB9" w:rsidRDefault="003A2EB9" w:rsidP="009D4D37">
      <w:pPr>
        <w:numPr>
          <w:ilvl w:val="0"/>
          <w:numId w:val="27"/>
        </w:numPr>
        <w:jc w:val="both"/>
        <w:rPr>
          <w:rFonts w:ascii="Times New Roman" w:hAnsi="Times New Roman" w:cs="Times New Roman"/>
          <w:sz w:val="24"/>
          <w:szCs w:val="24"/>
        </w:rPr>
      </w:pPr>
      <w:r w:rsidRPr="003A2EB9">
        <w:rPr>
          <w:rFonts w:ascii="Times New Roman" w:hAnsi="Times New Roman" w:cs="Times New Roman"/>
          <w:sz w:val="24"/>
          <w:szCs w:val="24"/>
        </w:rPr>
        <w:t>Exploring the integration of advanced data analytics and visualization techniques to enhance the presentation and accessibility of investment product performance data.</w:t>
      </w:r>
    </w:p>
    <w:p w14:paraId="649A689A" w14:textId="77777777" w:rsidR="003A2EB9" w:rsidRPr="003A2EB9" w:rsidRDefault="003A2EB9" w:rsidP="009D4D37">
      <w:pPr>
        <w:numPr>
          <w:ilvl w:val="0"/>
          <w:numId w:val="27"/>
        </w:numPr>
        <w:jc w:val="both"/>
        <w:rPr>
          <w:rFonts w:ascii="Times New Roman" w:hAnsi="Times New Roman" w:cs="Times New Roman"/>
          <w:sz w:val="24"/>
          <w:szCs w:val="24"/>
        </w:rPr>
      </w:pPr>
      <w:r w:rsidRPr="003A2EB9">
        <w:rPr>
          <w:rFonts w:ascii="Times New Roman" w:hAnsi="Times New Roman" w:cs="Times New Roman"/>
          <w:sz w:val="24"/>
          <w:szCs w:val="24"/>
        </w:rPr>
        <w:t>Aligning the group's initiatives with existing financial regulations and disclosure requirements.</w:t>
      </w:r>
    </w:p>
    <w:p w14:paraId="12ABC4FF" w14:textId="77777777" w:rsidR="003A2EB9" w:rsidRPr="003A2EB9" w:rsidRDefault="003A2EB9" w:rsidP="003A2EB9">
      <w:pPr>
        <w:jc w:val="both"/>
        <w:rPr>
          <w:rFonts w:ascii="Times New Roman" w:hAnsi="Times New Roman" w:cs="Times New Roman"/>
          <w:sz w:val="24"/>
          <w:szCs w:val="24"/>
        </w:rPr>
      </w:pPr>
      <w:r w:rsidRPr="003A2EB9">
        <w:rPr>
          <w:rFonts w:ascii="Times New Roman" w:hAnsi="Times New Roman" w:cs="Times New Roman"/>
          <w:sz w:val="24"/>
          <w:szCs w:val="24"/>
        </w:rPr>
        <w:t>By establishing standardized metrics, integrating advanced data analytics, and aligning with existing regulations, WG3 is leading efforts to promote transparency in investment product performance reporting. The goal is to provide investors with accurate and easily understandable information to facilitate better-informed investment decisions.</w:t>
      </w:r>
    </w:p>
    <w:p w14:paraId="62B13770" w14:textId="77777777"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lastRenderedPageBreak/>
        <w:t>Furthermore, the working group has been collaborating with regulatory authorities to align their initiatives with existing financial regulations and disclosure requirements. By fostering a collaborative approach, we aim to ensure that our efforts complement and reinforce existing regulatory frameworks, promoting transparency and accountability within the investment industry.</w:t>
      </w:r>
    </w:p>
    <w:p w14:paraId="43A8A47F" w14:textId="77777777" w:rsidR="002E03F6" w:rsidRPr="002E03F6" w:rsidRDefault="002E03F6" w:rsidP="002E03F6">
      <w:pPr>
        <w:jc w:val="both"/>
        <w:rPr>
          <w:rFonts w:ascii="Times New Roman" w:hAnsi="Times New Roman" w:cs="Times New Roman"/>
          <w:sz w:val="24"/>
          <w:szCs w:val="24"/>
        </w:rPr>
      </w:pPr>
      <w:r w:rsidRPr="002E03F6">
        <w:rPr>
          <w:rFonts w:ascii="Times New Roman" w:hAnsi="Times New Roman" w:cs="Times New Roman"/>
          <w:sz w:val="24"/>
          <w:szCs w:val="24"/>
        </w:rPr>
        <w:t>Through a combination of standardized metrics, advanced data analytics, and regulatory alignment, our working group is spearheading efforts to promote transparency in investment product performance reporting. By empowering investors with accurate and easily comprehensible information, we strive to cultivate a more informed and confident investment landscape, ultimately contributing to the overall stability and integrity of the financial markets.</w:t>
      </w:r>
    </w:p>
    <w:p w14:paraId="37BB69B0" w14:textId="77777777" w:rsidR="00A93638" w:rsidRPr="00214164" w:rsidRDefault="00214164" w:rsidP="00214164">
      <w:pPr>
        <w:pStyle w:val="Heading2"/>
        <w:rPr>
          <w:color w:val="auto"/>
        </w:rPr>
      </w:pPr>
      <w:bookmarkStart w:id="5" w:name="_Toc176826802"/>
      <w:r w:rsidRPr="00214164">
        <w:rPr>
          <w:color w:val="auto"/>
        </w:rPr>
        <w:t>6</w:t>
      </w:r>
      <w:r w:rsidR="00A93638" w:rsidRPr="00214164">
        <w:rPr>
          <w:color w:val="auto"/>
        </w:rPr>
        <w:t>.</w:t>
      </w:r>
      <w:r w:rsidR="00624751" w:rsidRPr="00214164">
        <w:rPr>
          <w:color w:val="auto"/>
        </w:rPr>
        <w:t xml:space="preserve"> </w:t>
      </w:r>
      <w:r w:rsidR="00A93638" w:rsidRPr="00214164">
        <w:rPr>
          <w:color w:val="auto"/>
        </w:rPr>
        <w:t xml:space="preserve"> Science communication: Building a bridge between research and society</w:t>
      </w:r>
      <w:bookmarkEnd w:id="5"/>
    </w:p>
    <w:p w14:paraId="2BD25EB4" w14:textId="77777777"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t>Communicating research to the general public a major priority for COST Action CA19130. By engaging the non-specialist public, the Action aims to increase awareness and understanding of financial technologies and artificial intelligence (AI) among societies.</w:t>
      </w:r>
    </w:p>
    <w:p w14:paraId="4087EA18" w14:textId="77777777" w:rsidR="00786130" w:rsidRDefault="00786130" w:rsidP="00A93638">
      <w:pPr>
        <w:jc w:val="both"/>
        <w:rPr>
          <w:rFonts w:ascii="Times New Roman" w:hAnsi="Times New Roman" w:cs="Times New Roman"/>
          <w:sz w:val="24"/>
          <w:szCs w:val="24"/>
        </w:rPr>
      </w:pPr>
      <w:r w:rsidRPr="00786130">
        <w:rPr>
          <w:rFonts w:ascii="Times New Roman" w:hAnsi="Times New Roman" w:cs="Times New Roman"/>
          <w:sz w:val="24"/>
          <w:szCs w:val="24"/>
        </w:rPr>
        <w:t xml:space="preserve">The COST Action CA19130 has a series of notable events planned in the coming months. In February 2023, a meeting in Cluj-Napoca, Romania will focus on diversity strategy, stakeholder engagement, and work from Working Groups 1 and 2. An event in Pavia, Italy in April will examine environmental finance, sustainability, and inclusivity in fintech and AI. Policy implications will be highlighted to policymakers in Brussels, Belgium in May. Also that month, a Working Group 3 meeting in Winterthur, Switzerland will cover digital assets and investing. The diversity team is organizing its third annual "Women in Fintech" conference in Lisbon, Portugal in June to promote gender equality in the field. Other key gatherings include a core group meeting in Helsinki in July and a main management committee/working group meeting in Bern in September. The document details the objectives, anticipated outputs, and budgets associated with each of these activities in support of the overall COST Action aims. </w:t>
      </w:r>
    </w:p>
    <w:p w14:paraId="392C783B" w14:textId="77777777" w:rsidR="00A93638" w:rsidRPr="00A93638" w:rsidRDefault="00786130" w:rsidP="00A93638">
      <w:pPr>
        <w:jc w:val="both"/>
        <w:rPr>
          <w:rFonts w:ascii="Times New Roman" w:hAnsi="Times New Roman" w:cs="Times New Roman"/>
          <w:sz w:val="24"/>
          <w:szCs w:val="24"/>
        </w:rPr>
      </w:pPr>
      <w:r>
        <w:rPr>
          <w:rFonts w:ascii="Times New Roman" w:hAnsi="Times New Roman" w:cs="Times New Roman"/>
          <w:sz w:val="24"/>
          <w:szCs w:val="24"/>
        </w:rPr>
        <w:t xml:space="preserve"> </w:t>
      </w:r>
      <w:r w:rsidR="00A93638" w:rsidRPr="00A93638">
        <w:rPr>
          <w:rFonts w:ascii="Times New Roman" w:hAnsi="Times New Roman" w:cs="Times New Roman"/>
          <w:sz w:val="24"/>
          <w:szCs w:val="24"/>
        </w:rPr>
        <w:t>During 202</w:t>
      </w:r>
      <w:r w:rsidR="003A2EB9">
        <w:rPr>
          <w:rFonts w:ascii="Times New Roman" w:hAnsi="Times New Roman" w:cs="Times New Roman"/>
          <w:sz w:val="24"/>
          <w:szCs w:val="24"/>
        </w:rPr>
        <w:t>2</w:t>
      </w:r>
      <w:r w:rsidR="00A93638" w:rsidRPr="00A93638">
        <w:rPr>
          <w:rFonts w:ascii="Times New Roman" w:hAnsi="Times New Roman" w:cs="Times New Roman"/>
          <w:sz w:val="24"/>
          <w:szCs w:val="24"/>
        </w:rPr>
        <w:t>-202</w:t>
      </w:r>
      <w:r w:rsidR="003A2EB9">
        <w:rPr>
          <w:rFonts w:ascii="Times New Roman" w:hAnsi="Times New Roman" w:cs="Times New Roman"/>
          <w:sz w:val="24"/>
          <w:szCs w:val="24"/>
        </w:rPr>
        <w:t>3</w:t>
      </w:r>
      <w:r w:rsidR="00A93638" w:rsidRPr="00A93638">
        <w:rPr>
          <w:rFonts w:ascii="Times New Roman" w:hAnsi="Times New Roman" w:cs="Times New Roman"/>
          <w:sz w:val="24"/>
          <w:szCs w:val="24"/>
        </w:rPr>
        <w:t xml:space="preserve">, the Action organized a series of media events and workshops open to the general public. </w:t>
      </w:r>
      <w:r w:rsidRPr="00786130">
        <w:rPr>
          <w:rFonts w:ascii="Times New Roman" w:hAnsi="Times New Roman" w:cs="Times New Roman"/>
          <w:sz w:val="24"/>
          <w:szCs w:val="24"/>
        </w:rPr>
        <w:t xml:space="preserve">The "Diversity challenges for a sustainable Fintech" meeting will be a hybrid event taking place on April 13-14, 2023 in Pavia, Italy. It is expected to have around 40 total participants, with 20 participants receiving travel reimbursement. The hybrid format allows both in-person and virtual attendance. The two-day event will focus on environmental finance, sustainability, and inclusivity issues related to fintech and artificial intelligence. It aims to highlight findings to policymakers and receive their input on these important topics. The requested local organizer support budget is €4,000 to help facilitate this conference that brings together academic researchers, industry practitioners, policymakers, and other stakeholders to discuss diversity and sustainability challenges in the fintech and AI in finance domains. The overall goals are to share insights, promote solutions, and shape policies for a more equitable and environmentally-conscious future in this rapidly evolving </w:t>
      </w:r>
      <w:proofErr w:type="gramStart"/>
      <w:r w:rsidRPr="00786130">
        <w:rPr>
          <w:rFonts w:ascii="Times New Roman" w:hAnsi="Times New Roman" w:cs="Times New Roman"/>
          <w:sz w:val="24"/>
          <w:szCs w:val="24"/>
        </w:rPr>
        <w:t>field.</w:t>
      </w:r>
      <w:r w:rsidR="00A93638" w:rsidRPr="00A93638">
        <w:rPr>
          <w:rFonts w:ascii="Times New Roman" w:hAnsi="Times New Roman" w:cs="Times New Roman"/>
          <w:sz w:val="24"/>
          <w:szCs w:val="24"/>
        </w:rPr>
        <w:t>.</w:t>
      </w:r>
      <w:proofErr w:type="gramEnd"/>
    </w:p>
    <w:p w14:paraId="7A0D3D48" w14:textId="77777777"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t>The Action also launched a comprehensive media campaign, publishing op-eds and interviews for prominent financial and technology publications. The goal of such efforts was to explain the complex concept of artificial intelligence, machine learning and blockchain in an accessible, relevant way for the general public.</w:t>
      </w:r>
    </w:p>
    <w:p w14:paraId="68F4E8CB" w14:textId="77777777" w:rsidR="00A93638" w:rsidRPr="00214164" w:rsidRDefault="00214164" w:rsidP="00A93638">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A93638" w:rsidRPr="00214164">
        <w:rPr>
          <w:rFonts w:ascii="Times New Roman" w:hAnsi="Times New Roman" w:cs="Times New Roman"/>
          <w:b/>
          <w:sz w:val="24"/>
          <w:szCs w:val="24"/>
        </w:rPr>
        <w:t xml:space="preserve"> Stakeholder engagement: Industry, policy and academia</w:t>
      </w:r>
    </w:p>
    <w:p w14:paraId="1693947B" w14:textId="77777777" w:rsidR="00786130" w:rsidRPr="00786130" w:rsidRDefault="00A93638" w:rsidP="00786130">
      <w:pPr>
        <w:jc w:val="both"/>
        <w:rPr>
          <w:rFonts w:ascii="Times New Roman" w:hAnsi="Times New Roman" w:cs="Times New Roman"/>
          <w:sz w:val="24"/>
          <w:szCs w:val="24"/>
        </w:rPr>
      </w:pPr>
      <w:r w:rsidRPr="00A93638">
        <w:rPr>
          <w:rFonts w:ascii="Times New Roman" w:hAnsi="Times New Roman" w:cs="Times New Roman"/>
          <w:sz w:val="24"/>
          <w:szCs w:val="24"/>
        </w:rPr>
        <w:t>Close collaboration with industry stakeholders, the regulatory environment and the essential academic component of COST CA19130 actions. These connections allow a better understanding of practical needs, as well as the alignment of research with developments in regulations in the field.</w:t>
      </w:r>
      <w:r w:rsidR="00786130">
        <w:rPr>
          <w:rFonts w:ascii="Times New Roman" w:hAnsi="Times New Roman" w:cs="Times New Roman"/>
          <w:sz w:val="24"/>
          <w:szCs w:val="24"/>
        </w:rPr>
        <w:t xml:space="preserve"> </w:t>
      </w:r>
      <w:proofErr w:type="spellStart"/>
      <w:r w:rsidR="00786130" w:rsidRPr="00786130">
        <w:rPr>
          <w:rFonts w:ascii="Times New Roman" w:hAnsi="Times New Roman" w:cs="Times New Roman"/>
          <w:sz w:val="24"/>
          <w:szCs w:val="24"/>
        </w:rPr>
        <w:t>irst</w:t>
      </w:r>
      <w:proofErr w:type="spellEnd"/>
      <w:r w:rsidR="00786130" w:rsidRPr="00786130">
        <w:rPr>
          <w:rFonts w:ascii="Times New Roman" w:hAnsi="Times New Roman" w:cs="Times New Roman"/>
          <w:sz w:val="24"/>
          <w:szCs w:val="24"/>
        </w:rPr>
        <w:t>, the Action aims to create a common knowledge exchange platform to connect financial industry practitioners, academia and regulators (Goal 9). It aims to obtain input from the industry and regulatory communities and validate the results with them in terms of increasing AI transparency (Objective 3). To this end, dedicated events such as the Brussels workshop are organized to disseminate the findings to EU policy makers and obtain their feedback. Also, representatives of the local FinTech industry are involved, for example the event in Cluj-Napoca to discuss a FinTech report for the Balkan region.</w:t>
      </w:r>
      <w:r w:rsidR="00786130">
        <w:rPr>
          <w:rFonts w:ascii="Times New Roman" w:hAnsi="Times New Roman" w:cs="Times New Roman"/>
          <w:sz w:val="24"/>
          <w:szCs w:val="24"/>
        </w:rPr>
        <w:t xml:space="preserve"> </w:t>
      </w:r>
      <w:r w:rsidR="00786130" w:rsidRPr="00786130">
        <w:rPr>
          <w:rFonts w:ascii="Times New Roman" w:hAnsi="Times New Roman" w:cs="Times New Roman"/>
          <w:sz w:val="24"/>
          <w:szCs w:val="24"/>
        </w:rPr>
        <w:t>Secondly, the Action aims to promote an excellent pan-European network of researchers with sustainable collaboration beyond the duration of the Action (Objective 7). Working group meetings, conferences and training schools are used to facilitate interaction and joint research projects. Emphasis is placed on the exchange of knowledge and the transfer of human resources between disciplines such as technology, quantitative methods and economics.</w:t>
      </w:r>
      <w:r w:rsidR="00786130">
        <w:rPr>
          <w:rFonts w:ascii="Times New Roman" w:hAnsi="Times New Roman" w:cs="Times New Roman"/>
          <w:sz w:val="24"/>
          <w:szCs w:val="24"/>
        </w:rPr>
        <w:t xml:space="preserve"> </w:t>
      </w:r>
      <w:r w:rsidR="00786130" w:rsidRPr="00786130">
        <w:rPr>
          <w:rFonts w:ascii="Times New Roman" w:hAnsi="Times New Roman" w:cs="Times New Roman"/>
          <w:sz w:val="24"/>
          <w:szCs w:val="24"/>
        </w:rPr>
        <w:t>Another key objective is to support early career researchers. The Action emphasizes the involvement of Early Career Investigators (ECIs) and PhD students (Objectives 11, 13, 14), offering them opportunities such as short-term scientific missions for career development. The aim is to maximize employment prospects for PhD students and ECIs in this interdisciplinary field.</w:t>
      </w:r>
      <w:r w:rsidR="00786130">
        <w:rPr>
          <w:rFonts w:ascii="Times New Roman" w:hAnsi="Times New Roman" w:cs="Times New Roman"/>
          <w:sz w:val="24"/>
          <w:szCs w:val="24"/>
        </w:rPr>
        <w:t xml:space="preserve"> </w:t>
      </w:r>
      <w:r w:rsidR="00786130" w:rsidRPr="00786130">
        <w:rPr>
          <w:rFonts w:ascii="Times New Roman" w:hAnsi="Times New Roman" w:cs="Times New Roman"/>
          <w:sz w:val="24"/>
          <w:szCs w:val="24"/>
        </w:rPr>
        <w:t>In addition, the diversity team is leading efforts to improve gender equality in FinTech/AI finance (Goal 16), increasing the visibility of female researchers, for example through the "Women in Fintech III" conference in Lisboa. Diversity-focused associations are also involved to mak</w:t>
      </w:r>
      <w:r w:rsidR="00786130">
        <w:rPr>
          <w:rFonts w:ascii="Times New Roman" w:hAnsi="Times New Roman" w:cs="Times New Roman"/>
          <w:sz w:val="24"/>
          <w:szCs w:val="24"/>
        </w:rPr>
        <w:t xml:space="preserve">e the community more inclusive. </w:t>
      </w:r>
      <w:r w:rsidR="00786130" w:rsidRPr="00786130">
        <w:rPr>
          <w:rFonts w:ascii="Times New Roman" w:hAnsi="Times New Roman" w:cs="Times New Roman"/>
          <w:sz w:val="24"/>
          <w:szCs w:val="24"/>
        </w:rPr>
        <w:t>For dissemination and community involvement, the Action uses digital resources such as websites, interactive tools, open access publications and organizes events like "Women in Fintech" t</w:t>
      </w:r>
      <w:r w:rsidR="00786130">
        <w:rPr>
          <w:rFonts w:ascii="Times New Roman" w:hAnsi="Times New Roman" w:cs="Times New Roman"/>
          <w:sz w:val="24"/>
          <w:szCs w:val="24"/>
        </w:rPr>
        <w:t xml:space="preserve">o involve various stakeholders. </w:t>
      </w:r>
      <w:r w:rsidR="00786130" w:rsidRPr="00786130">
        <w:rPr>
          <w:rFonts w:ascii="Times New Roman" w:hAnsi="Times New Roman" w:cs="Times New Roman"/>
          <w:sz w:val="24"/>
          <w:szCs w:val="24"/>
        </w:rPr>
        <w:t>At its core, Action uses a multi-pronged approach - dedicated events, interdisciplinary collaboration, early career support, diversity initiatives and digital promotion - to build an inclusive community that bridges academia, industry and policy makers around themes its headquarters.</w:t>
      </w:r>
    </w:p>
    <w:p w14:paraId="36B3F944" w14:textId="77777777" w:rsidR="00786130" w:rsidRPr="00786130" w:rsidRDefault="00786130" w:rsidP="00786130">
      <w:pPr>
        <w:jc w:val="both"/>
        <w:rPr>
          <w:rFonts w:ascii="Times New Roman" w:hAnsi="Times New Roman" w:cs="Times New Roman"/>
          <w:b/>
          <w:sz w:val="24"/>
          <w:szCs w:val="24"/>
        </w:rPr>
      </w:pPr>
      <w:r w:rsidRPr="00786130">
        <w:rPr>
          <w:rFonts w:ascii="Times New Roman" w:hAnsi="Times New Roman" w:cs="Times New Roman"/>
          <w:b/>
          <w:sz w:val="24"/>
          <w:szCs w:val="24"/>
        </w:rPr>
        <w:t>Stakeholder Engagement</w:t>
      </w:r>
    </w:p>
    <w:p w14:paraId="316E8397" w14:textId="77777777" w:rsidR="00786130" w:rsidRPr="00786130" w:rsidRDefault="00786130" w:rsidP="00786130">
      <w:pPr>
        <w:jc w:val="both"/>
        <w:rPr>
          <w:rFonts w:ascii="Times New Roman" w:hAnsi="Times New Roman" w:cs="Times New Roman"/>
          <w:sz w:val="24"/>
          <w:szCs w:val="24"/>
        </w:rPr>
      </w:pPr>
      <w:r w:rsidRPr="00786130">
        <w:rPr>
          <w:rFonts w:ascii="Times New Roman" w:hAnsi="Times New Roman" w:cs="Times New Roman"/>
          <w:sz w:val="24"/>
          <w:szCs w:val="24"/>
        </w:rPr>
        <w:t>The action aims to bridge the gap between finance industry practitioners, academics, and regulators by setting up a common knowledge exchange platform (Objective 9)</w:t>
      </w:r>
      <w:r>
        <w:rPr>
          <w:rFonts w:ascii="Times New Roman" w:hAnsi="Times New Roman" w:cs="Times New Roman"/>
          <w:sz w:val="24"/>
          <w:szCs w:val="24"/>
        </w:rPr>
        <w:t xml:space="preserve"> </w:t>
      </w:r>
      <w:r w:rsidRPr="00786130">
        <w:rPr>
          <w:rFonts w:ascii="Times New Roman" w:hAnsi="Times New Roman" w:cs="Times New Roman"/>
          <w:sz w:val="24"/>
          <w:szCs w:val="24"/>
        </w:rPr>
        <w:t>It seeks to receive input from regulators and industry communities, and validate results on increasing transparency of AI applications (Objective 3)</w:t>
      </w:r>
      <w:r>
        <w:rPr>
          <w:rFonts w:ascii="Times New Roman" w:hAnsi="Times New Roman" w:cs="Times New Roman"/>
          <w:sz w:val="24"/>
          <w:szCs w:val="24"/>
        </w:rPr>
        <w:t xml:space="preserve"> </w:t>
      </w:r>
      <w:r w:rsidRPr="00786130">
        <w:rPr>
          <w:rFonts w:ascii="Times New Roman" w:hAnsi="Times New Roman" w:cs="Times New Roman"/>
          <w:sz w:val="24"/>
          <w:szCs w:val="24"/>
        </w:rPr>
        <w:t>Several meetings and events are planned to engage with stakeholders from industry, policy/regulatory bodies, and academia:</w:t>
      </w:r>
      <w:r>
        <w:rPr>
          <w:rFonts w:ascii="Times New Roman" w:hAnsi="Times New Roman" w:cs="Times New Roman"/>
          <w:sz w:val="24"/>
          <w:szCs w:val="24"/>
        </w:rPr>
        <w:t xml:space="preserve"> </w:t>
      </w:r>
      <w:r w:rsidRPr="00786130">
        <w:rPr>
          <w:rFonts w:ascii="Times New Roman" w:hAnsi="Times New Roman" w:cs="Times New Roman"/>
          <w:sz w:val="24"/>
          <w:szCs w:val="24"/>
        </w:rPr>
        <w:t>Event in Cluj-Napoca (Romania) to discuss the action plan for a FinTech report for the Balkans and interact with Romanian FinTech and IT industry representatives</w:t>
      </w:r>
      <w:r>
        <w:rPr>
          <w:rFonts w:ascii="Times New Roman" w:hAnsi="Times New Roman" w:cs="Times New Roman"/>
          <w:sz w:val="24"/>
          <w:szCs w:val="24"/>
        </w:rPr>
        <w:t xml:space="preserve">. </w:t>
      </w:r>
      <w:r w:rsidRPr="00786130">
        <w:rPr>
          <w:rFonts w:ascii="Times New Roman" w:hAnsi="Times New Roman" w:cs="Times New Roman"/>
          <w:sz w:val="24"/>
          <w:szCs w:val="24"/>
        </w:rPr>
        <w:t>Workshop in Brussels to disseminate results to EU policy makers and get their input</w:t>
      </w:r>
      <w:r>
        <w:rPr>
          <w:rFonts w:ascii="Times New Roman" w:hAnsi="Times New Roman" w:cs="Times New Roman"/>
          <w:sz w:val="24"/>
          <w:szCs w:val="24"/>
        </w:rPr>
        <w:t xml:space="preserve"> </w:t>
      </w:r>
      <w:r w:rsidRPr="00786130">
        <w:rPr>
          <w:rFonts w:ascii="Times New Roman" w:hAnsi="Times New Roman" w:cs="Times New Roman"/>
          <w:sz w:val="24"/>
          <w:szCs w:val="24"/>
        </w:rPr>
        <w:t>"Women in Fintech III" conference in Lisbon to engage industry, policy makers, and associations on gender diversity</w:t>
      </w:r>
    </w:p>
    <w:p w14:paraId="77BB022E" w14:textId="77777777" w:rsidR="00786130" w:rsidRPr="00786130" w:rsidRDefault="00786130" w:rsidP="00786130">
      <w:pPr>
        <w:jc w:val="both"/>
        <w:rPr>
          <w:rFonts w:ascii="Times New Roman" w:hAnsi="Times New Roman" w:cs="Times New Roman"/>
          <w:b/>
          <w:sz w:val="24"/>
          <w:szCs w:val="24"/>
        </w:rPr>
      </w:pPr>
      <w:r w:rsidRPr="00786130">
        <w:rPr>
          <w:rFonts w:ascii="Times New Roman" w:hAnsi="Times New Roman" w:cs="Times New Roman"/>
          <w:b/>
          <w:sz w:val="24"/>
          <w:szCs w:val="24"/>
        </w:rPr>
        <w:t>Community Building and Networking:</w:t>
      </w:r>
    </w:p>
    <w:p w14:paraId="5C4FA61B" w14:textId="77777777" w:rsidR="00786130" w:rsidRPr="00786130" w:rsidRDefault="00786130" w:rsidP="00786130">
      <w:pPr>
        <w:jc w:val="both"/>
        <w:rPr>
          <w:rFonts w:ascii="Times New Roman" w:hAnsi="Times New Roman" w:cs="Times New Roman"/>
          <w:sz w:val="24"/>
          <w:szCs w:val="24"/>
        </w:rPr>
      </w:pPr>
      <w:r w:rsidRPr="00786130">
        <w:rPr>
          <w:rFonts w:ascii="Times New Roman" w:hAnsi="Times New Roman" w:cs="Times New Roman"/>
          <w:sz w:val="24"/>
          <w:szCs w:val="24"/>
        </w:rPr>
        <w:lastRenderedPageBreak/>
        <w:t xml:space="preserve">The action aims to create an excellent network of researchers across Europe with lasting collaboration (Objective </w:t>
      </w:r>
      <w:r>
        <w:rPr>
          <w:rFonts w:ascii="Times New Roman" w:hAnsi="Times New Roman" w:cs="Times New Roman"/>
          <w:sz w:val="24"/>
          <w:szCs w:val="24"/>
        </w:rPr>
        <w:t xml:space="preserve">7) </w:t>
      </w:r>
      <w:r w:rsidRPr="00786130">
        <w:rPr>
          <w:rFonts w:ascii="Times New Roman" w:hAnsi="Times New Roman" w:cs="Times New Roman"/>
          <w:sz w:val="24"/>
          <w:szCs w:val="24"/>
        </w:rPr>
        <w:t>It utilizes Working Group meetings, conferences, training schools to facilitate interaction and joint resea</w:t>
      </w:r>
      <w:r>
        <w:rPr>
          <w:rFonts w:ascii="Times New Roman" w:hAnsi="Times New Roman" w:cs="Times New Roman"/>
          <w:sz w:val="24"/>
          <w:szCs w:val="24"/>
        </w:rPr>
        <w:t xml:space="preserve">rch projects among participants </w:t>
      </w:r>
      <w:r w:rsidRPr="00786130">
        <w:rPr>
          <w:rFonts w:ascii="Times New Roman" w:hAnsi="Times New Roman" w:cs="Times New Roman"/>
          <w:sz w:val="24"/>
          <w:szCs w:val="24"/>
        </w:rPr>
        <w:t>Emphasis is placed on engaging early career investigators (ECIs), PhD students and supporting their development (Objectives 11, 13, 14)</w:t>
      </w:r>
      <w:r>
        <w:rPr>
          <w:rFonts w:ascii="Times New Roman" w:hAnsi="Times New Roman" w:cs="Times New Roman"/>
          <w:sz w:val="24"/>
          <w:szCs w:val="24"/>
        </w:rPr>
        <w:t xml:space="preserve"> </w:t>
      </w:r>
      <w:r w:rsidRPr="00786130">
        <w:rPr>
          <w:rFonts w:ascii="Times New Roman" w:hAnsi="Times New Roman" w:cs="Times New Roman"/>
          <w:sz w:val="24"/>
          <w:szCs w:val="24"/>
        </w:rPr>
        <w:t>The diversity team leads efforts to improve gender equality and increase visibility of women in FinTech/AI finance (Objective 16)</w:t>
      </w:r>
      <w:r>
        <w:rPr>
          <w:rFonts w:ascii="Times New Roman" w:hAnsi="Times New Roman" w:cs="Times New Roman"/>
          <w:sz w:val="24"/>
          <w:szCs w:val="24"/>
        </w:rPr>
        <w:t xml:space="preserve"> </w:t>
      </w:r>
      <w:r w:rsidRPr="00786130">
        <w:rPr>
          <w:rFonts w:ascii="Times New Roman" w:hAnsi="Times New Roman" w:cs="Times New Roman"/>
          <w:sz w:val="24"/>
          <w:szCs w:val="24"/>
        </w:rPr>
        <w:t>Digital resources like websites, interactive tools, and open access publications will be utilized for dissemination</w:t>
      </w:r>
    </w:p>
    <w:p w14:paraId="76A43C56" w14:textId="77777777" w:rsidR="00786130" w:rsidRPr="00786130" w:rsidRDefault="00786130" w:rsidP="00786130">
      <w:pPr>
        <w:jc w:val="both"/>
        <w:rPr>
          <w:rFonts w:ascii="Times New Roman" w:hAnsi="Times New Roman" w:cs="Times New Roman"/>
          <w:sz w:val="24"/>
          <w:szCs w:val="24"/>
        </w:rPr>
      </w:pPr>
      <w:r w:rsidRPr="00786130">
        <w:rPr>
          <w:rFonts w:ascii="Times New Roman" w:hAnsi="Times New Roman" w:cs="Times New Roman"/>
          <w:sz w:val="24"/>
          <w:szCs w:val="24"/>
        </w:rPr>
        <w:t>The numerous meetings, conferences and efforts planned to foster networking, stakeholder engagement from diverse sectors, and create an interdisciplinary collaborative community around the action's objectives. Engaging stakeholders from industry, policy, and building an inclusive research network appear to be key priorities.</w:t>
      </w:r>
    </w:p>
    <w:p w14:paraId="15ABA9FA" w14:textId="77777777" w:rsidR="00A93638" w:rsidRPr="00A93638" w:rsidRDefault="00786130" w:rsidP="00A93638">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214164">
        <w:rPr>
          <w:rFonts w:ascii="Times New Roman" w:hAnsi="Times New Roman" w:cs="Times New Roman"/>
          <w:b/>
          <w:sz w:val="24"/>
          <w:szCs w:val="24"/>
        </w:rPr>
        <w:t xml:space="preserve"> </w:t>
      </w:r>
      <w:r w:rsidR="00A93638" w:rsidRPr="00A93638">
        <w:rPr>
          <w:rFonts w:ascii="Times New Roman" w:hAnsi="Times New Roman" w:cs="Times New Roman"/>
          <w:b/>
          <w:sz w:val="24"/>
          <w:szCs w:val="24"/>
        </w:rPr>
        <w:t xml:space="preserve"> Digital resources and interactive tools</w:t>
      </w:r>
    </w:p>
    <w:p w14:paraId="75A4A3AC" w14:textId="77777777"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t>Furthermore, the COST Action has embraced interactive tools and applications to enhance public engagement and understanding. These interactive tools not only serve as practical demonstrations of the research findings but also provide an opportunity for the public to interact with and explore the concepts hands-on, fostering a deeper appreciation for the complexities and potential applications of fintech and AI in finance.</w:t>
      </w:r>
      <w:r>
        <w:rPr>
          <w:rFonts w:ascii="Times New Roman" w:hAnsi="Times New Roman" w:cs="Times New Roman"/>
          <w:sz w:val="24"/>
          <w:szCs w:val="24"/>
        </w:rPr>
        <w:t xml:space="preserve"> </w:t>
      </w:r>
      <w:r w:rsidRPr="00A93638">
        <w:rPr>
          <w:rFonts w:ascii="Times New Roman" w:hAnsi="Times New Roman" w:cs="Times New Roman"/>
          <w:sz w:val="24"/>
          <w:szCs w:val="24"/>
        </w:rPr>
        <w:t>The COST Action has developed several digital resources and interactive tools to facilitate knowledge dissemination and public engagement with its research findings in fintech and AI in finance.</w:t>
      </w:r>
      <w:r>
        <w:rPr>
          <w:rFonts w:ascii="Times New Roman" w:hAnsi="Times New Roman" w:cs="Times New Roman"/>
          <w:sz w:val="24"/>
          <w:szCs w:val="24"/>
        </w:rPr>
        <w:t xml:space="preserve"> </w:t>
      </w:r>
      <w:r w:rsidRPr="00A93638">
        <w:rPr>
          <w:rFonts w:ascii="Times New Roman" w:hAnsi="Times New Roman" w:cs="Times New Roman"/>
          <w:sz w:val="24"/>
          <w:szCs w:val="24"/>
        </w:rPr>
        <w:t>One of the key initiatives is the Explainable AI for Finance platform (www.explainableaiforfinance.com), which serves as a centralized repository for research papers, code repositories, interactive applications, and use cases related to explainable AI in the financial domain. This platform provides a comprehensive resource for researchers, practitioners, and the general public to explore and understand the latest developments in this field.</w:t>
      </w:r>
    </w:p>
    <w:p w14:paraId="4828051B" w14:textId="77777777" w:rsidR="00A93638" w:rsidRPr="00A93638" w:rsidRDefault="00A93638" w:rsidP="00A93638">
      <w:pPr>
        <w:jc w:val="both"/>
        <w:rPr>
          <w:rFonts w:ascii="Times New Roman" w:hAnsi="Times New Roman" w:cs="Times New Roman"/>
          <w:sz w:val="24"/>
          <w:szCs w:val="24"/>
        </w:rPr>
      </w:pPr>
      <w:r w:rsidRPr="00A93638">
        <w:rPr>
          <w:rFonts w:ascii="Times New Roman" w:hAnsi="Times New Roman" w:cs="Times New Roman"/>
          <w:sz w:val="24"/>
          <w:szCs w:val="24"/>
        </w:rPr>
        <w:t>To further promote accessibility and knowledge sharing, the COST Action has leveraged popular online platforms such as quantlet.com and quantinar.com to distribute code and training materials. These resources have been made publicly available, ensuring that the research findings and methodologies are accessible to a global audience, fostering knowledge transfer and encouraging further</w:t>
      </w:r>
      <w:r>
        <w:rPr>
          <w:rFonts w:ascii="Times New Roman" w:hAnsi="Times New Roman" w:cs="Times New Roman"/>
          <w:sz w:val="24"/>
          <w:szCs w:val="24"/>
        </w:rPr>
        <w:t xml:space="preserve"> exploration and collaboration. </w:t>
      </w:r>
      <w:r w:rsidRPr="00A93638">
        <w:rPr>
          <w:rFonts w:ascii="Times New Roman" w:hAnsi="Times New Roman" w:cs="Times New Roman"/>
          <w:sz w:val="24"/>
          <w:szCs w:val="24"/>
        </w:rPr>
        <w:t>In addition to these digital resources, the COST Action has embraced interactive tools and applications as a means to enhance public engagement and understanding. These interactive tools not only serve as practical demonstrations of the research findings but also provide an opportunity for the public to interact with and explore the concepts hands-on, fostering a deeper appreciation for the complexities and potential applications of fintech and AI in finance.</w:t>
      </w:r>
      <w:r>
        <w:rPr>
          <w:rFonts w:ascii="Times New Roman" w:hAnsi="Times New Roman" w:cs="Times New Roman"/>
          <w:sz w:val="24"/>
          <w:szCs w:val="24"/>
        </w:rPr>
        <w:t xml:space="preserve"> </w:t>
      </w:r>
      <w:r w:rsidRPr="00A93638">
        <w:rPr>
          <w:rFonts w:ascii="Times New Roman" w:hAnsi="Times New Roman" w:cs="Times New Roman"/>
          <w:sz w:val="24"/>
          <w:szCs w:val="24"/>
        </w:rPr>
        <w:t>Through these digital resources and interactive tools, the COST Action has successfully bridged the gap between academia and the public, ensuring that its cutting-edge research is not confined to academic circles but rather made accessible and understandable to a broader audience. This approach aligns with the COST Action's commitment to promoting transparency and fostering a collaborative environment where knowledge is shared and disseminated for the collective advancement of the field.</w:t>
      </w:r>
    </w:p>
    <w:p w14:paraId="4258ADF5" w14:textId="77777777" w:rsidR="00A93638" w:rsidRPr="00A93638" w:rsidRDefault="00A93638" w:rsidP="00A93638">
      <w:pPr>
        <w:jc w:val="both"/>
        <w:rPr>
          <w:rFonts w:ascii="Times New Roman" w:hAnsi="Times New Roman" w:cs="Times New Roman"/>
          <w:b/>
          <w:sz w:val="24"/>
          <w:szCs w:val="24"/>
        </w:rPr>
      </w:pPr>
      <w:r w:rsidRPr="00A93638">
        <w:rPr>
          <w:rFonts w:ascii="Times New Roman" w:hAnsi="Times New Roman" w:cs="Times New Roman"/>
          <w:b/>
          <w:sz w:val="24"/>
          <w:szCs w:val="24"/>
        </w:rPr>
        <w:t>Community feedback and usage metrics</w:t>
      </w:r>
    </w:p>
    <w:p w14:paraId="5F165EFA" w14:textId="77777777" w:rsidR="00415AC7" w:rsidRPr="00415AC7" w:rsidRDefault="00A93638" w:rsidP="00415AC7">
      <w:pPr>
        <w:jc w:val="both"/>
        <w:rPr>
          <w:rFonts w:ascii="Times New Roman" w:hAnsi="Times New Roman" w:cs="Times New Roman"/>
          <w:sz w:val="24"/>
          <w:szCs w:val="24"/>
        </w:rPr>
      </w:pPr>
      <w:r w:rsidRPr="00A93638">
        <w:rPr>
          <w:rFonts w:ascii="Times New Roman" w:hAnsi="Times New Roman" w:cs="Times New Roman"/>
          <w:sz w:val="24"/>
          <w:szCs w:val="24"/>
        </w:rPr>
        <w:lastRenderedPageBreak/>
        <w:t xml:space="preserve">Online platforms have seen significant interest. In 2021-2022, </w:t>
      </w:r>
      <w:proofErr w:type="spellStart"/>
      <w:r w:rsidRPr="00A93638">
        <w:rPr>
          <w:rFonts w:ascii="Times New Roman" w:hAnsi="Times New Roman" w:cs="Times New Roman"/>
          <w:sz w:val="24"/>
          <w:szCs w:val="24"/>
        </w:rPr>
        <w:t>Quantlet</w:t>
      </w:r>
      <w:proofErr w:type="spellEnd"/>
      <w:r w:rsidRPr="00A93638">
        <w:rPr>
          <w:rFonts w:ascii="Times New Roman" w:hAnsi="Times New Roman" w:cs="Times New Roman"/>
          <w:sz w:val="24"/>
          <w:szCs w:val="24"/>
        </w:rPr>
        <w:t xml:space="preserve"> recorded more than 1,200 downloads of its resources, while </w:t>
      </w:r>
      <w:proofErr w:type="spellStart"/>
      <w:r w:rsidRPr="00A93638">
        <w:rPr>
          <w:rFonts w:ascii="Times New Roman" w:hAnsi="Times New Roman" w:cs="Times New Roman"/>
          <w:sz w:val="24"/>
          <w:szCs w:val="24"/>
        </w:rPr>
        <w:t>Quantinar</w:t>
      </w:r>
      <w:proofErr w:type="spellEnd"/>
      <w:r w:rsidRPr="00A93638">
        <w:rPr>
          <w:rFonts w:ascii="Times New Roman" w:hAnsi="Times New Roman" w:cs="Times New Roman"/>
          <w:sz w:val="24"/>
          <w:szCs w:val="24"/>
        </w:rPr>
        <w:t xml:space="preserve"> hosted 27 webinars with approximately 800 attendees. Feedback received has been overwhelmingly positive, with users appreciating the high-quality content, learning and collaboration opportunities provided by these</w:t>
      </w:r>
      <w:r>
        <w:rPr>
          <w:rFonts w:ascii="Times New Roman" w:hAnsi="Times New Roman" w:cs="Times New Roman"/>
          <w:sz w:val="24"/>
          <w:szCs w:val="24"/>
        </w:rPr>
        <w:t xml:space="preserve"> publicly accessible resources. </w:t>
      </w:r>
      <w:r w:rsidRPr="00A93638">
        <w:rPr>
          <w:rFonts w:ascii="Times New Roman" w:hAnsi="Times New Roman" w:cs="Times New Roman"/>
          <w:sz w:val="24"/>
          <w:szCs w:val="24"/>
        </w:rPr>
        <w:t>Action closely monitored the impact of its science communication efforts through surveys, questionnaires and online traffic analysis. The results showed a significant increase in the level of awareness and interest in innovative financial technologies among the general public during 202</w:t>
      </w:r>
      <w:r w:rsidR="00786130">
        <w:rPr>
          <w:rFonts w:ascii="Times New Roman" w:hAnsi="Times New Roman" w:cs="Times New Roman"/>
          <w:sz w:val="24"/>
          <w:szCs w:val="24"/>
        </w:rPr>
        <w:t>2</w:t>
      </w:r>
      <w:r w:rsidRPr="00A93638">
        <w:rPr>
          <w:rFonts w:ascii="Times New Roman" w:hAnsi="Times New Roman" w:cs="Times New Roman"/>
          <w:sz w:val="24"/>
          <w:szCs w:val="24"/>
        </w:rPr>
        <w:t>-202</w:t>
      </w:r>
      <w:r w:rsidR="00786130">
        <w:rPr>
          <w:rFonts w:ascii="Times New Roman" w:hAnsi="Times New Roman" w:cs="Times New Roman"/>
          <w:sz w:val="24"/>
          <w:szCs w:val="24"/>
        </w:rPr>
        <w:t>3</w:t>
      </w:r>
      <w:r w:rsidRPr="00A93638">
        <w:rPr>
          <w:rFonts w:ascii="Times New Roman" w:hAnsi="Times New Roman" w:cs="Times New Roman"/>
          <w:sz w:val="24"/>
          <w:szCs w:val="24"/>
        </w:rPr>
        <w:t>.</w:t>
      </w:r>
      <w:r w:rsidR="00786130">
        <w:rPr>
          <w:rFonts w:ascii="Times New Roman" w:hAnsi="Times New Roman" w:cs="Times New Roman"/>
          <w:sz w:val="24"/>
          <w:szCs w:val="24"/>
        </w:rPr>
        <w:t xml:space="preserve"> </w:t>
      </w:r>
      <w:r w:rsidRPr="00A93638">
        <w:rPr>
          <w:rFonts w:ascii="Times New Roman" w:hAnsi="Times New Roman" w:cs="Times New Roman"/>
          <w:sz w:val="24"/>
          <w:szCs w:val="24"/>
        </w:rPr>
        <w:t>Through effective communication with the general public, the active involvement of multiple stakeholders and the provision of educational digital resources, the COST Action CA19130 significantly promoted the transparent, understanding and responsible adoption of innovative financial technologies in the period 202</w:t>
      </w:r>
      <w:r w:rsidR="00786130">
        <w:rPr>
          <w:rFonts w:ascii="Times New Roman" w:hAnsi="Times New Roman" w:cs="Times New Roman"/>
          <w:sz w:val="24"/>
          <w:szCs w:val="24"/>
        </w:rPr>
        <w:t>2-2023</w:t>
      </w:r>
      <w:r w:rsidRPr="00A93638">
        <w:rPr>
          <w:rFonts w:ascii="Times New Roman" w:hAnsi="Times New Roman" w:cs="Times New Roman"/>
          <w:sz w:val="24"/>
          <w:szCs w:val="24"/>
        </w:rPr>
        <w:t>.</w:t>
      </w:r>
      <w:r w:rsidR="00786130">
        <w:rPr>
          <w:rFonts w:ascii="Times New Roman" w:hAnsi="Times New Roman" w:cs="Times New Roman"/>
          <w:sz w:val="24"/>
          <w:szCs w:val="24"/>
        </w:rPr>
        <w:t xml:space="preserve"> </w:t>
      </w:r>
      <w:r w:rsidR="00415AC7" w:rsidRPr="00415AC7">
        <w:rPr>
          <w:rFonts w:ascii="Times New Roman" w:hAnsi="Times New Roman" w:cs="Times New Roman"/>
          <w:sz w:val="24"/>
          <w:szCs w:val="24"/>
        </w:rPr>
        <w:t>The COST Action CA19130 "Fintech and Artificial Intelligence in Finance" has undertaken a wide range of activities aimed at strengthening the research community, promoting diversity and inclusion, and developing robust networks with industry and policymakers. The following are some key highlights:</w:t>
      </w:r>
    </w:p>
    <w:p w14:paraId="784687E4" w14:textId="77777777" w:rsidR="00C55F2A" w:rsidRPr="00C55F2A" w:rsidRDefault="00C55F2A" w:rsidP="00C55F2A">
      <w:pPr>
        <w:jc w:val="both"/>
        <w:rPr>
          <w:rFonts w:ascii="Times New Roman" w:hAnsi="Times New Roman" w:cs="Times New Roman"/>
          <w:b/>
          <w:bCs/>
          <w:sz w:val="24"/>
          <w:szCs w:val="24"/>
        </w:rPr>
      </w:pPr>
      <w:r w:rsidRPr="00C55F2A">
        <w:rPr>
          <w:rFonts w:ascii="Times New Roman" w:hAnsi="Times New Roman" w:cs="Times New Roman"/>
          <w:b/>
          <w:bCs/>
          <w:sz w:val="24"/>
          <w:szCs w:val="24"/>
        </w:rPr>
        <w:t>Knowledge Transfer and Exploitation:</w:t>
      </w:r>
    </w:p>
    <w:p w14:paraId="44D82552" w14:textId="77777777" w:rsidR="00C55F2A" w:rsidRPr="00C55F2A" w:rsidRDefault="00C55F2A" w:rsidP="00C55F2A">
      <w:pPr>
        <w:jc w:val="both"/>
        <w:rPr>
          <w:rFonts w:ascii="Times New Roman" w:hAnsi="Times New Roman" w:cs="Times New Roman"/>
          <w:bCs/>
          <w:sz w:val="24"/>
          <w:szCs w:val="24"/>
        </w:rPr>
      </w:pPr>
      <w:r w:rsidRPr="00C55F2A">
        <w:rPr>
          <w:rFonts w:ascii="Times New Roman" w:hAnsi="Times New Roman" w:cs="Times New Roman"/>
          <w:bCs/>
          <w:sz w:val="24"/>
          <w:szCs w:val="24"/>
        </w:rPr>
        <w:t>The action strives to transfer knowledge across different disciplines and between academia and industry, in the form of expertise, scientific tools, and human resources (Objective 10). A key focus is involving early career investigators (ECIs) and preparing competitive European researchers for international careers through opportunities like short-term scientific missions (STSMs) and joint educational programs with industry partners (Objectives 13, 14). Digital resources such as databases (e.g. pre-ICO documentation, crowdfunding platform data) and software codes/packages aligned with the Working Group objectives will also facilitate knowledge exploitat</w:t>
      </w:r>
      <w:r>
        <w:rPr>
          <w:rFonts w:ascii="Times New Roman" w:hAnsi="Times New Roman" w:cs="Times New Roman"/>
          <w:bCs/>
          <w:sz w:val="24"/>
          <w:szCs w:val="24"/>
        </w:rPr>
        <w:t>ion (Deliverables 3, 4, 6, 14).</w:t>
      </w:r>
    </w:p>
    <w:p w14:paraId="331C9F6B" w14:textId="77777777" w:rsidR="00C55F2A" w:rsidRPr="00C55F2A" w:rsidRDefault="00C55F2A" w:rsidP="00C55F2A">
      <w:pPr>
        <w:jc w:val="both"/>
        <w:rPr>
          <w:rFonts w:ascii="Times New Roman" w:hAnsi="Times New Roman" w:cs="Times New Roman"/>
          <w:b/>
          <w:bCs/>
          <w:sz w:val="24"/>
          <w:szCs w:val="24"/>
        </w:rPr>
      </w:pPr>
      <w:r w:rsidRPr="00C55F2A">
        <w:rPr>
          <w:rFonts w:ascii="Times New Roman" w:hAnsi="Times New Roman" w:cs="Times New Roman"/>
          <w:b/>
          <w:bCs/>
          <w:sz w:val="24"/>
          <w:szCs w:val="24"/>
        </w:rPr>
        <w:t>Dissemination Activities:</w:t>
      </w:r>
    </w:p>
    <w:p w14:paraId="6C1CA389" w14:textId="77777777" w:rsidR="00C55F2A" w:rsidRPr="00C55F2A" w:rsidRDefault="00C55F2A" w:rsidP="00C55F2A">
      <w:pPr>
        <w:jc w:val="both"/>
        <w:rPr>
          <w:rFonts w:ascii="Times New Roman" w:hAnsi="Times New Roman" w:cs="Times New Roman"/>
          <w:b/>
          <w:bCs/>
          <w:sz w:val="24"/>
          <w:szCs w:val="24"/>
        </w:rPr>
      </w:pPr>
      <w:r w:rsidRPr="00C55F2A">
        <w:rPr>
          <w:rFonts w:ascii="Times New Roman" w:hAnsi="Times New Roman" w:cs="Times New Roman"/>
          <w:bCs/>
          <w:sz w:val="24"/>
          <w:szCs w:val="24"/>
        </w:rPr>
        <w:t>The dissemination plan involves producing various reports, discussion/position papers, and handbooks targeting regulators, policymakers, and the general audience. These will cover topics like transparent finance practices, AI model evaluation, and risk management for digital assets (Deliverables 2, 7, 8, 9, 10, 11, 12). Local and national media channels will be leveraged to distribute annual reports to the public (Deliverable 13). Scientific results will be disseminated through conferences, workshops and dedicated stakeholder events aimed at the scientific community, European institutions, and the general public (GAPG 3, 10). An edited volume capturing the Action's key scientific achievements is also planned (Deliverable 15).</w:t>
      </w:r>
    </w:p>
    <w:p w14:paraId="21BAAC8B" w14:textId="77777777" w:rsidR="00C55F2A" w:rsidRPr="00C55F2A" w:rsidRDefault="00C55F2A" w:rsidP="00C55F2A">
      <w:pPr>
        <w:jc w:val="both"/>
        <w:rPr>
          <w:rFonts w:ascii="Times New Roman" w:hAnsi="Times New Roman" w:cs="Times New Roman"/>
          <w:b/>
          <w:bCs/>
          <w:sz w:val="24"/>
          <w:szCs w:val="24"/>
        </w:rPr>
      </w:pPr>
      <w:r w:rsidRPr="00C55F2A">
        <w:rPr>
          <w:rFonts w:ascii="Times New Roman" w:hAnsi="Times New Roman" w:cs="Times New Roman"/>
          <w:b/>
          <w:bCs/>
          <w:sz w:val="24"/>
          <w:szCs w:val="24"/>
        </w:rPr>
        <w:t>Community Building and Networking:</w:t>
      </w:r>
    </w:p>
    <w:p w14:paraId="117A0805" w14:textId="77777777" w:rsidR="000D0202" w:rsidRPr="000D0202" w:rsidRDefault="00C55F2A" w:rsidP="000D0202">
      <w:pPr>
        <w:jc w:val="both"/>
        <w:rPr>
          <w:rFonts w:ascii="Times New Roman" w:hAnsi="Times New Roman" w:cs="Times New Roman"/>
          <w:bCs/>
          <w:sz w:val="24"/>
          <w:szCs w:val="24"/>
        </w:rPr>
      </w:pPr>
      <w:r w:rsidRPr="00C55F2A">
        <w:rPr>
          <w:rFonts w:ascii="Times New Roman" w:hAnsi="Times New Roman" w:cs="Times New Roman"/>
          <w:bCs/>
          <w:sz w:val="24"/>
          <w:szCs w:val="24"/>
        </w:rPr>
        <w:t xml:space="preserve">A core objective is creating an excellent pan-European network of researchers with lasting collaboration extending beyond the Action's lifetime (Objective 7). This involves bringing together interdisciplinary researchers from technology, quantitative methods, and economics to facilitate future collaborative research (Objective 8). Working Group meetings, conferences, and training schools serve as platforms to foster joint research projects among participants. Focused efforts are made to promote geographical diversity and inclusion of researchers from COST Inclusiveness Target Countries (Objective 12). Additionally, the diversity team spearheads initiatives to improve </w:t>
      </w:r>
      <w:r w:rsidRPr="00C55F2A">
        <w:rPr>
          <w:rFonts w:ascii="Times New Roman" w:hAnsi="Times New Roman" w:cs="Times New Roman"/>
          <w:bCs/>
          <w:sz w:val="24"/>
          <w:szCs w:val="24"/>
        </w:rPr>
        <w:lastRenderedPageBreak/>
        <w:t>gender equality and increase the visibility of women in the FinTech/AI finance domains (Objective 16).</w:t>
      </w:r>
      <w:r w:rsidR="00786130" w:rsidRPr="00C55F2A">
        <w:rPr>
          <w:rFonts w:ascii="Times New Roman" w:hAnsi="Times New Roman" w:cs="Times New Roman"/>
          <w:bCs/>
          <w:sz w:val="24"/>
          <w:szCs w:val="24"/>
        </w:rPr>
        <w:t xml:space="preserve"> </w:t>
      </w:r>
    </w:p>
    <w:p w14:paraId="11927226" w14:textId="77777777" w:rsidR="000D0202" w:rsidRPr="000D0202" w:rsidRDefault="000D0202" w:rsidP="000D0202">
      <w:pPr>
        <w:jc w:val="both"/>
        <w:rPr>
          <w:rFonts w:ascii="Times New Roman" w:hAnsi="Times New Roman" w:cs="Times New Roman"/>
          <w:bCs/>
          <w:sz w:val="24"/>
          <w:szCs w:val="24"/>
        </w:rPr>
      </w:pPr>
      <w:r w:rsidRPr="000D0202">
        <w:rPr>
          <w:rFonts w:ascii="Times New Roman" w:hAnsi="Times New Roman" w:cs="Times New Roman"/>
          <w:bCs/>
          <w:sz w:val="24"/>
          <w:szCs w:val="24"/>
        </w:rPr>
        <w:t>Ensured gender balance, geographic diversity, and inclusiveness across activities. Organized events like "Women in FinTech and AI" conference to highlight contributions of women and encourage female participation. Increased participation from researchers in Inclusiveness Target Countries (ITCs).</w:t>
      </w:r>
      <w:r>
        <w:rPr>
          <w:rFonts w:ascii="Times New Roman" w:hAnsi="Times New Roman" w:cs="Times New Roman"/>
          <w:bCs/>
          <w:sz w:val="24"/>
          <w:szCs w:val="24"/>
        </w:rPr>
        <w:t xml:space="preserve"> </w:t>
      </w:r>
      <w:r w:rsidRPr="000D0202">
        <w:rPr>
          <w:rFonts w:ascii="Times New Roman" w:hAnsi="Times New Roman" w:cs="Times New Roman"/>
          <w:bCs/>
          <w:sz w:val="24"/>
          <w:szCs w:val="24"/>
        </w:rPr>
        <w:t>Had a dedicated diversity team promoting these values across all activities. Showcased success stories and testimonials from underrepresented groups, such as a young female researcher from Bulgaria whose STSM enhanced career prospects, and a researcher from Romania who took on leadership roles after the training.</w:t>
      </w:r>
    </w:p>
    <w:p w14:paraId="3A31D679" w14:textId="77777777" w:rsidR="00447FC9" w:rsidRPr="00447FC9" w:rsidRDefault="00447FC9" w:rsidP="00447FC9">
      <w:pPr>
        <w:jc w:val="both"/>
        <w:rPr>
          <w:rFonts w:ascii="Times New Roman" w:hAnsi="Times New Roman" w:cs="Times New Roman"/>
          <w:sz w:val="24"/>
          <w:szCs w:val="24"/>
        </w:rPr>
      </w:pPr>
      <w:r w:rsidRPr="00447FC9">
        <w:rPr>
          <w:rFonts w:ascii="Times New Roman" w:hAnsi="Times New Roman" w:cs="Times New Roman"/>
          <w:sz w:val="24"/>
          <w:szCs w:val="24"/>
        </w:rPr>
        <w:t>The mobility of researchers, both physical and virtual, has proven essential for strengthening ties within the network and facilitating the exchange of knowledge and experiences. The achieved outcomes, such as joint publications and project proposals, highlight the positive impact of these intensive collaboration opportunities. The plans to continue and expand these initiatives demonstrate the long-term commitment to maintaining a dynamic and interconnected research community in the field of FinTech and AI in finance.</w:t>
      </w:r>
    </w:p>
    <w:p w14:paraId="24FDC26A" w14:textId="77777777" w:rsidR="00600E6B" w:rsidRPr="00624751" w:rsidRDefault="00624751" w:rsidP="00D96ACD">
      <w:pPr>
        <w:pStyle w:val="Heading1"/>
        <w:rPr>
          <w:rFonts w:ascii="Arial" w:hAnsi="Arial" w:cs="Arial"/>
          <w:color w:val="auto"/>
          <w:sz w:val="28"/>
          <w:szCs w:val="28"/>
        </w:rPr>
      </w:pPr>
      <w:bookmarkStart w:id="6" w:name="_Toc176826803"/>
      <w:r>
        <w:rPr>
          <w:rFonts w:ascii="Arial" w:hAnsi="Arial" w:cs="Arial"/>
          <w:color w:val="auto"/>
          <w:sz w:val="28"/>
          <w:szCs w:val="28"/>
        </w:rPr>
        <w:t>6.</w:t>
      </w:r>
      <w:r w:rsidR="00600E6B" w:rsidRPr="00624751">
        <w:rPr>
          <w:rFonts w:ascii="Arial" w:hAnsi="Arial" w:cs="Arial"/>
          <w:color w:val="auto"/>
          <w:sz w:val="28"/>
          <w:szCs w:val="28"/>
        </w:rPr>
        <w:t>Networking, Capacity Building, and Inclusivity</w:t>
      </w:r>
      <w:bookmarkEnd w:id="6"/>
    </w:p>
    <w:p w14:paraId="361829E9" w14:textId="77777777" w:rsidR="00BC54AB" w:rsidRPr="00BC54AB" w:rsidRDefault="00BC54AB" w:rsidP="00BC54AB">
      <w:pPr>
        <w:jc w:val="both"/>
        <w:rPr>
          <w:rFonts w:ascii="Times New Roman" w:hAnsi="Times New Roman" w:cs="Times New Roman"/>
          <w:sz w:val="24"/>
          <w:szCs w:val="24"/>
        </w:rPr>
      </w:pPr>
      <w:r w:rsidRPr="00BC54AB">
        <w:rPr>
          <w:rFonts w:ascii="Times New Roman" w:hAnsi="Times New Roman" w:cs="Times New Roman"/>
          <w:sz w:val="24"/>
          <w:szCs w:val="24"/>
        </w:rPr>
        <w:t>This section highlights the activities undertaken by COST Action CA19130 to strengthen the research community, foster diversity and inclusiveness, and cultivate robust networks with industry and policymakers. These endeavors have been instrumental in enhancing collaboration, nurturing early-career researchers, and ensuring the network's sustainability beyond the Action's timeline.</w:t>
      </w:r>
    </w:p>
    <w:p w14:paraId="580C9B79" w14:textId="77777777" w:rsidR="00BC54AB" w:rsidRPr="00BC54AB" w:rsidRDefault="00BC54AB" w:rsidP="00BC54AB">
      <w:pPr>
        <w:jc w:val="both"/>
        <w:rPr>
          <w:rFonts w:ascii="Times New Roman" w:hAnsi="Times New Roman" w:cs="Times New Roman"/>
          <w:b/>
          <w:sz w:val="24"/>
          <w:szCs w:val="24"/>
        </w:rPr>
      </w:pPr>
      <w:r w:rsidRPr="00BC54AB">
        <w:rPr>
          <w:rFonts w:ascii="Times New Roman" w:hAnsi="Times New Roman" w:cs="Times New Roman"/>
          <w:b/>
          <w:sz w:val="24"/>
          <w:szCs w:val="24"/>
        </w:rPr>
        <w:t>Reinforcing the Research Community</w:t>
      </w:r>
    </w:p>
    <w:p w14:paraId="76B543E6" w14:textId="77777777" w:rsidR="00BC54AB" w:rsidRPr="00BC54AB" w:rsidRDefault="00BC54AB" w:rsidP="00BC54AB">
      <w:pPr>
        <w:jc w:val="both"/>
        <w:rPr>
          <w:rFonts w:ascii="Times New Roman" w:hAnsi="Times New Roman" w:cs="Times New Roman"/>
          <w:sz w:val="24"/>
          <w:szCs w:val="24"/>
        </w:rPr>
      </w:pPr>
      <w:r w:rsidRPr="00BC54AB">
        <w:rPr>
          <w:rFonts w:ascii="Times New Roman" w:hAnsi="Times New Roman" w:cs="Times New Roman"/>
          <w:sz w:val="24"/>
          <w:szCs w:val="24"/>
        </w:rPr>
        <w:t>The Action organized several training programs tailored for early-career researchers to enhance their skills and knowledge in FinTech and AI. Programs such as the "Advances in Data Science and AI for Finance" training school in Italy, the "COST FinAI PhD School" in the Netherlands, and the "Advanced Statistical Modelling for Fintech" training school in Italy provided hands-on experience, networking opportunities, and expert mentorship. These initiatives positively impacted participants' research directions and professional growth. Short-Term Scientific Missions (STSMs) and Virtual Mobility (VM) grants facilitated collaboration and knowledge exchange within the network. Researchers visited institutions across Europe, collaborated closely with leading experts, accessed new facilities, and formed lasting collaborations. These initiatives resulted in joint publications and project proposals, demonstrating their effectiveness in building a strong, interconnected research community.</w:t>
      </w:r>
    </w:p>
    <w:p w14:paraId="22FAD1AE" w14:textId="77777777" w:rsidR="00BC54AB" w:rsidRPr="00BC54AB" w:rsidRDefault="00BC54AB" w:rsidP="00BC54AB">
      <w:pPr>
        <w:jc w:val="both"/>
        <w:rPr>
          <w:rFonts w:ascii="Times New Roman" w:hAnsi="Times New Roman" w:cs="Times New Roman"/>
          <w:sz w:val="24"/>
          <w:szCs w:val="24"/>
        </w:rPr>
      </w:pPr>
      <w:r w:rsidRPr="00BC54AB">
        <w:rPr>
          <w:rFonts w:ascii="Times New Roman" w:hAnsi="Times New Roman" w:cs="Times New Roman"/>
          <w:b/>
          <w:sz w:val="24"/>
          <w:szCs w:val="24"/>
        </w:rPr>
        <w:t>Promoting Diversity and Inclusiveness in FinTech Research</w:t>
      </w:r>
    </w:p>
    <w:p w14:paraId="0B4AD542" w14:textId="77777777" w:rsidR="00BC54AB" w:rsidRPr="00BC54AB" w:rsidRDefault="00BC54AB" w:rsidP="00BC54AB">
      <w:pPr>
        <w:jc w:val="both"/>
        <w:rPr>
          <w:rFonts w:ascii="Times New Roman" w:hAnsi="Times New Roman" w:cs="Times New Roman"/>
          <w:sz w:val="24"/>
          <w:szCs w:val="24"/>
        </w:rPr>
      </w:pPr>
      <w:r w:rsidRPr="00BC54AB">
        <w:rPr>
          <w:rFonts w:ascii="Times New Roman" w:hAnsi="Times New Roman" w:cs="Times New Roman"/>
          <w:sz w:val="24"/>
          <w:szCs w:val="24"/>
        </w:rPr>
        <w:t xml:space="preserve">The network's commitment to diversity is reflected in the increased participation from researchers in Inclusiveness Target Countries (ITCs). The dedicated diversity team played a crucial role in promoting these values across all activities. Success stories and testimonials from underrepresented groups showcased the impact of the Action's diversity initiatives. A young female researcher from Bulgaria shared her experience of an STSM that enhanced her career </w:t>
      </w:r>
      <w:r w:rsidRPr="00BC54AB">
        <w:rPr>
          <w:rFonts w:ascii="Times New Roman" w:hAnsi="Times New Roman" w:cs="Times New Roman"/>
          <w:sz w:val="24"/>
          <w:szCs w:val="24"/>
        </w:rPr>
        <w:lastRenderedPageBreak/>
        <w:t>prospects in a male-dominated field. A researcher from Romania highlighted how the training enabled her to take on leadership roles and inspire other young women in AI and FinTech.</w:t>
      </w:r>
    </w:p>
    <w:p w14:paraId="50E3FEAC" w14:textId="77777777" w:rsidR="00BC54AB" w:rsidRPr="00BC54AB" w:rsidRDefault="00BC54AB" w:rsidP="00BC54AB">
      <w:pPr>
        <w:jc w:val="both"/>
        <w:rPr>
          <w:rFonts w:ascii="Times New Roman" w:hAnsi="Times New Roman" w:cs="Times New Roman"/>
          <w:b/>
          <w:sz w:val="24"/>
          <w:szCs w:val="24"/>
        </w:rPr>
      </w:pPr>
      <w:r w:rsidRPr="00BC54AB">
        <w:rPr>
          <w:rFonts w:ascii="Times New Roman" w:hAnsi="Times New Roman" w:cs="Times New Roman"/>
          <w:b/>
          <w:sz w:val="24"/>
          <w:szCs w:val="24"/>
        </w:rPr>
        <w:t>Cultivating Industry and Policy Networks</w:t>
      </w:r>
    </w:p>
    <w:p w14:paraId="55ADE114" w14:textId="77777777" w:rsidR="00447FC9" w:rsidRPr="001E057B" w:rsidRDefault="00BC54AB" w:rsidP="00BC54AB">
      <w:pPr>
        <w:jc w:val="both"/>
        <w:rPr>
          <w:rFonts w:ascii="Times New Roman" w:hAnsi="Times New Roman" w:cs="Times New Roman"/>
          <w:sz w:val="24"/>
          <w:szCs w:val="24"/>
        </w:rPr>
      </w:pPr>
      <w:r w:rsidRPr="00BC54AB">
        <w:rPr>
          <w:rFonts w:ascii="Times New Roman" w:hAnsi="Times New Roman" w:cs="Times New Roman"/>
          <w:sz w:val="24"/>
          <w:szCs w:val="24"/>
        </w:rPr>
        <w:t>The Action established strategic collaborations with industry leaders and policymakers to ensure the relevance and actionability of research findings. Events like "COST FinAI Meets Brussels" and the "Empowering Transformations" conference facilitated discussions on integrating AI in finance and developing regulatory frameworks. The initiative focused on developing long-term partnerships to sustain its impact beyond the project's duration. Plans include forming new research consortia, seeking additional funding through EU research grants, and continuing engagement with industry and policy networks. These efforts position the Action as a leader in fostering interdisciplinary research and collaboration in FinTech and AI, ensuring its continued relevance and impact in the years to come.</w:t>
      </w:r>
    </w:p>
    <w:p w14:paraId="0AA098E1" w14:textId="77777777" w:rsidR="00DC3108" w:rsidRPr="00DC3108" w:rsidRDefault="00D96ACD" w:rsidP="00DC3108">
      <w:pPr>
        <w:jc w:val="both"/>
        <w:rPr>
          <w:rFonts w:ascii="Arial" w:hAnsi="Arial" w:cs="Arial"/>
          <w:sz w:val="24"/>
          <w:szCs w:val="24"/>
        </w:rPr>
      </w:pPr>
      <w:r>
        <w:rPr>
          <w:rFonts w:ascii="Arial" w:hAnsi="Arial" w:cs="Arial"/>
          <w:sz w:val="24"/>
          <w:szCs w:val="24"/>
        </w:rPr>
        <w:t>6</w:t>
      </w:r>
      <w:r w:rsidR="00DC3108" w:rsidRPr="00DC3108">
        <w:rPr>
          <w:rFonts w:ascii="Arial" w:hAnsi="Arial" w:cs="Arial"/>
          <w:sz w:val="24"/>
          <w:szCs w:val="24"/>
        </w:rPr>
        <w:t>.</w:t>
      </w:r>
      <w:r>
        <w:rPr>
          <w:rFonts w:ascii="Arial" w:hAnsi="Arial" w:cs="Arial"/>
          <w:sz w:val="24"/>
          <w:szCs w:val="24"/>
        </w:rPr>
        <w:t>4</w:t>
      </w:r>
      <w:r w:rsidR="00DC3108" w:rsidRPr="00DC3108">
        <w:rPr>
          <w:rFonts w:ascii="Arial" w:hAnsi="Arial" w:cs="Arial"/>
          <w:sz w:val="24"/>
          <w:szCs w:val="24"/>
        </w:rPr>
        <w:t xml:space="preserve"> Innovative Tools and Frameworks Developed</w:t>
      </w:r>
    </w:p>
    <w:p w14:paraId="4E15B6B2" w14:textId="77777777" w:rsidR="00BC54AB" w:rsidRPr="00BC54AB" w:rsidRDefault="00BC54AB" w:rsidP="00BC54AB">
      <w:pPr>
        <w:jc w:val="both"/>
        <w:rPr>
          <w:rFonts w:ascii="Times New Roman" w:hAnsi="Times New Roman" w:cs="Times New Roman"/>
          <w:sz w:val="24"/>
          <w:szCs w:val="24"/>
        </w:rPr>
      </w:pPr>
      <w:r w:rsidRPr="00BC54AB">
        <w:rPr>
          <w:rFonts w:ascii="Times New Roman" w:hAnsi="Times New Roman" w:cs="Times New Roman"/>
          <w:sz w:val="24"/>
          <w:szCs w:val="24"/>
        </w:rPr>
        <w:t>One of the key outcomes of COST Action CA19130 has been the development of several innovative tools and frameworks aimed at promoting transparency, accountability, and responsible innovation in the FinTech and AI domains. These tools leverage the research findings and methodologies developed by the network, translating them into practical solutions for various stakeholders. Some of the notable tools and frameworks include:</w:t>
      </w:r>
    </w:p>
    <w:p w14:paraId="320EA507" w14:textId="77777777" w:rsidR="00BC54AB" w:rsidRPr="00BC54AB" w:rsidRDefault="00BC54AB" w:rsidP="00BC54AB">
      <w:pPr>
        <w:jc w:val="both"/>
        <w:rPr>
          <w:rFonts w:ascii="Times New Roman" w:hAnsi="Times New Roman" w:cs="Times New Roman"/>
          <w:sz w:val="24"/>
          <w:szCs w:val="24"/>
        </w:rPr>
      </w:pPr>
      <w:r w:rsidRPr="00BC54AB">
        <w:rPr>
          <w:rFonts w:ascii="Times New Roman" w:hAnsi="Times New Roman" w:cs="Times New Roman"/>
          <w:sz w:val="24"/>
          <w:szCs w:val="24"/>
        </w:rPr>
        <w:t>AI-powered Platform for ICO and Crowdfunding Analysis: Leveraging the databases on pre-ICO documentation, post-ICO performance (Deliverable 1), and crowdfunding/P2P platform features (Deliverable 2), a tool has been created to analyze and rate ICOs and crowdfunding platforms. This tool incorporates AI techniques, as outlined in the discussion papers (Deliverable 3), to detect fraud, evaluate platform integrity, and provide early warnings about illegal behavior.</w:t>
      </w:r>
    </w:p>
    <w:p w14:paraId="76DDD9A0" w14:textId="77777777" w:rsidR="00BC54AB" w:rsidRPr="00BC54AB" w:rsidRDefault="00BC54AB" w:rsidP="00BC54AB">
      <w:pPr>
        <w:jc w:val="both"/>
        <w:rPr>
          <w:rFonts w:ascii="Times New Roman" w:hAnsi="Times New Roman" w:cs="Times New Roman"/>
          <w:sz w:val="24"/>
          <w:szCs w:val="24"/>
        </w:rPr>
      </w:pPr>
      <w:r w:rsidRPr="00BC54AB">
        <w:rPr>
          <w:rFonts w:ascii="Times New Roman" w:hAnsi="Times New Roman" w:cs="Times New Roman"/>
          <w:sz w:val="24"/>
          <w:szCs w:val="24"/>
        </w:rPr>
        <w:t>Blockchain Asset and P2P Lending Risk Management Toolkit: Based on the position paper and roadmap (Deliverable 4) and the discussion papers (Deliverables 10 and 13), a comprehensive toolkit has been developed to assist in mitigating risks associated with blockchain assets and peer-to-peer lending platforms. This toolkit incorporates risk assessment methodologies and decision support tools.</w:t>
      </w:r>
    </w:p>
    <w:p w14:paraId="37F2D865" w14:textId="77777777" w:rsidR="00BC54AB" w:rsidRPr="00BC54AB" w:rsidRDefault="00BC54AB" w:rsidP="00BC54AB">
      <w:pPr>
        <w:jc w:val="both"/>
        <w:rPr>
          <w:rFonts w:ascii="Times New Roman" w:hAnsi="Times New Roman" w:cs="Times New Roman"/>
          <w:sz w:val="24"/>
          <w:szCs w:val="24"/>
        </w:rPr>
      </w:pPr>
      <w:r w:rsidRPr="00BC54AB">
        <w:rPr>
          <w:rFonts w:ascii="Times New Roman" w:hAnsi="Times New Roman" w:cs="Times New Roman"/>
          <w:sz w:val="24"/>
          <w:szCs w:val="24"/>
        </w:rPr>
        <w:t xml:space="preserve">Financial Time Series Analytics Platform: Utilizing the collected financial time series data (Deliverable 9) and the back-testing framework (Deliverable 5), an analytics platform has been developed. This platform enables researchers and practitioners to perform advanced time series analysis, </w:t>
      </w:r>
      <w:proofErr w:type="spellStart"/>
      <w:r w:rsidRPr="00BC54AB">
        <w:rPr>
          <w:rFonts w:ascii="Times New Roman" w:hAnsi="Times New Roman" w:cs="Times New Roman"/>
          <w:sz w:val="24"/>
          <w:szCs w:val="24"/>
        </w:rPr>
        <w:t>backtesting</w:t>
      </w:r>
      <w:proofErr w:type="spellEnd"/>
      <w:r w:rsidRPr="00BC54AB">
        <w:rPr>
          <w:rFonts w:ascii="Times New Roman" w:hAnsi="Times New Roman" w:cs="Times New Roman"/>
          <w:sz w:val="24"/>
          <w:szCs w:val="24"/>
        </w:rPr>
        <w:t>, and strategy development for various financial instruments and markets.</w:t>
      </w:r>
    </w:p>
    <w:p w14:paraId="7A646B89" w14:textId="77777777" w:rsidR="00BC54AB" w:rsidRPr="00BC54AB" w:rsidRDefault="00BC54AB" w:rsidP="00BC54AB">
      <w:pPr>
        <w:jc w:val="both"/>
        <w:rPr>
          <w:rFonts w:ascii="Times New Roman" w:hAnsi="Times New Roman" w:cs="Times New Roman"/>
          <w:sz w:val="24"/>
          <w:szCs w:val="24"/>
        </w:rPr>
      </w:pPr>
      <w:r w:rsidRPr="00BC54AB">
        <w:rPr>
          <w:rFonts w:ascii="Times New Roman" w:hAnsi="Times New Roman" w:cs="Times New Roman"/>
          <w:sz w:val="24"/>
          <w:szCs w:val="24"/>
        </w:rPr>
        <w:t>AI Model Stress Testing Framework: Utilizing the methodological discussion papers (Deliverable 6), a framework has been created to stress test and evaluate the robustness of AI and machine learning models under shifting financial conditions. This framework helps improve the reliability and resilience of AI models used in finance.</w:t>
      </w:r>
    </w:p>
    <w:p w14:paraId="797E6698" w14:textId="77777777" w:rsidR="00BC54AB" w:rsidRPr="00BC54AB" w:rsidRDefault="00BC54AB" w:rsidP="00BC54AB">
      <w:pPr>
        <w:jc w:val="both"/>
        <w:rPr>
          <w:rFonts w:ascii="Times New Roman" w:hAnsi="Times New Roman" w:cs="Times New Roman"/>
          <w:sz w:val="24"/>
          <w:szCs w:val="24"/>
        </w:rPr>
      </w:pPr>
      <w:r w:rsidRPr="00BC54AB">
        <w:rPr>
          <w:rFonts w:ascii="Times New Roman" w:hAnsi="Times New Roman" w:cs="Times New Roman"/>
          <w:sz w:val="24"/>
          <w:szCs w:val="24"/>
        </w:rPr>
        <w:t xml:space="preserve">Explainable AI for Financial Decision-Making: Leveraging the position papers aimed at regulators and policymakers (Deliverable 7), a suite of explainable AI tools has been created to enhance </w:t>
      </w:r>
      <w:r w:rsidRPr="00BC54AB">
        <w:rPr>
          <w:rFonts w:ascii="Times New Roman" w:hAnsi="Times New Roman" w:cs="Times New Roman"/>
          <w:sz w:val="24"/>
          <w:szCs w:val="24"/>
        </w:rPr>
        <w:lastRenderedPageBreak/>
        <w:t>transparency and accountability in AI-driven financial decision-making processes. These tools provide interpretable models, explanations, and audit trails.</w:t>
      </w:r>
    </w:p>
    <w:p w14:paraId="0132D0EE" w14:textId="77777777" w:rsidR="00797EC7" w:rsidRPr="00797EC7" w:rsidRDefault="00BC54AB" w:rsidP="00BC54AB">
      <w:pPr>
        <w:jc w:val="both"/>
        <w:rPr>
          <w:rFonts w:ascii="Times New Roman" w:hAnsi="Times New Roman" w:cs="Times New Roman"/>
          <w:sz w:val="24"/>
          <w:szCs w:val="24"/>
        </w:rPr>
      </w:pPr>
      <w:r w:rsidRPr="00BC54AB">
        <w:rPr>
          <w:rFonts w:ascii="Times New Roman" w:hAnsi="Times New Roman" w:cs="Times New Roman"/>
          <w:sz w:val="24"/>
          <w:szCs w:val="24"/>
        </w:rPr>
        <w:t>These innovative tools and frameworks represent significant advancements in the field, providing practical solutions to address some of the key challenges in FinTech and AI. They demonstrate the network's commitment to promoting responsible innovation and ensuring that cutting-edge technologies are deployed in a transparent and accountable manner.</w:t>
      </w:r>
      <w:r>
        <w:rPr>
          <w:rFonts w:ascii="Times New Roman" w:hAnsi="Times New Roman" w:cs="Times New Roman"/>
          <w:sz w:val="24"/>
          <w:szCs w:val="24"/>
        </w:rPr>
        <w:t xml:space="preserve"> </w:t>
      </w:r>
    </w:p>
    <w:p w14:paraId="1585E9BE" w14:textId="77777777" w:rsidR="00797EC7" w:rsidRPr="00D96ACD" w:rsidRDefault="00D96ACD" w:rsidP="00D96ACD">
      <w:pPr>
        <w:pStyle w:val="Heading1"/>
        <w:rPr>
          <w:rFonts w:ascii="Arial" w:hAnsi="Arial" w:cs="Arial"/>
          <w:color w:val="auto"/>
          <w:sz w:val="28"/>
          <w:szCs w:val="28"/>
        </w:rPr>
      </w:pPr>
      <w:bookmarkStart w:id="7" w:name="_Toc176826804"/>
      <w:r>
        <w:rPr>
          <w:rFonts w:ascii="Arial" w:hAnsi="Arial" w:cs="Arial"/>
          <w:color w:val="auto"/>
          <w:sz w:val="28"/>
          <w:szCs w:val="28"/>
        </w:rPr>
        <w:t>7.</w:t>
      </w:r>
      <w:r w:rsidR="00797EC7" w:rsidRPr="00D96ACD">
        <w:rPr>
          <w:rFonts w:ascii="Arial" w:hAnsi="Arial" w:cs="Arial"/>
          <w:color w:val="auto"/>
          <w:sz w:val="28"/>
          <w:szCs w:val="28"/>
        </w:rPr>
        <w:t xml:space="preserve">Methodological Papers and </w:t>
      </w:r>
      <w:r w:rsidR="000D1C54" w:rsidRPr="00D96ACD">
        <w:rPr>
          <w:rFonts w:ascii="Arial" w:hAnsi="Arial" w:cs="Arial"/>
          <w:color w:val="auto"/>
          <w:sz w:val="28"/>
          <w:szCs w:val="28"/>
        </w:rPr>
        <w:t>Technical Reports</w:t>
      </w:r>
      <w:bookmarkEnd w:id="7"/>
    </w:p>
    <w:p w14:paraId="4D64E91A" w14:textId="77777777" w:rsidR="00624751" w:rsidRDefault="00624751" w:rsidP="00797EC7">
      <w:pPr>
        <w:jc w:val="both"/>
        <w:rPr>
          <w:rFonts w:ascii="Times New Roman" w:hAnsi="Times New Roman" w:cs="Times New Roman"/>
          <w:sz w:val="24"/>
          <w:szCs w:val="24"/>
        </w:rPr>
      </w:pPr>
    </w:p>
    <w:p w14:paraId="334F6FF0" w14:textId="77777777" w:rsidR="00624751" w:rsidRPr="00624751" w:rsidRDefault="00797EC7" w:rsidP="00797EC7">
      <w:pPr>
        <w:jc w:val="both"/>
        <w:rPr>
          <w:rFonts w:ascii="Times New Roman" w:hAnsi="Times New Roman" w:cs="Times New Roman"/>
          <w:b/>
          <w:sz w:val="24"/>
          <w:szCs w:val="24"/>
        </w:rPr>
      </w:pPr>
      <w:r w:rsidRPr="00624751">
        <w:rPr>
          <w:rFonts w:ascii="Times New Roman" w:hAnsi="Times New Roman" w:cs="Times New Roman"/>
          <w:b/>
          <w:sz w:val="24"/>
          <w:szCs w:val="24"/>
        </w:rPr>
        <w:t>In-Depth Analysis of Advanced Financial Modeling Techniques</w:t>
      </w:r>
    </w:p>
    <w:p w14:paraId="0986121F" w14:textId="77777777" w:rsidR="00EE6538" w:rsidRPr="00EE6538" w:rsidRDefault="00797EC7" w:rsidP="00EE6538">
      <w:pPr>
        <w:jc w:val="both"/>
        <w:rPr>
          <w:rFonts w:ascii="Times New Roman" w:hAnsi="Times New Roman" w:cs="Times New Roman"/>
          <w:sz w:val="24"/>
          <w:szCs w:val="24"/>
        </w:rPr>
      </w:pPr>
      <w:r w:rsidRPr="00797EC7">
        <w:rPr>
          <w:rFonts w:ascii="Times New Roman" w:hAnsi="Times New Roman" w:cs="Times New Roman"/>
          <w:sz w:val="24"/>
          <w:szCs w:val="24"/>
        </w:rPr>
        <w:br/>
      </w:r>
      <w:r w:rsidRPr="00EE6538">
        <w:rPr>
          <w:rFonts w:ascii="Times New Roman" w:hAnsi="Times New Roman" w:cs="Times New Roman"/>
          <w:sz w:val="24"/>
          <w:szCs w:val="24"/>
        </w:rPr>
        <w:t>During the grant period of 202</w:t>
      </w:r>
      <w:r w:rsidR="00EE6538" w:rsidRPr="00EE6538">
        <w:rPr>
          <w:rFonts w:ascii="Times New Roman" w:hAnsi="Times New Roman" w:cs="Times New Roman"/>
          <w:sz w:val="24"/>
          <w:szCs w:val="24"/>
        </w:rPr>
        <w:t>2</w:t>
      </w:r>
      <w:r w:rsidRPr="00EE6538">
        <w:rPr>
          <w:rFonts w:ascii="Times New Roman" w:hAnsi="Times New Roman" w:cs="Times New Roman"/>
          <w:sz w:val="24"/>
          <w:szCs w:val="24"/>
        </w:rPr>
        <w:t>-202</w:t>
      </w:r>
      <w:r w:rsidR="00EE6538" w:rsidRPr="00EE6538">
        <w:rPr>
          <w:rFonts w:ascii="Times New Roman" w:hAnsi="Times New Roman" w:cs="Times New Roman"/>
          <w:sz w:val="24"/>
          <w:szCs w:val="24"/>
        </w:rPr>
        <w:t>3</w:t>
      </w:r>
      <w:r w:rsidRPr="00EE6538">
        <w:rPr>
          <w:rFonts w:ascii="Times New Roman" w:hAnsi="Times New Roman" w:cs="Times New Roman"/>
          <w:sz w:val="24"/>
          <w:szCs w:val="24"/>
        </w:rPr>
        <w:t xml:space="preserve">, COST Action CA19130 produced several methodological papers and technical reports that delved into advanced financial modeling techniques. </w:t>
      </w:r>
      <w:r w:rsidR="00EE6538" w:rsidRPr="00EE6538">
        <w:rPr>
          <w:rFonts w:ascii="Times New Roman" w:hAnsi="Times New Roman" w:cs="Times New Roman"/>
          <w:sz w:val="24"/>
          <w:szCs w:val="24"/>
        </w:rPr>
        <w:t>Techniques used for stress testing and evaluating the robustness of AI/machine learning models in finance could include:</w:t>
      </w:r>
    </w:p>
    <w:p w14:paraId="7771F11F" w14:textId="77777777" w:rsidR="00EE6538" w:rsidRPr="00EE6538" w:rsidRDefault="00EE6538" w:rsidP="00EE6538">
      <w:pPr>
        <w:numPr>
          <w:ilvl w:val="0"/>
          <w:numId w:val="28"/>
        </w:numPr>
        <w:jc w:val="both"/>
        <w:rPr>
          <w:rFonts w:ascii="Times New Roman" w:hAnsi="Times New Roman" w:cs="Times New Roman"/>
          <w:sz w:val="24"/>
          <w:szCs w:val="24"/>
        </w:rPr>
      </w:pPr>
      <w:r w:rsidRPr="00EE6538">
        <w:rPr>
          <w:rFonts w:ascii="Times New Roman" w:hAnsi="Times New Roman" w:cs="Times New Roman"/>
          <w:sz w:val="24"/>
          <w:szCs w:val="24"/>
        </w:rPr>
        <w:t>Data Perturbation: Introducing controlled noise, outliers, or missing values into the training/test data to assess how the model performs under data quality issues or distribution shifts.</w:t>
      </w:r>
    </w:p>
    <w:p w14:paraId="693C2580" w14:textId="77777777" w:rsidR="00EE6538" w:rsidRPr="00EE6538" w:rsidRDefault="00EE6538" w:rsidP="00EE6538">
      <w:pPr>
        <w:numPr>
          <w:ilvl w:val="0"/>
          <w:numId w:val="28"/>
        </w:numPr>
        <w:jc w:val="both"/>
        <w:rPr>
          <w:rFonts w:ascii="Times New Roman" w:hAnsi="Times New Roman" w:cs="Times New Roman"/>
          <w:sz w:val="24"/>
          <w:szCs w:val="24"/>
        </w:rPr>
      </w:pPr>
      <w:r w:rsidRPr="00EE6538">
        <w:rPr>
          <w:rFonts w:ascii="Times New Roman" w:hAnsi="Times New Roman" w:cs="Times New Roman"/>
          <w:sz w:val="24"/>
          <w:szCs w:val="24"/>
        </w:rPr>
        <w:t>Adversarial Attacks: Generating adversarial examples by making subtle modifications to inputs to test if the model can be fooled or provide incorrect outputs.</w:t>
      </w:r>
    </w:p>
    <w:p w14:paraId="4377876D" w14:textId="77777777" w:rsidR="00EE6538" w:rsidRPr="00EE6538" w:rsidRDefault="00EE6538" w:rsidP="00EE6538">
      <w:pPr>
        <w:numPr>
          <w:ilvl w:val="0"/>
          <w:numId w:val="28"/>
        </w:numPr>
        <w:jc w:val="both"/>
        <w:rPr>
          <w:rFonts w:ascii="Times New Roman" w:hAnsi="Times New Roman" w:cs="Times New Roman"/>
          <w:sz w:val="24"/>
          <w:szCs w:val="24"/>
        </w:rPr>
      </w:pPr>
      <w:r w:rsidRPr="00EE6538">
        <w:rPr>
          <w:rFonts w:ascii="Times New Roman" w:hAnsi="Times New Roman" w:cs="Times New Roman"/>
          <w:sz w:val="24"/>
          <w:szCs w:val="24"/>
        </w:rPr>
        <w:t>Scenario Analysis: Simulating extreme or unlikely financial scenarios and testing how the AI model behaves and makes predictions under such conditions.</w:t>
      </w:r>
    </w:p>
    <w:p w14:paraId="5B9337F6" w14:textId="77777777" w:rsidR="00EE6538" w:rsidRPr="00EE6538" w:rsidRDefault="00EE6538" w:rsidP="00EE6538">
      <w:pPr>
        <w:numPr>
          <w:ilvl w:val="0"/>
          <w:numId w:val="28"/>
        </w:numPr>
        <w:jc w:val="both"/>
        <w:rPr>
          <w:rFonts w:ascii="Times New Roman" w:hAnsi="Times New Roman" w:cs="Times New Roman"/>
          <w:sz w:val="24"/>
          <w:szCs w:val="24"/>
        </w:rPr>
      </w:pPr>
      <w:r w:rsidRPr="00EE6538">
        <w:rPr>
          <w:rFonts w:ascii="Times New Roman" w:hAnsi="Times New Roman" w:cs="Times New Roman"/>
          <w:sz w:val="24"/>
          <w:szCs w:val="24"/>
        </w:rPr>
        <w:t>Sensitivity Analysis: Systematically varying input features or model parameters to quantify how sensitive the model outputs are to these changes.</w:t>
      </w:r>
    </w:p>
    <w:p w14:paraId="39D6D0A1" w14:textId="77777777" w:rsidR="00EE6538" w:rsidRPr="00EE6538" w:rsidRDefault="00EE6538" w:rsidP="00EE6538">
      <w:pPr>
        <w:numPr>
          <w:ilvl w:val="0"/>
          <w:numId w:val="28"/>
        </w:numPr>
        <w:jc w:val="both"/>
        <w:rPr>
          <w:rFonts w:ascii="Times New Roman" w:hAnsi="Times New Roman" w:cs="Times New Roman"/>
          <w:sz w:val="24"/>
          <w:szCs w:val="24"/>
        </w:rPr>
      </w:pPr>
      <w:r w:rsidRPr="00EE6538">
        <w:rPr>
          <w:rFonts w:ascii="Times New Roman" w:hAnsi="Times New Roman" w:cs="Times New Roman"/>
          <w:sz w:val="24"/>
          <w:szCs w:val="24"/>
        </w:rPr>
        <w:t>Distributional Stress Tests: Evaluating the model's performance across different data distributions representing diverse market conditions or asset classes.</w:t>
      </w:r>
    </w:p>
    <w:p w14:paraId="010E786C" w14:textId="77777777" w:rsidR="00EE6538" w:rsidRPr="00EE6538" w:rsidRDefault="00EE6538" w:rsidP="00EE6538">
      <w:pPr>
        <w:numPr>
          <w:ilvl w:val="0"/>
          <w:numId w:val="28"/>
        </w:numPr>
        <w:jc w:val="both"/>
        <w:rPr>
          <w:rFonts w:ascii="Times New Roman" w:hAnsi="Times New Roman" w:cs="Times New Roman"/>
          <w:sz w:val="24"/>
          <w:szCs w:val="24"/>
        </w:rPr>
      </w:pPr>
      <w:proofErr w:type="spellStart"/>
      <w:r w:rsidRPr="00EE6538">
        <w:rPr>
          <w:rFonts w:ascii="Times New Roman" w:hAnsi="Times New Roman" w:cs="Times New Roman"/>
          <w:sz w:val="24"/>
          <w:szCs w:val="24"/>
        </w:rPr>
        <w:t>Backtesting</w:t>
      </w:r>
      <w:proofErr w:type="spellEnd"/>
      <w:r w:rsidRPr="00EE6538">
        <w:rPr>
          <w:rFonts w:ascii="Times New Roman" w:hAnsi="Times New Roman" w:cs="Times New Roman"/>
          <w:sz w:val="24"/>
          <w:szCs w:val="24"/>
        </w:rPr>
        <w:t>: Applying the model to historical data and comparing its predictions to actual outcomes to assess its performance retrospectively.</w:t>
      </w:r>
    </w:p>
    <w:p w14:paraId="232E8919"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The framework likely integrates various techniques, potentially factoring in domain-specific financial risk factors, to comprehensively evaluate the dependability and failure modes of AI models deployed in finance under adverse or fluctuating conditions. Rigorous stress testing aids in identifying vulnerabilities and areas requiring improvement prior to deploying models in live, critical applications.</w:t>
      </w:r>
    </w:p>
    <w:p w14:paraId="4B4E50F6"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Some key publications from the Action covered the following topics:</w:t>
      </w:r>
    </w:p>
    <w:p w14:paraId="1684BA49"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Statistical Modeling in Finance</w:t>
      </w:r>
      <w:r>
        <w:rPr>
          <w:rFonts w:ascii="Times New Roman" w:hAnsi="Times New Roman" w:cs="Times New Roman"/>
          <w:sz w:val="24"/>
          <w:szCs w:val="24"/>
        </w:rPr>
        <w:t xml:space="preserve"> </w:t>
      </w:r>
    </w:p>
    <w:p w14:paraId="7CEB3445"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lastRenderedPageBreak/>
        <w:t>Researchers developed novel statistical models aimed at capturing the intricacies of modern financial markets, such as market volatility, credit risk, and portfolio optimization. These models incorporated innovative variables and methodologies to enhance the accuracy and reliability of financial predictions.</w:t>
      </w:r>
    </w:p>
    <w:p w14:paraId="66412C48"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Machine Learning Applications in Finance</w:t>
      </w:r>
      <w:r>
        <w:rPr>
          <w:rFonts w:ascii="Times New Roman" w:hAnsi="Times New Roman" w:cs="Times New Roman"/>
          <w:sz w:val="24"/>
          <w:szCs w:val="24"/>
        </w:rPr>
        <w:t xml:space="preserve"> </w:t>
      </w:r>
    </w:p>
    <w:p w14:paraId="6D4CB1AD"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The technical reports outlined various machine learning approaches that can improve financial decision-making processes. They analyzed different algorithms and their potential applications, spanning areas like fraud detection in digital finance platforms and algorithmic trading strategies.</w:t>
      </w:r>
    </w:p>
    <w:p w14:paraId="32492CCA"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Network Analytics for Financial Systems</w:t>
      </w:r>
      <w:r>
        <w:rPr>
          <w:rFonts w:ascii="Times New Roman" w:hAnsi="Times New Roman" w:cs="Times New Roman"/>
          <w:sz w:val="24"/>
          <w:szCs w:val="24"/>
        </w:rPr>
        <w:t xml:space="preserve"> </w:t>
      </w:r>
    </w:p>
    <w:p w14:paraId="3C480D70"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Methodological papers explored using network analysis techniques to study interconnectedness and systemic risks within financial systems. They introduced methods for analyzing complex financial networks, identifying critical nodes and potential contagion paths, and assessing financial institutions' resilience.</w:t>
      </w:r>
    </w:p>
    <w:p w14:paraId="3338432D"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Trustworthy AI for Finance</w:t>
      </w:r>
      <w:r>
        <w:rPr>
          <w:rFonts w:ascii="Times New Roman" w:hAnsi="Times New Roman" w:cs="Times New Roman"/>
          <w:sz w:val="24"/>
          <w:szCs w:val="24"/>
        </w:rPr>
        <w:t xml:space="preserve"> </w:t>
      </w:r>
    </w:p>
    <w:p w14:paraId="1075E5C0"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With AI's increasing adoption in finance, the Action produced technical research on developing trustworthy and explainable AI models. These reports explored techniques for enhancing transparency, fairness, and accountability in AI-driven financial decision-making.</w:t>
      </w:r>
    </w:p>
    <w:p w14:paraId="15FBA668"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Model Validation and Stress Testing</w:t>
      </w:r>
      <w:r>
        <w:rPr>
          <w:rFonts w:ascii="Times New Roman" w:hAnsi="Times New Roman" w:cs="Times New Roman"/>
          <w:sz w:val="24"/>
          <w:szCs w:val="24"/>
        </w:rPr>
        <w:t xml:space="preserve"> </w:t>
      </w:r>
    </w:p>
    <w:p w14:paraId="722BAB56" w14:textId="77777777" w:rsid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The methodological papers addressed validating financial models and conducting stress tests, particularly those involving AI and machine learning components. They presented frameworks for evaluating model robustness under various stress scenarios and assessing performance in shifting market conditions.</w:t>
      </w:r>
    </w:p>
    <w:p w14:paraId="1058EDFE"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Sentiment analysis involves using natural language processing, text mining, and machine learning techniques to systematically identify, quantify, and study subjective information and opinions expressed in text data sources.</w:t>
      </w:r>
    </w:p>
    <w:p w14:paraId="3EAEE48B"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In the finance domain, sentiment analysis can be applied to analyze news articles, social media posts, earnings call transcripts, and other textual data to gauge market sentiment, investor sentiment, or public opinion towards specific companies, industries, or economic trends.</w:t>
      </w:r>
    </w:p>
    <w:p w14:paraId="568275F9"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Some potential applications and techniques explored could include:</w:t>
      </w:r>
    </w:p>
    <w:p w14:paraId="65F4A440" w14:textId="77777777" w:rsidR="00EE6538" w:rsidRPr="00EE6538" w:rsidRDefault="00EE6538" w:rsidP="00EE6538">
      <w:pPr>
        <w:numPr>
          <w:ilvl w:val="0"/>
          <w:numId w:val="29"/>
        </w:numPr>
        <w:jc w:val="both"/>
        <w:rPr>
          <w:rFonts w:ascii="Times New Roman" w:hAnsi="Times New Roman" w:cs="Times New Roman"/>
          <w:sz w:val="24"/>
          <w:szCs w:val="24"/>
        </w:rPr>
      </w:pPr>
      <w:r w:rsidRPr="00EE6538">
        <w:rPr>
          <w:rFonts w:ascii="Times New Roman" w:hAnsi="Times New Roman" w:cs="Times New Roman"/>
          <w:sz w:val="24"/>
          <w:szCs w:val="24"/>
        </w:rPr>
        <w:t>Developing sentiment analysis models to extract sentiment signals from textual data and integrate them into trading strategies, asset valuation models, or portfolio optimization.</w:t>
      </w:r>
    </w:p>
    <w:p w14:paraId="754E206F" w14:textId="77777777" w:rsidR="00EE6538" w:rsidRPr="00EE6538" w:rsidRDefault="00EE6538" w:rsidP="00EE6538">
      <w:pPr>
        <w:numPr>
          <w:ilvl w:val="0"/>
          <w:numId w:val="29"/>
        </w:numPr>
        <w:jc w:val="both"/>
        <w:rPr>
          <w:rFonts w:ascii="Times New Roman" w:hAnsi="Times New Roman" w:cs="Times New Roman"/>
          <w:sz w:val="24"/>
          <w:szCs w:val="24"/>
        </w:rPr>
      </w:pPr>
      <w:r w:rsidRPr="00EE6538">
        <w:rPr>
          <w:rFonts w:ascii="Times New Roman" w:hAnsi="Times New Roman" w:cs="Times New Roman"/>
          <w:sz w:val="24"/>
          <w:szCs w:val="24"/>
        </w:rPr>
        <w:t>Analyzing how news sentiment impacts stock prices, volatility, trading volumes, or other financial indicators.</w:t>
      </w:r>
    </w:p>
    <w:p w14:paraId="513F45D3" w14:textId="77777777" w:rsidR="00EE6538" w:rsidRPr="00EE6538" w:rsidRDefault="00EE6538" w:rsidP="00EE6538">
      <w:pPr>
        <w:numPr>
          <w:ilvl w:val="0"/>
          <w:numId w:val="29"/>
        </w:numPr>
        <w:jc w:val="both"/>
        <w:rPr>
          <w:rFonts w:ascii="Times New Roman" w:hAnsi="Times New Roman" w:cs="Times New Roman"/>
          <w:sz w:val="24"/>
          <w:szCs w:val="24"/>
        </w:rPr>
      </w:pPr>
      <w:r w:rsidRPr="00EE6538">
        <w:rPr>
          <w:rFonts w:ascii="Times New Roman" w:hAnsi="Times New Roman" w:cs="Times New Roman"/>
          <w:sz w:val="24"/>
          <w:szCs w:val="24"/>
        </w:rPr>
        <w:t>Monitoring social media sentiment to identify early warning signals of market-moving events or investor sentiment shifts.</w:t>
      </w:r>
    </w:p>
    <w:p w14:paraId="0366811A" w14:textId="77777777" w:rsidR="00EE6538" w:rsidRPr="00EE6538" w:rsidRDefault="00EE6538" w:rsidP="00EE6538">
      <w:pPr>
        <w:numPr>
          <w:ilvl w:val="0"/>
          <w:numId w:val="29"/>
        </w:numPr>
        <w:jc w:val="both"/>
        <w:rPr>
          <w:rFonts w:ascii="Times New Roman" w:hAnsi="Times New Roman" w:cs="Times New Roman"/>
          <w:sz w:val="24"/>
          <w:szCs w:val="24"/>
        </w:rPr>
      </w:pPr>
      <w:r w:rsidRPr="00EE6538">
        <w:rPr>
          <w:rFonts w:ascii="Times New Roman" w:hAnsi="Times New Roman" w:cs="Times New Roman"/>
          <w:sz w:val="24"/>
          <w:szCs w:val="24"/>
        </w:rPr>
        <w:lastRenderedPageBreak/>
        <w:t>Studying the relationship between management/executive sentiment in communications and future company performance.</w:t>
      </w:r>
    </w:p>
    <w:p w14:paraId="0E7386EF" w14:textId="77777777" w:rsidR="00EE6538" w:rsidRPr="00EE6538" w:rsidRDefault="00EE6538" w:rsidP="00EE6538">
      <w:pPr>
        <w:numPr>
          <w:ilvl w:val="0"/>
          <w:numId w:val="29"/>
        </w:numPr>
        <w:jc w:val="both"/>
        <w:rPr>
          <w:rFonts w:ascii="Times New Roman" w:hAnsi="Times New Roman" w:cs="Times New Roman"/>
          <w:sz w:val="24"/>
          <w:szCs w:val="24"/>
        </w:rPr>
      </w:pPr>
      <w:r w:rsidRPr="00EE6538">
        <w:rPr>
          <w:rFonts w:ascii="Times New Roman" w:hAnsi="Times New Roman" w:cs="Times New Roman"/>
          <w:sz w:val="24"/>
          <w:szCs w:val="24"/>
        </w:rPr>
        <w:t>Applying advanced language models and deep learning techniques to better capture nuances and context in financial text data.</w:t>
      </w:r>
    </w:p>
    <w:p w14:paraId="010C330E"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By harnessing the wealth of unstructured text data available, sentiment analysis techniques can provide valuable insights into market dynamics, investor behavior, and informational impacts, complementing traditional quantitative analysis in finance.</w:t>
      </w:r>
    </w:p>
    <w:p w14:paraId="4C0F445A" w14:textId="77777777" w:rsid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The methodological papers and technical reports contributed to advancing financial modeling and analysis. They provided insights into cutting-edge techniques and methodologies, fostering more robust and reliable financial models and decision-making tools.</w:t>
      </w:r>
    </w:p>
    <w:p w14:paraId="00BE073E" w14:textId="77777777" w:rsidR="000D1C54" w:rsidRPr="000D1C54" w:rsidRDefault="000D1C54" w:rsidP="00EE6538">
      <w:pPr>
        <w:jc w:val="both"/>
        <w:rPr>
          <w:rFonts w:ascii="Times New Roman" w:hAnsi="Times New Roman" w:cs="Times New Roman"/>
          <w:sz w:val="24"/>
          <w:szCs w:val="24"/>
        </w:rPr>
      </w:pPr>
      <w:r w:rsidRPr="000D1C54">
        <w:rPr>
          <w:rFonts w:ascii="Times New Roman" w:hAnsi="Times New Roman" w:cs="Times New Roman"/>
          <w:sz w:val="24"/>
          <w:szCs w:val="24"/>
        </w:rPr>
        <w:t>The COST Action on Fintech and AI in Finance has made notable methodological and technical contributions to advance research in this emerging field. One key contribution has been the construction of comprehensive databases to serve as valuable resources for future studies. The members painstakingly curated an Initial Coin Offering (ICO) database, meticulously compiling public information on various ICO details such as names, dates, amounts raised, tokens sold, and team backgrounds. In addition, an interactive database project is currently underway, leveraging text mining techniques to extract fee and price performance data from regulatory documents of major European Exchange Traded Funds (ETFs).</w:t>
      </w:r>
    </w:p>
    <w:p w14:paraId="15288C99" w14:textId="77777777"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Driven by a vision to develop practical tools and platforms, the Action has spearheaded the creation of an explainable webpage tailored for financial applications. This user-friendly platform harnesses visual analytics tools specifically designed to cater to the needs of both model developers and evaluators. For developers, it offers interactive visualizations and controls to explore data patterns and relationships, while for evaluators, it provides transparency into model predictions, feature importances, and performance metrics. Moreover, the establishment of the Blockchain Research Center underscores the Action's commitment to promoting blockchain research, offering customized solutions, scientific support, academic lectures, and globally interconnected forums.</w:t>
      </w:r>
    </w:p>
    <w:p w14:paraId="4FA69077" w14:textId="77777777"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On the methodological front, the Action has delved into intricate research problems, such as investigating the optimal time intervals for technical indicator-based stock price forecasting using machine learning models. Furthermore, a multi-disciplinary approach has been adopted to study the factors influencing consumers' intention to use mobile payments, employing moderated mediation analysis that synthesizes theories from information systems, marketing, and psychology domains. The examination of ESG (environmental, social, governance) integration challenges in the insurance industry has been conducted through a multi-stakeholder lens, encompassing the perspectives of insurers, policyholders, and regulators.</w:t>
      </w:r>
    </w:p>
    <w:p w14:paraId="44010421" w14:textId="77777777"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The application of Explainable AI (XAI) techniques has been a focal point, with researchers exploring the use of XAI tools like SHAP and LIME to enhance transparency and interpretability of financial models, particularly in credit risk modeling applications. Additionally, frameworks have been developed to systematically collect data from peer-to-peer (P2P) lending platforms, leveraging public information, loan portfolio analysis, and benchmarking against industry data.</w:t>
      </w:r>
    </w:p>
    <w:p w14:paraId="76082E84" w14:textId="77777777"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lastRenderedPageBreak/>
        <w:t>Underpinning these contributions is the Action's unwavering commitment to knowledge dissemination. Research seminars, workshops, and conference sessions have been organized, providing platforms for Action members to present their methodological work and findings to both academic and industry audiences, fostering cross-pollination of ideas and fostering collaborations.</w:t>
      </w:r>
    </w:p>
    <w:p w14:paraId="32ED7790" w14:textId="77777777"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Through these multifaceted contributions, the COST Action has solidified its position as a driving force in the amalgamation of fintech, AI, and finance, paving the way for transparent, interpretable, and impactful solutions that address real-world challenges in the financial sector.</w:t>
      </w:r>
    </w:p>
    <w:p w14:paraId="5B10A1A8" w14:textId="77777777" w:rsidR="000D1C54" w:rsidRDefault="00EE6538" w:rsidP="000D1C54">
      <w:pPr>
        <w:jc w:val="both"/>
        <w:rPr>
          <w:rFonts w:ascii="Times New Roman" w:hAnsi="Times New Roman" w:cs="Times New Roman"/>
          <w:sz w:val="24"/>
          <w:szCs w:val="24"/>
        </w:rPr>
      </w:pPr>
      <w:r>
        <w:rPr>
          <w:rFonts w:ascii="Times New Roman" w:hAnsi="Times New Roman" w:cs="Times New Roman"/>
          <w:sz w:val="24"/>
          <w:szCs w:val="24"/>
        </w:rPr>
        <w:t xml:space="preserve"> </w:t>
      </w:r>
    </w:p>
    <w:p w14:paraId="28169BC6" w14:textId="77777777" w:rsidR="00391B35" w:rsidRPr="00D96ACD" w:rsidRDefault="00391B35" w:rsidP="00D96ACD">
      <w:pPr>
        <w:pStyle w:val="Heading1"/>
        <w:rPr>
          <w:rFonts w:ascii="Arial" w:hAnsi="Arial" w:cs="Arial"/>
          <w:color w:val="auto"/>
          <w:sz w:val="28"/>
          <w:szCs w:val="28"/>
        </w:rPr>
      </w:pPr>
      <w:bookmarkStart w:id="8" w:name="_Toc176826805"/>
      <w:r w:rsidRPr="00D96ACD">
        <w:rPr>
          <w:rFonts w:ascii="Arial" w:hAnsi="Arial" w:cs="Arial"/>
          <w:color w:val="auto"/>
          <w:sz w:val="28"/>
          <w:szCs w:val="28"/>
        </w:rPr>
        <w:t>8.Financial Overview: Resource Allocation and Impact</w:t>
      </w:r>
      <w:bookmarkEnd w:id="8"/>
    </w:p>
    <w:p w14:paraId="0662CA6F"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 xml:space="preserve">For the grant period from November 1, 2022 to October 31, 2023, COST Action CA19130 "Fintech and Artificial Intelligence in Finance - Towards a transparent financial industry" was allocated a total budget of EUR 257,925.91. A significant portion, amounting to EUR 117,889.40, was dedicated to organizing 9 hybrid meetings encompassing Core Group Meetings, Working Group Meetings, and Workshops/Conferences. Notable events included the "Diversity challenges and stakeholders' engagement" gathering in Cluj </w:t>
      </w:r>
      <w:proofErr w:type="spellStart"/>
      <w:r w:rsidRPr="00EE6538">
        <w:rPr>
          <w:rFonts w:ascii="Times New Roman" w:hAnsi="Times New Roman" w:cs="Times New Roman"/>
          <w:sz w:val="24"/>
          <w:szCs w:val="24"/>
        </w:rPr>
        <w:t>Napoca</w:t>
      </w:r>
      <w:proofErr w:type="spellEnd"/>
      <w:r w:rsidRPr="00EE6538">
        <w:rPr>
          <w:rFonts w:ascii="Times New Roman" w:hAnsi="Times New Roman" w:cs="Times New Roman"/>
          <w:sz w:val="24"/>
          <w:szCs w:val="24"/>
        </w:rPr>
        <w:t>, Romania with a budget of EUR 12,331.40, the "COST FinAI - Fintech and AI in Finance - Policy implications" conference in Brussels, Belgium allocated EUR 15,148.00, and the "COST FinAI - Fintech and AI in Finance - MC, WG and Core group meeting" in Bern, Switzerland with a substantial budget of EUR 41,053.00.</w:t>
      </w:r>
    </w:p>
    <w:p w14:paraId="16FCAD17"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t>Furthermore, EUR 58,594.00 was allocated to fund 4 hybrid training schools focused on topics such as data science for sustainable economics and finance in Berlin (EUR 7,688.00), the latest technologies and challenges in Tirana (EUR 15,950.00), current state and future challenges regarding risks and digital assets in Enschede (EUR 17,660.00), and advanced statistical modeling for Fintech in Naples (EUR 17,296.00). Mobility grants were also supported, with EUR 14,000.00 allocated for Short-Term Scientific Mission (STSM) grants and EUR 29,300.00 for Virtual Mobility (VM) grants.</w:t>
      </w:r>
      <w:r w:rsidR="00BD5BEF" w:rsidRPr="00BD5BEF">
        <w:t xml:space="preserve"> </w:t>
      </w:r>
      <w:proofErr w:type="spellStart"/>
      <w:r w:rsidR="00BD5BEF">
        <w:rPr>
          <w:rFonts w:ascii="Times New Roman" w:hAnsi="Times New Roman" w:cs="Times New Roman"/>
          <w:sz w:val="24"/>
          <w:szCs w:val="24"/>
        </w:rPr>
        <w:t>A</w:t>
      </w:r>
      <w:r w:rsidR="00BD5BEF" w:rsidRPr="00BD5BEF">
        <w:rPr>
          <w:rFonts w:ascii="Times New Roman" w:hAnsi="Times New Roman" w:cs="Times New Roman"/>
          <w:sz w:val="24"/>
          <w:szCs w:val="24"/>
        </w:rPr>
        <w:t>series</w:t>
      </w:r>
      <w:proofErr w:type="spellEnd"/>
      <w:r w:rsidR="00BD5BEF" w:rsidRPr="00BD5BEF">
        <w:rPr>
          <w:rFonts w:ascii="Times New Roman" w:hAnsi="Times New Roman" w:cs="Times New Roman"/>
          <w:sz w:val="24"/>
          <w:szCs w:val="24"/>
        </w:rPr>
        <w:t xml:space="preserve"> of highly diverse hybrid training schools dedicated to developing the advanced skills needed to address emerging challenges at the intersection of finance and technology. The Berlin school aimed at developing data science skills for applications in sustainable economics and finance, covering topics such as data mining, machine learning and big data analytics to extract relevant information to support sustainable decisions. In Tirana, cutting-edge technologies that are revolutionizing the financial services industry, such as artificial intelligence, blockchain and cloud computing, were addressed along with their regulatory implications. The Enschede program analyzed the current landscape and future prospects of digital assets such as cryptocurrencies, NFTs and stablecoins, exploring regulatory frameworks, risks and technical aspects. Finally, the Naples school focused on quantitative methods and advanced statistical modeling techniques adapted for fintech applications such as time series analysis, computational finance and agent-based simulations. The main aim of these programs was to develop the specialized knowledge and tools needed by researchers, professionals and students to face the emerging challenges in the field of fintech.</w:t>
      </w:r>
    </w:p>
    <w:p w14:paraId="7688F7A3" w14:textId="77777777" w:rsidR="00EE6538" w:rsidRPr="00EE6538" w:rsidRDefault="00EE6538" w:rsidP="00EE6538">
      <w:pPr>
        <w:jc w:val="both"/>
        <w:rPr>
          <w:rFonts w:ascii="Times New Roman" w:hAnsi="Times New Roman" w:cs="Times New Roman"/>
          <w:sz w:val="24"/>
          <w:szCs w:val="24"/>
        </w:rPr>
      </w:pPr>
      <w:r w:rsidRPr="00EE6538">
        <w:rPr>
          <w:rFonts w:ascii="Times New Roman" w:hAnsi="Times New Roman" w:cs="Times New Roman"/>
          <w:sz w:val="24"/>
          <w:szCs w:val="24"/>
        </w:rPr>
        <w:lastRenderedPageBreak/>
        <w:t>The budget included EUR 2,000.00 for Dissemination Conference grants, while no funds were allocated for ITC Conference grants. An amount of EUR 2,500.00 was designated for website improvement efforts under Dissemination and Communication. No expenses were budgeted for Other Expenses Related to Scientific Activities (OERSA). Finally, EUR 33,642.51, representing the maximum 15% of the total grant, was allocated for Financial and Scientific Administration and Coordination (FSAC).</w:t>
      </w:r>
    </w:p>
    <w:p w14:paraId="7F910F76" w14:textId="77777777" w:rsidR="000D1C54" w:rsidRPr="000D1C54" w:rsidRDefault="000D1C54" w:rsidP="000D1C54">
      <w:pPr>
        <w:jc w:val="both"/>
        <w:rPr>
          <w:rFonts w:ascii="Times New Roman" w:hAnsi="Times New Roman" w:cs="Times New Roman"/>
          <w:sz w:val="24"/>
          <w:szCs w:val="24"/>
        </w:rPr>
      </w:pPr>
      <w:r w:rsidRPr="000D1C54">
        <w:rPr>
          <w:rFonts w:ascii="Times New Roman" w:hAnsi="Times New Roman" w:cs="Times New Roman"/>
          <w:sz w:val="24"/>
          <w:szCs w:val="24"/>
        </w:rPr>
        <w:t>8.3 Financial Efficiency and Value Generation</w:t>
      </w:r>
    </w:p>
    <w:p w14:paraId="7B0B2DC1" w14:textId="77777777" w:rsidR="00BD5BEF" w:rsidRPr="00BD5BEF" w:rsidRDefault="00BD5BEF" w:rsidP="00BD5BEF">
      <w:pPr>
        <w:jc w:val="both"/>
        <w:rPr>
          <w:rFonts w:ascii="Times New Roman" w:hAnsi="Times New Roman" w:cs="Times New Roman"/>
          <w:sz w:val="24"/>
          <w:szCs w:val="24"/>
        </w:rPr>
      </w:pPr>
      <w:r w:rsidRPr="00BD5BEF">
        <w:rPr>
          <w:rFonts w:ascii="Times New Roman" w:hAnsi="Times New Roman" w:cs="Times New Roman"/>
          <w:sz w:val="24"/>
          <w:szCs w:val="24"/>
        </w:rPr>
        <w:t>The budget allocation for COST Action CA19130 demonstrates a concerted effort to maximize financial efficiency while generating significant value through its activities. The substantial funding of €117,889.40 dedicated to organizing 9 hybrid meetings, including Core Group Meetings, Working Group Meetings, and Workshops/Conferences, underscores the importance placed on facilitating knowledge exchange, collaboration, and disseminating research findings.</w:t>
      </w:r>
    </w:p>
    <w:p w14:paraId="76E74A1C" w14:textId="77777777" w:rsidR="00BD5BEF" w:rsidRPr="00BD5BEF" w:rsidRDefault="00BD5BEF" w:rsidP="00BD5BEF">
      <w:pPr>
        <w:jc w:val="both"/>
        <w:rPr>
          <w:rFonts w:ascii="Times New Roman" w:hAnsi="Times New Roman" w:cs="Times New Roman"/>
          <w:sz w:val="24"/>
          <w:szCs w:val="24"/>
        </w:rPr>
      </w:pPr>
      <w:r w:rsidRPr="00BD5BEF">
        <w:rPr>
          <w:rFonts w:ascii="Times New Roman" w:hAnsi="Times New Roman" w:cs="Times New Roman"/>
          <w:sz w:val="24"/>
          <w:szCs w:val="24"/>
        </w:rPr>
        <w:t xml:space="preserve">Notable high-impact events, such as the "Diversity challenges and stakeholders' engagement" gathering in Cluj </w:t>
      </w:r>
      <w:proofErr w:type="spellStart"/>
      <w:r w:rsidRPr="00BD5BEF">
        <w:rPr>
          <w:rFonts w:ascii="Times New Roman" w:hAnsi="Times New Roman" w:cs="Times New Roman"/>
          <w:sz w:val="24"/>
          <w:szCs w:val="24"/>
        </w:rPr>
        <w:t>Napoca</w:t>
      </w:r>
      <w:proofErr w:type="spellEnd"/>
      <w:r w:rsidRPr="00BD5BEF">
        <w:rPr>
          <w:rFonts w:ascii="Times New Roman" w:hAnsi="Times New Roman" w:cs="Times New Roman"/>
          <w:sz w:val="24"/>
          <w:szCs w:val="24"/>
        </w:rPr>
        <w:t>, Romania (€12,331.40), the "COST FinAI - Fintech and AI in Finance - Policy implications" conference in Brussels, Belgium (€15,148.00), and the "COST FinAI - Fintech and AI in Finance - MC, WG and Core group meeting" in Bern, Switzerland (€41,053.00), demonstrate a commitment to addressing critical issues and shaping policies at the forefront of the fintech and AI in finance domains.</w:t>
      </w:r>
    </w:p>
    <w:p w14:paraId="2212FDE6" w14:textId="77777777" w:rsidR="00BD5BEF" w:rsidRPr="00BD5BEF" w:rsidRDefault="00BD5BEF" w:rsidP="00BD5BEF">
      <w:pPr>
        <w:jc w:val="both"/>
        <w:rPr>
          <w:rFonts w:ascii="Times New Roman" w:hAnsi="Times New Roman" w:cs="Times New Roman"/>
          <w:sz w:val="24"/>
          <w:szCs w:val="24"/>
        </w:rPr>
      </w:pPr>
      <w:r w:rsidRPr="00BD5BEF">
        <w:rPr>
          <w:rFonts w:ascii="Times New Roman" w:hAnsi="Times New Roman" w:cs="Times New Roman"/>
          <w:sz w:val="24"/>
          <w:szCs w:val="24"/>
        </w:rPr>
        <w:t>Moreover, the allocation of €58,594.00 for 4 hybrid training schools focused on vital topics such as data science for sustainable economics and finance, latest technologies and challenges in fintech, risks and digital assets, and advanced statistical modeling for fintech, highlights the Action's dedication to capacity building and equipping stakeholders with cutting-edge knowledge and skills.</w:t>
      </w:r>
    </w:p>
    <w:p w14:paraId="4DA31F6B" w14:textId="77777777" w:rsidR="00BD5BEF" w:rsidRPr="00BD5BEF" w:rsidRDefault="00BD5BEF" w:rsidP="00BD5BEF">
      <w:pPr>
        <w:jc w:val="both"/>
        <w:rPr>
          <w:rFonts w:ascii="Times New Roman" w:hAnsi="Times New Roman" w:cs="Times New Roman"/>
          <w:sz w:val="24"/>
          <w:szCs w:val="24"/>
        </w:rPr>
      </w:pPr>
      <w:r w:rsidRPr="00BD5BEF">
        <w:rPr>
          <w:rFonts w:ascii="Times New Roman" w:hAnsi="Times New Roman" w:cs="Times New Roman"/>
          <w:sz w:val="24"/>
          <w:szCs w:val="24"/>
        </w:rPr>
        <w:t>The budget's inclusion of €14,000.00 for Short-Term Scientific Mission (STSM) grants and €29,300.00 for Virtual Mobility (VM) grants further underscores the commitment to fostering collaboration, knowledge transfer, and leveraging diverse perspectives to drive innovation and address complex challenges.</w:t>
      </w:r>
    </w:p>
    <w:p w14:paraId="05F934ED" w14:textId="77777777" w:rsidR="00797EC7" w:rsidRPr="00797EC7" w:rsidRDefault="00BD5BEF" w:rsidP="00BD5BEF">
      <w:pPr>
        <w:jc w:val="both"/>
        <w:rPr>
          <w:rFonts w:ascii="Times New Roman" w:hAnsi="Times New Roman" w:cs="Times New Roman"/>
          <w:sz w:val="24"/>
          <w:szCs w:val="24"/>
        </w:rPr>
      </w:pPr>
      <w:r w:rsidRPr="00BD5BEF">
        <w:rPr>
          <w:rFonts w:ascii="Times New Roman" w:hAnsi="Times New Roman" w:cs="Times New Roman"/>
          <w:sz w:val="24"/>
          <w:szCs w:val="24"/>
        </w:rPr>
        <w:t xml:space="preserve">By strategically allocating resources to high-impact activities, dissemination efforts, and capacity-building initiatives, COST Action CA19130 is poised to generate significant value by advancing the state of knowledge, informing policymaking, and cultivating a skilled workforce capable of navigating the rapidly evolving fintech and AI in finance landscape. </w:t>
      </w:r>
      <w:r w:rsidR="000D1C54" w:rsidRPr="000D1C54">
        <w:rPr>
          <w:rFonts w:ascii="Times New Roman" w:hAnsi="Times New Roman" w:cs="Times New Roman"/>
          <w:sz w:val="24"/>
          <w:szCs w:val="24"/>
        </w:rPr>
        <w:t>The financial management of COST Action CA19130 during the second grant period demonstrated efficient resource allocation and generated significant value across various activities. The strategic use of hybrid formats for meetings and the support for early-career researchers through mobility grants facilitated knowledge exchange and collaboration, contributing to the development of a robust research network. The dissemination budget ensured effective communication of key findings, enhancing the visibility and impact of the Action's research. Overall, the Action effectively utilized its financial resources to achieve strategic goals, build capacity, and promote transparency in financial technologies and AI across Europe.</w:t>
      </w:r>
    </w:p>
    <w:p w14:paraId="44700E89" w14:textId="77777777" w:rsidR="00454414" w:rsidRPr="00454414" w:rsidRDefault="00454414" w:rsidP="00454414">
      <w:pPr>
        <w:jc w:val="both"/>
        <w:rPr>
          <w:rFonts w:ascii="Times New Roman" w:hAnsi="Times New Roman" w:cs="Times New Roman"/>
          <w:sz w:val="24"/>
          <w:szCs w:val="24"/>
        </w:rPr>
      </w:pPr>
      <w:r w:rsidRPr="00454414">
        <w:rPr>
          <w:rFonts w:ascii="Times New Roman" w:hAnsi="Times New Roman" w:cs="Times New Roman"/>
          <w:sz w:val="24"/>
          <w:szCs w:val="24"/>
        </w:rPr>
        <w:lastRenderedPageBreak/>
        <w:t>The COST Action CA19130 "Fintech and AI in Finance" has made substantial strides in advancing research, education, and practical applications at the intersection of financial technology and artificial intelligence. Guided by the Memorandum of Understanding (MoU), the Action has pursued the following key objectives:</w:t>
      </w:r>
    </w:p>
    <w:p w14:paraId="19EA7E94" w14:textId="77777777" w:rsidR="00D56C57" w:rsidRPr="00D96ACD" w:rsidRDefault="00D56C57" w:rsidP="00D96ACD">
      <w:pPr>
        <w:pStyle w:val="Heading1"/>
        <w:rPr>
          <w:rFonts w:ascii="Arial" w:hAnsi="Arial" w:cs="Arial"/>
          <w:bCs/>
          <w:color w:val="auto"/>
          <w:sz w:val="28"/>
          <w:szCs w:val="28"/>
        </w:rPr>
      </w:pPr>
      <w:bookmarkStart w:id="9" w:name="_Toc176826806"/>
      <w:r w:rsidRPr="00D96ACD">
        <w:rPr>
          <w:rFonts w:ascii="Arial" w:hAnsi="Arial" w:cs="Arial"/>
          <w:color w:val="auto"/>
          <w:sz w:val="28"/>
          <w:szCs w:val="28"/>
        </w:rPr>
        <w:t>9. Assessment of Progress Towards MoU Objectives</w:t>
      </w:r>
      <w:bookmarkEnd w:id="9"/>
    </w:p>
    <w:p w14:paraId="5406C151" w14:textId="77777777" w:rsidR="00BD5BEF" w:rsidRPr="00BD5BEF" w:rsidRDefault="00BD5BEF" w:rsidP="00BD5BEF">
      <w:pPr>
        <w:jc w:val="both"/>
        <w:rPr>
          <w:rFonts w:ascii="Times New Roman" w:hAnsi="Times New Roman" w:cs="Times New Roman"/>
          <w:sz w:val="24"/>
          <w:szCs w:val="24"/>
        </w:rPr>
      </w:pPr>
      <w:r w:rsidRPr="00BD5BEF">
        <w:rPr>
          <w:rFonts w:ascii="Times New Roman" w:hAnsi="Times New Roman" w:cs="Times New Roman"/>
          <w:sz w:val="24"/>
          <w:szCs w:val="24"/>
        </w:rPr>
        <w:t>The COST Action CA19130 "Fintech and Artificial Intelligence in Finance" was established with the ambitious mission of propelling research, education, and real-world applications at the convergence of financial technology and artificial intelligence. This multifaceted undertaking was guided by a comprehensive Memorandum of Understanding (MoU) that outlined specific objectives to steer the Action's wide-ranging initiatives. Significant milestones have been reached in the pursuit of these objectives, marking notable advancements across multiple fronts in this rapidly evolving field:</w:t>
      </w:r>
    </w:p>
    <w:p w14:paraId="22331A31" w14:textId="77777777" w:rsidR="00BD5BEF" w:rsidRPr="00BD5BEF" w:rsidRDefault="00BD5BEF" w:rsidP="00BD5BEF">
      <w:pPr>
        <w:jc w:val="both"/>
        <w:rPr>
          <w:rFonts w:ascii="Times New Roman" w:hAnsi="Times New Roman" w:cs="Times New Roman"/>
          <w:sz w:val="24"/>
          <w:szCs w:val="24"/>
        </w:rPr>
      </w:pPr>
    </w:p>
    <w:p w14:paraId="1D809482" w14:textId="77777777" w:rsidR="00BD5BEF" w:rsidRPr="00BD5BEF" w:rsidRDefault="00BD5BEF" w:rsidP="00BD5BEF">
      <w:pPr>
        <w:jc w:val="both"/>
        <w:rPr>
          <w:rFonts w:ascii="Times New Roman" w:hAnsi="Times New Roman" w:cs="Times New Roman"/>
          <w:sz w:val="24"/>
          <w:szCs w:val="24"/>
        </w:rPr>
      </w:pPr>
      <w:r w:rsidRPr="00BD5BEF">
        <w:rPr>
          <w:rFonts w:ascii="Times New Roman" w:hAnsi="Times New Roman" w:cs="Times New Roman"/>
          <w:sz w:val="24"/>
          <w:szCs w:val="24"/>
        </w:rPr>
        <w:t>Objective 1: Developing Blended Approaches for Fintech Evaluation</w:t>
      </w:r>
    </w:p>
    <w:p w14:paraId="68CDF65F" w14:textId="77777777" w:rsidR="00BD5BEF" w:rsidRPr="00BD5BEF" w:rsidRDefault="00BD5BEF" w:rsidP="00BD5BEF">
      <w:pPr>
        <w:jc w:val="both"/>
        <w:rPr>
          <w:rFonts w:ascii="Times New Roman" w:hAnsi="Times New Roman" w:cs="Times New Roman"/>
          <w:sz w:val="24"/>
          <w:szCs w:val="24"/>
        </w:rPr>
      </w:pPr>
      <w:r w:rsidRPr="00BD5BEF">
        <w:rPr>
          <w:rFonts w:ascii="Times New Roman" w:hAnsi="Times New Roman" w:cs="Times New Roman"/>
          <w:sz w:val="24"/>
          <w:szCs w:val="24"/>
        </w:rPr>
        <w:t xml:space="preserve">The Action has made substantial strides in this objective by forging strategic partnerships with leading industry players like </w:t>
      </w:r>
      <w:proofErr w:type="spellStart"/>
      <w:r w:rsidRPr="00BD5BEF">
        <w:rPr>
          <w:rFonts w:ascii="Times New Roman" w:hAnsi="Times New Roman" w:cs="Times New Roman"/>
          <w:sz w:val="24"/>
          <w:szCs w:val="24"/>
        </w:rPr>
        <w:t>iFactor</w:t>
      </w:r>
      <w:proofErr w:type="spellEnd"/>
      <w:r w:rsidRPr="00BD5BEF">
        <w:rPr>
          <w:rFonts w:ascii="Times New Roman" w:hAnsi="Times New Roman" w:cs="Times New Roman"/>
          <w:sz w:val="24"/>
          <w:szCs w:val="24"/>
        </w:rPr>
        <w:t xml:space="preserve"> and ING. Through these collaborations, the focus has been on developing cutting-edge AI tools for financial risk assessment and early warning systems to detect operational vulnerabilities, fraudulent activities, and illicit behaviors ranging from misappropriation of loaned funds to money-laundering activities. Additionally, the Action has initiated groundbreaking research projects, including one funded by the prestigious Swiss National Science Foundation on anomaly and fraud detection in blockchain networks, and another in collaboration with a Swiss fintech company aimed at improving loan default rating models leveraging machine learning techniques. Leveraging its diverse network spanning 49 countries, the Action has facilitated coordinated knowledge development and cross-pollination of ideas in this critical domain.</w:t>
      </w:r>
    </w:p>
    <w:p w14:paraId="40718EBA" w14:textId="77777777" w:rsidR="00BD5BEF" w:rsidRPr="00BD5BEF" w:rsidRDefault="00BD5BEF" w:rsidP="00BD5BEF">
      <w:pPr>
        <w:jc w:val="both"/>
        <w:rPr>
          <w:rFonts w:ascii="Times New Roman" w:hAnsi="Times New Roman" w:cs="Times New Roman"/>
          <w:sz w:val="24"/>
          <w:szCs w:val="24"/>
        </w:rPr>
      </w:pPr>
    </w:p>
    <w:p w14:paraId="5F7D44D8" w14:textId="77777777" w:rsidR="00BD5BEF" w:rsidRPr="00BD5BEF" w:rsidRDefault="00BD5BEF" w:rsidP="00BD5BEF">
      <w:pPr>
        <w:jc w:val="both"/>
        <w:rPr>
          <w:rFonts w:ascii="Times New Roman" w:hAnsi="Times New Roman" w:cs="Times New Roman"/>
          <w:sz w:val="24"/>
          <w:szCs w:val="24"/>
        </w:rPr>
      </w:pPr>
      <w:r w:rsidRPr="00BD5BEF">
        <w:rPr>
          <w:rFonts w:ascii="Times New Roman" w:hAnsi="Times New Roman" w:cs="Times New Roman"/>
          <w:sz w:val="24"/>
          <w:szCs w:val="24"/>
        </w:rPr>
        <w:t>Objective 2: Enhancing Transparency and Explainability of AI Models</w:t>
      </w:r>
    </w:p>
    <w:p w14:paraId="63C6F30D" w14:textId="77777777" w:rsidR="00BD5BEF" w:rsidRPr="00BD5BEF" w:rsidRDefault="00BD5BEF" w:rsidP="00BD5BEF">
      <w:pPr>
        <w:jc w:val="both"/>
        <w:rPr>
          <w:rFonts w:ascii="Times New Roman" w:hAnsi="Times New Roman" w:cs="Times New Roman"/>
          <w:sz w:val="24"/>
          <w:szCs w:val="24"/>
        </w:rPr>
      </w:pPr>
      <w:r w:rsidRPr="00BD5BEF">
        <w:rPr>
          <w:rFonts w:ascii="Times New Roman" w:hAnsi="Times New Roman" w:cs="Times New Roman"/>
          <w:sz w:val="24"/>
          <w:szCs w:val="24"/>
        </w:rPr>
        <w:t>Enhancing the transparency and explainability of AI models in finance has emerged as a major research focus for the Action, driven by the need to instill trust and accountability in high-stakes decision-making processes. This has culminated in numerous high-impact publications, research proposals, and the development of cutting-edge explainable AI tools. To disseminate these findings and foster knowledge sharing, the Action has organized prestigious conferences and created dedicated platforms like ExplainableAIForFinance.com. Furthermore, the Action has contributed to the development of novel interpretability measures for clustering, classification, and regression models across various data types, pushing the boundaries of AI explainability. These advancements have been applied to practical use cases of immense significance, such as understanding early lapses in insurance contracts using state-of-the-art interpretability algorithms.</w:t>
      </w:r>
    </w:p>
    <w:p w14:paraId="626718BB" w14:textId="77777777" w:rsidR="00BD5BEF" w:rsidRPr="00BD5BEF" w:rsidRDefault="00BD5BEF" w:rsidP="00BD5BEF">
      <w:pPr>
        <w:jc w:val="both"/>
        <w:rPr>
          <w:rFonts w:ascii="Times New Roman" w:hAnsi="Times New Roman" w:cs="Times New Roman"/>
          <w:sz w:val="24"/>
          <w:szCs w:val="24"/>
        </w:rPr>
      </w:pPr>
    </w:p>
    <w:p w14:paraId="282CA410" w14:textId="77777777" w:rsidR="00BD5BEF" w:rsidRPr="00BD5BEF" w:rsidRDefault="00BD5BEF" w:rsidP="00BD5BEF">
      <w:pPr>
        <w:jc w:val="both"/>
        <w:rPr>
          <w:rFonts w:ascii="Times New Roman" w:hAnsi="Times New Roman" w:cs="Times New Roman"/>
          <w:sz w:val="24"/>
          <w:szCs w:val="24"/>
        </w:rPr>
      </w:pPr>
      <w:r w:rsidRPr="00BD5BEF">
        <w:rPr>
          <w:rFonts w:ascii="Times New Roman" w:hAnsi="Times New Roman" w:cs="Times New Roman"/>
          <w:sz w:val="24"/>
          <w:szCs w:val="24"/>
        </w:rPr>
        <w:lastRenderedPageBreak/>
        <w:t>Objective 3: Seeking Regulator/Practitioner Input on AI Transparency</w:t>
      </w:r>
    </w:p>
    <w:p w14:paraId="539EC364" w14:textId="77777777" w:rsidR="00BD5BEF" w:rsidRPr="00BD5BEF" w:rsidRDefault="00BD5BEF" w:rsidP="00BD5BEF">
      <w:pPr>
        <w:jc w:val="both"/>
        <w:rPr>
          <w:rFonts w:ascii="Times New Roman" w:hAnsi="Times New Roman" w:cs="Times New Roman"/>
          <w:sz w:val="24"/>
          <w:szCs w:val="24"/>
        </w:rPr>
      </w:pPr>
      <w:r w:rsidRPr="00BD5BEF">
        <w:rPr>
          <w:rFonts w:ascii="Times New Roman" w:hAnsi="Times New Roman" w:cs="Times New Roman"/>
          <w:sz w:val="24"/>
          <w:szCs w:val="24"/>
        </w:rPr>
        <w:t>In pursuit of this objective, the Action has actively engaged with regulators and industry practitioners through targeted events, workshops, and close collaborations. While specific details on the validation process for AI transparency are not provided due to confidentiality considerations, the Action estimates a progress level of 51-75% towards this objective. Continued efforts are underway to seek input from these critical stakeholders and validate the transparency of AI applications in the financial sector, ensuring adherence to regulatory frameworks and industry best practices.</w:t>
      </w:r>
    </w:p>
    <w:p w14:paraId="0CBABB68" w14:textId="77777777" w:rsidR="00454414" w:rsidRPr="00454414" w:rsidRDefault="00BD5BEF" w:rsidP="00BD5BEF">
      <w:pPr>
        <w:jc w:val="both"/>
        <w:rPr>
          <w:rFonts w:ascii="Times New Roman" w:hAnsi="Times New Roman" w:cs="Times New Roman"/>
          <w:sz w:val="24"/>
          <w:szCs w:val="24"/>
        </w:rPr>
      </w:pPr>
      <w:r w:rsidRPr="00BD5BEF">
        <w:rPr>
          <w:rFonts w:ascii="Times New Roman" w:hAnsi="Times New Roman" w:cs="Times New Roman"/>
          <w:sz w:val="24"/>
          <w:szCs w:val="24"/>
        </w:rPr>
        <w:t xml:space="preserve">The milestones achieved by the Action demonstrate substantive research outputs, partnership-driven tool development, knowledge dissemination efforts, and cross-sector engagement – all geared towards the overarching objectives of advancing fintech and AI in finance. The achievements span theoretical innovations to applied use-cases, underscoring the Action's comprehensive approach to addressing the multifaceted challenges and opportunities in this critical domain. By fostering interdisciplinary collaborations, promoting capacity building, and bridging the gap between academia, industry, and regulatory bodies, the Action is well-positioned to drive transformative impact and shape the future trajectory of finance through the lens of cutting-edge technologies and AI-driven </w:t>
      </w:r>
      <w:proofErr w:type="gramStart"/>
      <w:r w:rsidRPr="00BD5BEF">
        <w:rPr>
          <w:rFonts w:ascii="Times New Roman" w:hAnsi="Times New Roman" w:cs="Times New Roman"/>
          <w:sz w:val="24"/>
          <w:szCs w:val="24"/>
        </w:rPr>
        <w:t>innovations.</w:t>
      </w:r>
      <w:r w:rsidR="00454414" w:rsidRPr="00454414">
        <w:rPr>
          <w:rFonts w:ascii="Times New Roman" w:hAnsi="Times New Roman" w:cs="Times New Roman"/>
          <w:sz w:val="24"/>
          <w:szCs w:val="24"/>
        </w:rPr>
        <w:t>.</w:t>
      </w:r>
      <w:proofErr w:type="gramEnd"/>
    </w:p>
    <w:p w14:paraId="72B443B8" w14:textId="77777777" w:rsidR="00454414" w:rsidRPr="00454414" w:rsidRDefault="00454414" w:rsidP="00454414">
      <w:pPr>
        <w:jc w:val="both"/>
        <w:rPr>
          <w:rFonts w:ascii="Times New Roman" w:hAnsi="Times New Roman" w:cs="Times New Roman"/>
          <w:sz w:val="24"/>
          <w:szCs w:val="24"/>
        </w:rPr>
      </w:pPr>
      <w:r w:rsidRPr="00454414">
        <w:rPr>
          <w:rFonts w:ascii="Times New Roman" w:hAnsi="Times New Roman" w:cs="Times New Roman"/>
          <w:sz w:val="24"/>
          <w:szCs w:val="24"/>
        </w:rPr>
        <w:t>The Action's three Working Groups have made notable contributions in their respective focus areas:</w:t>
      </w:r>
    </w:p>
    <w:p w14:paraId="0896D9DE" w14:textId="77777777" w:rsidR="00454414" w:rsidRPr="00454414" w:rsidRDefault="00454414" w:rsidP="00D56C57">
      <w:pPr>
        <w:jc w:val="both"/>
        <w:rPr>
          <w:rFonts w:ascii="Times New Roman" w:hAnsi="Times New Roman" w:cs="Times New Roman"/>
          <w:sz w:val="24"/>
          <w:szCs w:val="24"/>
        </w:rPr>
      </w:pPr>
      <w:r w:rsidRPr="00454414">
        <w:rPr>
          <w:rFonts w:ascii="Times New Roman" w:hAnsi="Times New Roman" w:cs="Times New Roman"/>
          <w:sz w:val="24"/>
          <w:szCs w:val="24"/>
        </w:rPr>
        <w:t>WG1 (Transparency in FinTech) has developed risk analysis and rating tools for financial services using machine learning methods.</w:t>
      </w:r>
    </w:p>
    <w:p w14:paraId="1E30BC0B" w14:textId="77777777" w:rsidR="00454414" w:rsidRPr="00454414" w:rsidRDefault="00454414" w:rsidP="00D56C57">
      <w:pPr>
        <w:jc w:val="both"/>
        <w:rPr>
          <w:rFonts w:ascii="Times New Roman" w:hAnsi="Times New Roman" w:cs="Times New Roman"/>
          <w:sz w:val="24"/>
          <w:szCs w:val="24"/>
        </w:rPr>
      </w:pPr>
      <w:r w:rsidRPr="00454414">
        <w:rPr>
          <w:rFonts w:ascii="Times New Roman" w:hAnsi="Times New Roman" w:cs="Times New Roman"/>
          <w:sz w:val="24"/>
          <w:szCs w:val="24"/>
        </w:rPr>
        <w:t>WG2 (Explainable AI and Decision-Support Models) has established frameworks for assessing the appropriateness of black-box models and enhancing their transparency or replacing them with interpretable alternatives.</w:t>
      </w:r>
    </w:p>
    <w:p w14:paraId="4EAAB3C8" w14:textId="77777777" w:rsidR="00454414" w:rsidRPr="00454414" w:rsidRDefault="00454414" w:rsidP="00D56C57">
      <w:pPr>
        <w:jc w:val="both"/>
        <w:rPr>
          <w:rFonts w:ascii="Times New Roman" w:hAnsi="Times New Roman" w:cs="Times New Roman"/>
          <w:sz w:val="24"/>
          <w:szCs w:val="24"/>
        </w:rPr>
      </w:pPr>
      <w:r w:rsidRPr="00454414">
        <w:rPr>
          <w:rFonts w:ascii="Times New Roman" w:hAnsi="Times New Roman" w:cs="Times New Roman"/>
          <w:sz w:val="24"/>
          <w:szCs w:val="24"/>
        </w:rPr>
        <w:t>WG3 (Transparency in Investment Product Performance) has aimed to improve the evaluation models of investment products by reducing false discovery rates in financial research.</w:t>
      </w:r>
    </w:p>
    <w:p w14:paraId="05BFEBEE" w14:textId="77777777" w:rsidR="00D3577D" w:rsidRDefault="00454414" w:rsidP="00454414">
      <w:pPr>
        <w:jc w:val="both"/>
        <w:rPr>
          <w:rFonts w:ascii="Times New Roman" w:hAnsi="Times New Roman" w:cs="Times New Roman"/>
          <w:sz w:val="24"/>
          <w:szCs w:val="24"/>
        </w:rPr>
      </w:pPr>
      <w:r w:rsidRPr="00454414">
        <w:rPr>
          <w:rFonts w:ascii="Times New Roman" w:hAnsi="Times New Roman" w:cs="Times New Roman"/>
          <w:sz w:val="24"/>
          <w:szCs w:val="24"/>
        </w:rPr>
        <w:t>Overall, the COST Action CA19130 has made significant progress towards its objectives, contributing to the development of a more transparent, accountable, and efficient financial ecosystem in Europe and beyond.</w:t>
      </w:r>
    </w:p>
    <w:p w14:paraId="2ECACEFF" w14:textId="77777777" w:rsidR="00D3577D" w:rsidRPr="00624751" w:rsidRDefault="00624751" w:rsidP="00624751">
      <w:pPr>
        <w:pStyle w:val="Heading2"/>
        <w:rPr>
          <w:rFonts w:ascii="Times New Roman" w:hAnsi="Times New Roman" w:cs="Times New Roman"/>
          <w:color w:val="auto"/>
        </w:rPr>
      </w:pPr>
      <w:bookmarkStart w:id="10" w:name="_Toc176826807"/>
      <w:r w:rsidRPr="00624751">
        <w:rPr>
          <w:rFonts w:ascii="Times New Roman" w:hAnsi="Times New Roman" w:cs="Times New Roman"/>
          <w:color w:val="auto"/>
        </w:rPr>
        <w:t xml:space="preserve">10. </w:t>
      </w:r>
      <w:r w:rsidR="00D3577D" w:rsidRPr="00624751">
        <w:rPr>
          <w:rFonts w:ascii="Times New Roman" w:hAnsi="Times New Roman" w:cs="Times New Roman"/>
          <w:color w:val="auto"/>
        </w:rPr>
        <w:t>Identification of Key Areas for Improvement and Strategic Focus for COST Action CA19130</w:t>
      </w:r>
      <w:bookmarkEnd w:id="10"/>
    </w:p>
    <w:p w14:paraId="3573D5B1" w14:textId="77777777" w:rsidR="00D3577D" w:rsidRDefault="00D3577D" w:rsidP="00D3577D">
      <w:pPr>
        <w:jc w:val="both"/>
        <w:rPr>
          <w:rFonts w:ascii="Times New Roman" w:hAnsi="Times New Roman" w:cs="Times New Roman"/>
          <w:sz w:val="24"/>
          <w:szCs w:val="24"/>
        </w:rPr>
      </w:pPr>
      <w:r w:rsidRPr="00D3577D">
        <w:rPr>
          <w:rFonts w:ascii="Times New Roman" w:hAnsi="Times New Roman" w:cs="Times New Roman"/>
          <w:sz w:val="24"/>
          <w:szCs w:val="24"/>
        </w:rPr>
        <w:t>While the COST Action CA19130 has achieved significant milestones, several areas require continued attention to fully realize the objectives set out in the MoU:</w:t>
      </w:r>
    </w:p>
    <w:p w14:paraId="37D9C4F6" w14:textId="77777777" w:rsid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Ex</w:t>
      </w:r>
      <w:r>
        <w:rPr>
          <w:rFonts w:ascii="Times New Roman" w:hAnsi="Times New Roman" w:cs="Times New Roman"/>
          <w:sz w:val="24"/>
          <w:szCs w:val="24"/>
        </w:rPr>
        <w:t>panding Industry Collaborations</w:t>
      </w:r>
    </w:p>
    <w:p w14:paraId="3865ED28"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 xml:space="preserve">While the partnerships with </w:t>
      </w:r>
      <w:proofErr w:type="spellStart"/>
      <w:r w:rsidRPr="00C00996">
        <w:rPr>
          <w:rFonts w:ascii="Times New Roman" w:hAnsi="Times New Roman" w:cs="Times New Roman"/>
          <w:sz w:val="24"/>
          <w:szCs w:val="24"/>
        </w:rPr>
        <w:t>iFactor</w:t>
      </w:r>
      <w:proofErr w:type="spellEnd"/>
      <w:r w:rsidRPr="00C00996">
        <w:rPr>
          <w:rFonts w:ascii="Times New Roman" w:hAnsi="Times New Roman" w:cs="Times New Roman"/>
          <w:sz w:val="24"/>
          <w:szCs w:val="24"/>
        </w:rPr>
        <w:t xml:space="preserve"> and ING have yielded fruitful outcomes, further collaboration with a broader range of industry players is recommended. Engaging with fintech startups and established financial institutions could facilitate a more comprehensive understanding of real-</w:t>
      </w:r>
      <w:r w:rsidRPr="00C00996">
        <w:rPr>
          <w:rFonts w:ascii="Times New Roman" w:hAnsi="Times New Roman" w:cs="Times New Roman"/>
          <w:sz w:val="24"/>
          <w:szCs w:val="24"/>
        </w:rPr>
        <w:lastRenderedPageBreak/>
        <w:t>world challenges in the sector. Co-creating practical solutions alongside diverse industry stakeholders would foster the adoption and implementation of the Action's research outputs.</w:t>
      </w:r>
    </w:p>
    <w:p w14:paraId="3947DE90" w14:textId="77777777" w:rsid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Stre</w:t>
      </w:r>
      <w:r>
        <w:rPr>
          <w:rFonts w:ascii="Times New Roman" w:hAnsi="Times New Roman" w:cs="Times New Roman"/>
          <w:sz w:val="24"/>
          <w:szCs w:val="24"/>
        </w:rPr>
        <w:t>ngthening Regulatory Engagement</w:t>
      </w:r>
    </w:p>
    <w:p w14:paraId="15321BA6"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Although efforts have been made to engage regulators, with progress estimated at 51-75%, there is room for improvement in this area. Deepening collaboration with regulatory bodies and policymakers is crucial to ensure the Action's work aligns with evolving frameworks. It also contributes to shaping guidelines for responsible and transparent AI use in finance. Proactive regulatory engagement could bridge gaps between research and policy, translating findings into actionable regulations.</w:t>
      </w:r>
    </w:p>
    <w:p w14:paraId="3E5B60E8" w14:textId="77777777" w:rsid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 xml:space="preserve">Enhancing </w:t>
      </w:r>
      <w:r>
        <w:rPr>
          <w:rFonts w:ascii="Times New Roman" w:hAnsi="Times New Roman" w:cs="Times New Roman"/>
          <w:sz w:val="24"/>
          <w:szCs w:val="24"/>
        </w:rPr>
        <w:t>Interdisciplinary Collaboration</w:t>
      </w:r>
    </w:p>
    <w:p w14:paraId="52A1878F"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While researchers from various disciplines have been brought together, further emphasis on truly interdisciplinary collaboration could yield more comprehensive and impactful outcomes. Fostering synergies between technologists, quantitative analysts, economists, legal experts, and financial sector domain experts could lead to holistic solutions. These would address the multifaceted challenges at the fintech and AI in finance intersection.</w:t>
      </w:r>
    </w:p>
    <w:p w14:paraId="19DA6CA4" w14:textId="77777777" w:rsid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Broaden</w:t>
      </w:r>
      <w:r>
        <w:rPr>
          <w:rFonts w:ascii="Times New Roman" w:hAnsi="Times New Roman" w:cs="Times New Roman"/>
          <w:sz w:val="24"/>
          <w:szCs w:val="24"/>
        </w:rPr>
        <w:t>ing Geographical Representation</w:t>
      </w:r>
    </w:p>
    <w:p w14:paraId="6B86946F"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Though the Action spans 49 countries, opportunities exist to broaden geographical representation, particularly from underrepresented regions. Embracing diverse perspectives and contexts could enrich understanding of regional nuances, cultural factors, and varying regulatory landscapes. This would contribute to more inclusive and globally applicable solutions.</w:t>
      </w:r>
    </w:p>
    <w:p w14:paraId="24F963C2" w14:textId="77777777" w:rsid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 xml:space="preserve">Prioritizing Capacity </w:t>
      </w:r>
      <w:r>
        <w:rPr>
          <w:rFonts w:ascii="Times New Roman" w:hAnsi="Times New Roman" w:cs="Times New Roman"/>
          <w:sz w:val="24"/>
          <w:szCs w:val="24"/>
        </w:rPr>
        <w:t>Building and Knowledge Transfer</w:t>
      </w:r>
    </w:p>
    <w:p w14:paraId="0E74BFA7"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While capacity building and knowledge transfer initiatives have been undertaken, further emphasis could yield long-term benefits. Investing in educational programs, training workshops, and knowledge-sharing platforms could develop a skilled workforce. This workforce would be equipped to tackle emerging fintech and AI in finance challenges. Facilitating expertise transfer between academia and industry could foster mutual understanding and accelerate research adoption.</w:t>
      </w:r>
    </w:p>
    <w:p w14:paraId="2FE929A8" w14:textId="77777777" w:rsid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Strengthe</w:t>
      </w:r>
      <w:r>
        <w:rPr>
          <w:rFonts w:ascii="Times New Roman" w:hAnsi="Times New Roman" w:cs="Times New Roman"/>
          <w:sz w:val="24"/>
          <w:szCs w:val="24"/>
        </w:rPr>
        <w:t>ning Dissemination and Outreach</w:t>
      </w:r>
    </w:p>
    <w:p w14:paraId="1EEFF085" w14:textId="77777777" w:rsidR="00C00996" w:rsidRPr="00C00996" w:rsidRDefault="00C00996" w:rsidP="00C00996">
      <w:pPr>
        <w:jc w:val="both"/>
        <w:rPr>
          <w:rFonts w:ascii="Times New Roman" w:hAnsi="Times New Roman" w:cs="Times New Roman"/>
        </w:rPr>
      </w:pPr>
      <w:r w:rsidRPr="00C00996">
        <w:rPr>
          <w:rFonts w:ascii="Times New Roman" w:hAnsi="Times New Roman" w:cs="Times New Roman"/>
        </w:rPr>
        <w:t>Effective dissemination and outreach are crucial for maximizing the Action's impact. Exploring innovative channels, engaging the public, and increasing visibility through targeted marketing could raise awareness and broader adoption. It would solidify the Action's position as a leading authority in fintech and AI in finance.</w:t>
      </w:r>
      <w:bookmarkStart w:id="11" w:name="_Toc176826808"/>
    </w:p>
    <w:p w14:paraId="75EAD3AA" w14:textId="77777777" w:rsidR="00C00996" w:rsidRPr="00C00996" w:rsidRDefault="00C00996" w:rsidP="00C00996">
      <w:pPr>
        <w:jc w:val="both"/>
        <w:rPr>
          <w:rFonts w:ascii="Times New Roman" w:hAnsi="Times New Roman" w:cs="Times New Roman"/>
        </w:rPr>
      </w:pPr>
      <w:r w:rsidRPr="00C00996">
        <w:rPr>
          <w:rFonts w:ascii="Times New Roman" w:hAnsi="Times New Roman" w:cs="Times New Roman"/>
        </w:rPr>
        <w:t>Timely Completion of Outstanding Deliverables</w:t>
      </w:r>
    </w:p>
    <w:p w14:paraId="4CC7072F" w14:textId="77777777" w:rsidR="00C00996" w:rsidRPr="00C00996" w:rsidRDefault="00C00996" w:rsidP="00C00996">
      <w:pPr>
        <w:jc w:val="both"/>
        <w:rPr>
          <w:rFonts w:ascii="Times New Roman" w:hAnsi="Times New Roman" w:cs="Times New Roman"/>
        </w:rPr>
      </w:pPr>
      <w:r w:rsidRPr="00C00996">
        <w:rPr>
          <w:rFonts w:ascii="Times New Roman" w:hAnsi="Times New Roman" w:cs="Times New Roman"/>
        </w:rPr>
        <w:t xml:space="preserve">Across all Working Groups, a number of deliverables, including discussion papers, methodologies, databases, and software packages, remain unfinished. Prioritizing the completion of these pending outputs is crucial to demonstrate the Action's effectiveness and meet its objectives. Clear timelines, resource </w:t>
      </w:r>
      <w:r w:rsidRPr="00C00996">
        <w:rPr>
          <w:rFonts w:ascii="Times New Roman" w:hAnsi="Times New Roman" w:cs="Times New Roman"/>
        </w:rPr>
        <w:lastRenderedPageBreak/>
        <w:t>allocation, and potentially revisiting the scope of certain deliverables, if necessary, will be required to ensure their timely delivery.</w:t>
      </w:r>
    </w:p>
    <w:p w14:paraId="0A6B7B9B" w14:textId="77777777" w:rsidR="00C00996" w:rsidRPr="00C00996" w:rsidRDefault="00C00996" w:rsidP="00C00996">
      <w:pPr>
        <w:jc w:val="both"/>
        <w:rPr>
          <w:rFonts w:ascii="Times New Roman" w:hAnsi="Times New Roman" w:cs="Times New Roman"/>
        </w:rPr>
      </w:pPr>
      <w:r w:rsidRPr="00C00996">
        <w:rPr>
          <w:rFonts w:ascii="Times New Roman" w:hAnsi="Times New Roman" w:cs="Times New Roman"/>
        </w:rPr>
        <w:t>Strengthening Industry Partnerships</w:t>
      </w:r>
    </w:p>
    <w:p w14:paraId="5871A181" w14:textId="77777777" w:rsidR="00C00996" w:rsidRPr="00C00996" w:rsidRDefault="00C00996" w:rsidP="00C00996">
      <w:pPr>
        <w:jc w:val="both"/>
        <w:rPr>
          <w:rFonts w:ascii="Times New Roman" w:hAnsi="Times New Roman" w:cs="Times New Roman"/>
        </w:rPr>
      </w:pPr>
      <w:r w:rsidRPr="00C00996">
        <w:rPr>
          <w:rFonts w:ascii="Times New Roman" w:hAnsi="Times New Roman" w:cs="Times New Roman"/>
        </w:rPr>
        <w:t>While the Action has engaged with regulators and practitioners, there is an opportunity to deepen collaboration with industry partners further. Securing additional strategic partnerships, organizing joint events, and seeking direct input on the practical applications of research outcomes could enhance the relevance and industry adoption of the Action's work.</w:t>
      </w:r>
    </w:p>
    <w:p w14:paraId="1A4DB48C" w14:textId="77777777" w:rsidR="00C00996" w:rsidRPr="00C00996" w:rsidRDefault="00C00996" w:rsidP="00C00996">
      <w:pPr>
        <w:jc w:val="both"/>
        <w:rPr>
          <w:rFonts w:ascii="Times New Roman" w:hAnsi="Times New Roman" w:cs="Times New Roman"/>
        </w:rPr>
      </w:pPr>
      <w:r w:rsidRPr="00C00996">
        <w:rPr>
          <w:rFonts w:ascii="Times New Roman" w:hAnsi="Times New Roman" w:cs="Times New Roman"/>
        </w:rPr>
        <w:t>Amplifying Dissemination and Knowledge Transfer</w:t>
      </w:r>
    </w:p>
    <w:p w14:paraId="32141ACE" w14:textId="77777777" w:rsidR="00C00996" w:rsidRPr="00C00996" w:rsidRDefault="00C00996" w:rsidP="00C00996">
      <w:pPr>
        <w:jc w:val="both"/>
        <w:rPr>
          <w:rFonts w:ascii="Times New Roman" w:hAnsi="Times New Roman" w:cs="Times New Roman"/>
        </w:rPr>
      </w:pPr>
      <w:r w:rsidRPr="00C00996">
        <w:rPr>
          <w:rFonts w:ascii="Times New Roman" w:hAnsi="Times New Roman" w:cs="Times New Roman"/>
        </w:rPr>
        <w:t>The Action should prioritize disseminating its findings and research outputs to a wider audience, including the general public, policymakers, and industry stakeholders. This could involve publishing more articles, creating user-friendly online resources, and leveraging various communication channels to increase visibility and amplify the impact of the Action's work.</w:t>
      </w:r>
    </w:p>
    <w:p w14:paraId="4855104D" w14:textId="77777777" w:rsidR="00C00996" w:rsidRPr="00C00996" w:rsidRDefault="00C00996" w:rsidP="00C00996">
      <w:pPr>
        <w:jc w:val="both"/>
        <w:rPr>
          <w:rFonts w:ascii="Times New Roman" w:hAnsi="Times New Roman" w:cs="Times New Roman"/>
        </w:rPr>
      </w:pPr>
      <w:r w:rsidRPr="00C00996">
        <w:rPr>
          <w:rFonts w:ascii="Times New Roman" w:hAnsi="Times New Roman" w:cs="Times New Roman"/>
        </w:rPr>
        <w:t>Operationalizing Research Outcomes</w:t>
      </w:r>
    </w:p>
    <w:p w14:paraId="025F2E0C" w14:textId="77777777" w:rsidR="00C00996" w:rsidRPr="00C00996" w:rsidRDefault="00C00996" w:rsidP="00C00996">
      <w:pPr>
        <w:jc w:val="both"/>
        <w:rPr>
          <w:rFonts w:ascii="Times New Roman" w:hAnsi="Times New Roman" w:cs="Times New Roman"/>
        </w:rPr>
      </w:pPr>
      <w:r w:rsidRPr="00C00996">
        <w:rPr>
          <w:rFonts w:ascii="Times New Roman" w:hAnsi="Times New Roman" w:cs="Times New Roman"/>
        </w:rPr>
        <w:t>In addition to theoretical advancements, the Action should focus on operationalizing its research outcomes by developing functional prototypes, proof-of-concepts, or pilot projects in collaboration with industry partners. This hands-on approach could accelerate the adoption of the Action's findings and demonstrate their real-world applicability.</w:t>
      </w:r>
    </w:p>
    <w:p w14:paraId="18762E32" w14:textId="77777777" w:rsidR="00C00996" w:rsidRPr="00C00996" w:rsidRDefault="00C00996" w:rsidP="00C00996">
      <w:pPr>
        <w:jc w:val="both"/>
        <w:rPr>
          <w:rFonts w:ascii="Times New Roman" w:hAnsi="Times New Roman" w:cs="Times New Roman"/>
        </w:rPr>
      </w:pPr>
      <w:r w:rsidRPr="00C00996">
        <w:rPr>
          <w:rFonts w:ascii="Times New Roman" w:hAnsi="Times New Roman" w:cs="Times New Roman"/>
        </w:rPr>
        <w:t>Fostering Interdisciplinary Collaboration</w:t>
      </w:r>
    </w:p>
    <w:p w14:paraId="08D6F19C" w14:textId="77777777" w:rsidR="00C00996" w:rsidRPr="00C00996" w:rsidRDefault="00C00996" w:rsidP="00C00996">
      <w:pPr>
        <w:jc w:val="both"/>
        <w:rPr>
          <w:rFonts w:ascii="Times New Roman" w:hAnsi="Times New Roman" w:cs="Times New Roman"/>
        </w:rPr>
      </w:pPr>
      <w:r w:rsidRPr="00C00996">
        <w:rPr>
          <w:rFonts w:ascii="Times New Roman" w:hAnsi="Times New Roman" w:cs="Times New Roman"/>
        </w:rPr>
        <w:t>Given the multifaceted nature of the fintech and AI domain, the Action should continue to encourage interdisciplinary collaboration among researchers, practitioners, and experts from diverse fields. This cross-pollination of ideas and expertise could yield innovative solutions and holistic approaches to complex challenges.</w:t>
      </w:r>
    </w:p>
    <w:p w14:paraId="38FFB60E" w14:textId="77777777" w:rsidR="00C00996" w:rsidRPr="00C00996" w:rsidRDefault="00C00996" w:rsidP="00C00996">
      <w:pPr>
        <w:jc w:val="both"/>
        <w:rPr>
          <w:rFonts w:ascii="Times New Roman" w:hAnsi="Times New Roman" w:cs="Times New Roman"/>
        </w:rPr>
      </w:pPr>
      <w:r w:rsidRPr="00C00996">
        <w:rPr>
          <w:rFonts w:ascii="Times New Roman" w:hAnsi="Times New Roman" w:cs="Times New Roman"/>
        </w:rPr>
        <w:t>Exploring Emerging Trends and Technologies</w:t>
      </w:r>
    </w:p>
    <w:p w14:paraId="44F7FC65"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rPr>
        <w:t xml:space="preserve">As the fintech and AI landscape rapidly evolves, the Action should remain agile and proactively explore emerging trends, technologies, and use cases. This could involve organizing dedicated workshops, inviting guest speakers, or establishing focused sub-groups to stay ahead of the curve and anticipate future </w:t>
      </w:r>
      <w:r w:rsidRPr="00C00996">
        <w:rPr>
          <w:rFonts w:ascii="Times New Roman" w:hAnsi="Times New Roman" w:cs="Times New Roman"/>
          <w:sz w:val="24"/>
          <w:szCs w:val="24"/>
        </w:rPr>
        <w:t>developments in the field.</w:t>
      </w:r>
    </w:p>
    <w:bookmarkEnd w:id="11"/>
    <w:p w14:paraId="789A8934"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The strategic partnerships and collaborative efforts fostered by the COST Action CA19130 during this period have had a profound and multidimensional impact, reverberating across academic, regulatory, and industry domains.</w:t>
      </w:r>
    </w:p>
    <w:p w14:paraId="5B8E79EA"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On the academic front, these collaborations catalyzed significant advancements in understanding the intricacies of fintech and AI applications within the financial sector. Through interdisciplinary research endeavors, novel methodologies and conceptual frameworks were developed to enhance the transparency and explainability of complex AI models employed in high-stakes financial decision-making processes. These contributions have paved the way for more interpretable and trustworthy AI systems, addressing concerns surrounding opaque "black-box" models and fostering accountability in algorithmic decision-making.</w:t>
      </w:r>
    </w:p>
    <w:p w14:paraId="03E7E0C0" w14:textId="77777777" w:rsidR="00C00996" w:rsidRPr="00C00996" w:rsidRDefault="00C00996" w:rsidP="00C00996">
      <w:pPr>
        <w:jc w:val="both"/>
        <w:rPr>
          <w:rFonts w:ascii="Times New Roman" w:hAnsi="Times New Roman" w:cs="Times New Roman"/>
          <w:sz w:val="24"/>
          <w:szCs w:val="24"/>
        </w:rPr>
      </w:pPr>
    </w:p>
    <w:p w14:paraId="71A5D7F3"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lastRenderedPageBreak/>
        <w:t>Furthermore, the partnerships established by the Action played a pivotal role in influencing regulatory processes, ensuring that policy frameworks evolve in tandem with the rapid pace of technological advancements. By actively engaging with regulatory bodies and policymakers, the Action's research findings and expert insights informed the development of guidelines and standards governing the responsible and transparent use of AI in finance. This collaborative approach bridged the gap between cutting-edge research and regulatory frameworks, enabling policymakers to make informed decisions that strike a delicate balance between innovation and consumer protection.</w:t>
      </w:r>
    </w:p>
    <w:p w14:paraId="025A79F2"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Moreover, the joint efforts between academia, industry, and regulatory stakeholders contributed to the establishment of more transparent and accountable practices within the financial services industry. By co-developing practical tools and solutions, these collaborations empowered financial service providers to enhance their operational resilience, detect and mitigate risks associated with fraudulent activities, and foster greater trust among consumers. Additionally, the dissemination of knowledge and best practices facilitated by the Action has equipped industry players with the necessary understanding to navigate the complexities of integrating AI technologies responsibly and ethically.</w:t>
      </w:r>
    </w:p>
    <w:p w14:paraId="6404E558" w14:textId="77777777" w:rsidR="009A4B45"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The far-reaching impacts of these partnerships extend beyond the immediate objectives of the Action, leaving an indelible mark on the broader fintech and AI landscape. By fostering synergies between diverse stakeholders, the Action has laid the groundwork for continued progress, innovation, and responsible technological adoption within the financial sector, ultimately benefiting both service providers and consumers alike.</w:t>
      </w:r>
    </w:p>
    <w:p w14:paraId="2ADF5629" w14:textId="77777777" w:rsidR="00EC5D12" w:rsidRPr="00C00996" w:rsidRDefault="009A4B45" w:rsidP="00C00996">
      <w:pPr>
        <w:jc w:val="both"/>
        <w:rPr>
          <w:rFonts w:ascii="Times New Roman" w:hAnsi="Times New Roman" w:cs="Times New Roman"/>
          <w:sz w:val="24"/>
          <w:szCs w:val="24"/>
        </w:rPr>
      </w:pPr>
      <w:r w:rsidRPr="00C00996">
        <w:rPr>
          <w:rFonts w:ascii="Times New Roman" w:hAnsi="Times New Roman" w:cs="Times New Roman"/>
          <w:sz w:val="24"/>
          <w:szCs w:val="24"/>
        </w:rPr>
        <w:t>The partnerships and collaborative efforts established during this period had far-reaching impacts. Academically, these collaborations led to significant progress in understanding and improving transparency in fintech and AI applications. At the policy level, the partnerships influenced the regulatory process, ensuring that regulatory frameworks kept pace with technological developments. Moreover, the joint efforts contributed to more transparent and accountable industry practices, benefiting both providers and consumers of financial services.</w:t>
      </w:r>
    </w:p>
    <w:p w14:paraId="54F930AB" w14:textId="77777777" w:rsidR="0020611E" w:rsidRPr="00D96ACD" w:rsidRDefault="00D96ACD" w:rsidP="00D96ACD">
      <w:pPr>
        <w:pStyle w:val="Heading1"/>
        <w:jc w:val="both"/>
        <w:rPr>
          <w:rFonts w:ascii="Arial" w:hAnsi="Arial" w:cs="Arial"/>
          <w:color w:val="auto"/>
          <w:sz w:val="28"/>
          <w:szCs w:val="28"/>
        </w:rPr>
      </w:pPr>
      <w:bookmarkStart w:id="12" w:name="_Toc176826809"/>
      <w:r w:rsidRPr="00D96ACD">
        <w:rPr>
          <w:rFonts w:ascii="Arial" w:hAnsi="Arial" w:cs="Arial"/>
          <w:color w:val="auto"/>
          <w:sz w:val="28"/>
          <w:szCs w:val="28"/>
        </w:rPr>
        <w:t>1</w:t>
      </w:r>
      <w:r w:rsidR="00023ECE">
        <w:rPr>
          <w:rFonts w:ascii="Arial" w:hAnsi="Arial" w:cs="Arial"/>
          <w:color w:val="auto"/>
          <w:sz w:val="28"/>
          <w:szCs w:val="28"/>
        </w:rPr>
        <w:t>1</w:t>
      </w:r>
      <w:r w:rsidRPr="00D96ACD">
        <w:rPr>
          <w:rFonts w:ascii="Arial" w:hAnsi="Arial" w:cs="Arial"/>
          <w:color w:val="auto"/>
          <w:sz w:val="28"/>
          <w:szCs w:val="28"/>
        </w:rPr>
        <w:t>.</w:t>
      </w:r>
      <w:r w:rsidR="0020611E" w:rsidRPr="00D96ACD">
        <w:rPr>
          <w:rFonts w:ascii="Arial" w:hAnsi="Arial" w:cs="Arial"/>
          <w:color w:val="auto"/>
          <w:sz w:val="28"/>
          <w:szCs w:val="28"/>
        </w:rPr>
        <w:t xml:space="preserve">  Conclusions and Next Steps</w:t>
      </w:r>
      <w:bookmarkEnd w:id="12"/>
    </w:p>
    <w:p w14:paraId="76CCFECA" w14:textId="77777777" w:rsidR="0020611E" w:rsidRPr="0020611E" w:rsidRDefault="0020611E" w:rsidP="0020611E">
      <w:pPr>
        <w:jc w:val="both"/>
        <w:rPr>
          <w:rFonts w:ascii="Times New Roman" w:hAnsi="Times New Roman" w:cs="Times New Roman"/>
          <w:sz w:val="24"/>
          <w:szCs w:val="24"/>
        </w:rPr>
      </w:pPr>
      <w:r w:rsidRPr="0020611E">
        <w:rPr>
          <w:rFonts w:ascii="Times New Roman" w:hAnsi="Times New Roman" w:cs="Times New Roman"/>
          <w:sz w:val="24"/>
          <w:szCs w:val="24"/>
        </w:rPr>
        <w:t>1</w:t>
      </w:r>
      <w:r w:rsidR="00023ECE">
        <w:rPr>
          <w:rFonts w:ascii="Times New Roman" w:hAnsi="Times New Roman" w:cs="Times New Roman"/>
          <w:sz w:val="24"/>
          <w:szCs w:val="24"/>
        </w:rPr>
        <w:t>1</w:t>
      </w:r>
      <w:r w:rsidRPr="0020611E">
        <w:rPr>
          <w:rFonts w:ascii="Times New Roman" w:hAnsi="Times New Roman" w:cs="Times New Roman"/>
          <w:sz w:val="24"/>
          <w:szCs w:val="24"/>
        </w:rPr>
        <w:t>.1 Reflections on Key Events and Their Impact</w:t>
      </w:r>
    </w:p>
    <w:p w14:paraId="31577016" w14:textId="77777777" w:rsidR="00C00996" w:rsidRPr="00C00996" w:rsidRDefault="0020611E" w:rsidP="00C00996">
      <w:pPr>
        <w:jc w:val="both"/>
      </w:pPr>
      <w:r w:rsidRPr="0020611E">
        <w:rPr>
          <w:rFonts w:ascii="Times New Roman" w:hAnsi="Times New Roman" w:cs="Times New Roman"/>
          <w:sz w:val="24"/>
          <w:szCs w:val="24"/>
        </w:rPr>
        <w:t xml:space="preserve">Throughout the four years of COST Action CA19130, several marquee events played a pivotal role in advancing research, building collaborations, and influencing policy related to transparency in FinTech and AI. </w:t>
      </w:r>
      <w:r w:rsidR="00C00996" w:rsidRPr="00C00996">
        <w:t>1.1 Reflections on Key Events and Their Impact</w:t>
      </w:r>
      <w:r w:rsidR="00C00996" w:rsidRPr="00C00996">
        <w:br/>
        <w:t>Over the four-year duration of COST Action CA19130, several marquee events played a pivotal role in propelling research, fostering collaborations, and influencing policy related to transparency in FinTech and AI. Three flagship events stand out:</w:t>
      </w:r>
    </w:p>
    <w:p w14:paraId="0273DAA1"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COST FinAI Meets Brussels Workshops: This series brought together researchers, regulators like the European Commission and European Central Bank, and industry leaders. The dialogues facilitated cross-pollination of ideas and translated cutting-edge research into actionable insights for governance frameworks and ethical AI adoption in finance.</w:t>
      </w:r>
    </w:p>
    <w:p w14:paraId="319715C6"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lastRenderedPageBreak/>
        <w:t>Women in FinTech and AI: This annual event promoted diversity, inclusivity, and highlighted the contributions of women researchers and professionals. It provided a platform to address gender gaps, mentorship, and career development, thereby strengthening the talent pipeline in this critical domain.</w:t>
      </w:r>
    </w:p>
    <w:p w14:paraId="0C2B2B1F"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Thematic Workshops: Focused events like the XAI in Finance Workshop enabled deeper technical discussions on core challenges such as interpretability and explainability of AI models for financial applications. Outcomes synthesized the latest methods, tools, and real-world use cases.</w:t>
      </w:r>
    </w:p>
    <w:p w14:paraId="6F21F4BD"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The diverse perspectives from these events directly informed the Action's research priorities, capacity-building initiatives like training schools, and regulatory guidance. Interdisciplinary collaboration and exchange of ideas catalyzed innovation.</w:t>
      </w:r>
    </w:p>
    <w:p w14:paraId="04B6E482"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11.2 Sustaining Momentum and Deepening Impact</w:t>
      </w:r>
      <w:r w:rsidRPr="00C00996">
        <w:rPr>
          <w:rFonts w:ascii="Times New Roman" w:hAnsi="Times New Roman" w:cs="Times New Roman"/>
          <w:sz w:val="24"/>
          <w:szCs w:val="24"/>
        </w:rPr>
        <w:br/>
        <w:t>As the Action officially concludes, it is crucial to sustain the momentum generated over the past four years. Potential next steps include:</w:t>
      </w:r>
    </w:p>
    <w:p w14:paraId="77690DCA"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Forming Collaborative Consortia: Leverage the vast network created by the Action to establish new public-private research partnerships and consortia. This can facilitate continuity in addressing emerging topics at the intersection of finance, data science, and AI governance.</w:t>
      </w:r>
    </w:p>
    <w:p w14:paraId="1442F1ED"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 xml:space="preserve">Evolving Digital Knowledge Platforms: Innovative solutions like </w:t>
      </w:r>
      <w:proofErr w:type="spellStart"/>
      <w:r w:rsidRPr="00C00996">
        <w:rPr>
          <w:rFonts w:ascii="Times New Roman" w:hAnsi="Times New Roman" w:cs="Times New Roman"/>
          <w:sz w:val="24"/>
          <w:szCs w:val="24"/>
        </w:rPr>
        <w:t>Quantlet</w:t>
      </w:r>
      <w:proofErr w:type="spellEnd"/>
      <w:r w:rsidRPr="00C00996">
        <w:rPr>
          <w:rFonts w:ascii="Times New Roman" w:hAnsi="Times New Roman" w:cs="Times New Roman"/>
          <w:sz w:val="24"/>
          <w:szCs w:val="24"/>
        </w:rPr>
        <w:t xml:space="preserve"> and </w:t>
      </w:r>
      <w:proofErr w:type="spellStart"/>
      <w:r w:rsidRPr="00C00996">
        <w:rPr>
          <w:rFonts w:ascii="Times New Roman" w:hAnsi="Times New Roman" w:cs="Times New Roman"/>
          <w:sz w:val="24"/>
          <w:szCs w:val="24"/>
        </w:rPr>
        <w:t>Quantinar</w:t>
      </w:r>
      <w:proofErr w:type="spellEnd"/>
      <w:r w:rsidRPr="00C00996">
        <w:rPr>
          <w:rFonts w:ascii="Times New Roman" w:hAnsi="Times New Roman" w:cs="Times New Roman"/>
          <w:sz w:val="24"/>
          <w:szCs w:val="24"/>
        </w:rPr>
        <w:t xml:space="preserve"> served as digital hubs for knowledge sharing. Enhancing and maintaining these platforms will ensure research outputs remain discoverable and accessible to the broader FinTech/AI ecosystem globally.</w:t>
      </w:r>
    </w:p>
    <w:p w14:paraId="6747C82B"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Shaping Governance Frameworks: The Action's policy impact can be amplified through continued participation in regulatory development and public consultations. Researchers can lend technical expertise while industry voices calibrate pragmatic implementation considerations.</w:t>
      </w:r>
    </w:p>
    <w:p w14:paraId="47D706DE"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Interdisciplinary Research Agenda: Craft a comprehensive research agenda co-created by stakeholders from finance, computer science, policy, ethics, and other disciplines. This interdisciplinary roadmap can shape funding priorities and ensure research remains contextually relevant.-Centered AI Innovation: As AI capabilities expansively evolve, centering human-focused values like transparency, fairness, and accountability will be vital. The Action's networks can spearhead research in areas like XAI, ethical AI, and stakeholder empowerment.</w:t>
      </w:r>
    </w:p>
    <w:p w14:paraId="1F2F460C"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In essence, while the COST Action culminates, the collaborations, knowledge assets, and policy implications catalyzed by the program must be nurtured and amplified through strategic initiatives for lasting global impact beyond 2022-2023.</w:t>
      </w:r>
    </w:p>
    <w:p w14:paraId="739EF434" w14:textId="77777777" w:rsidR="0020611E" w:rsidRPr="0020611E" w:rsidRDefault="0020611E" w:rsidP="00C00996">
      <w:pPr>
        <w:jc w:val="both"/>
        <w:rPr>
          <w:rFonts w:ascii="Times New Roman" w:hAnsi="Times New Roman" w:cs="Times New Roman"/>
          <w:sz w:val="24"/>
          <w:szCs w:val="24"/>
        </w:rPr>
      </w:pPr>
      <w:r w:rsidRPr="0020611E">
        <w:rPr>
          <w:rFonts w:ascii="Times New Roman" w:hAnsi="Times New Roman" w:cs="Times New Roman"/>
          <w:sz w:val="24"/>
          <w:szCs w:val="24"/>
        </w:rPr>
        <w:t>1</w:t>
      </w:r>
      <w:r w:rsidR="00023ECE">
        <w:rPr>
          <w:rFonts w:ascii="Times New Roman" w:hAnsi="Times New Roman" w:cs="Times New Roman"/>
          <w:sz w:val="24"/>
          <w:szCs w:val="24"/>
        </w:rPr>
        <w:t>1</w:t>
      </w:r>
      <w:r w:rsidRPr="0020611E">
        <w:rPr>
          <w:rFonts w:ascii="Times New Roman" w:hAnsi="Times New Roman" w:cs="Times New Roman"/>
          <w:sz w:val="24"/>
          <w:szCs w:val="24"/>
        </w:rPr>
        <w:t>.2 Sustaining Momentum and Deepening Impact</w:t>
      </w:r>
    </w:p>
    <w:p w14:paraId="340B516C"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Forming Collaborative Consortia: Leverage the vast network created by the Action to establish new public-private research partnerships and consortia. This can facilitate continuity in addressing emerging topics at the intersection of finance, data science, and AI governance. Bringing together academic researchers, industry experts, and policymakers in focused consortia can drive targeted research initiatives and practical applications.</w:t>
      </w:r>
    </w:p>
    <w:p w14:paraId="313F70AE" w14:textId="77777777" w:rsidR="00C00996" w:rsidRPr="00C00996" w:rsidRDefault="00C00996" w:rsidP="00C00996">
      <w:pPr>
        <w:jc w:val="both"/>
        <w:rPr>
          <w:rFonts w:ascii="Times New Roman" w:hAnsi="Times New Roman" w:cs="Times New Roman"/>
          <w:sz w:val="24"/>
          <w:szCs w:val="24"/>
        </w:rPr>
      </w:pPr>
    </w:p>
    <w:p w14:paraId="69D291E2"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 xml:space="preserve">Evolving Digital Knowledge Platforms: During the Action, innovative solutions like </w:t>
      </w:r>
      <w:proofErr w:type="spellStart"/>
      <w:r w:rsidRPr="00C00996">
        <w:rPr>
          <w:rFonts w:ascii="Times New Roman" w:hAnsi="Times New Roman" w:cs="Times New Roman"/>
          <w:sz w:val="24"/>
          <w:szCs w:val="24"/>
        </w:rPr>
        <w:t>Quantlet</w:t>
      </w:r>
      <w:proofErr w:type="spellEnd"/>
      <w:r w:rsidRPr="00C00996">
        <w:rPr>
          <w:rFonts w:ascii="Times New Roman" w:hAnsi="Times New Roman" w:cs="Times New Roman"/>
          <w:sz w:val="24"/>
          <w:szCs w:val="24"/>
        </w:rPr>
        <w:t xml:space="preserve"> and </w:t>
      </w:r>
      <w:proofErr w:type="spellStart"/>
      <w:r w:rsidRPr="00C00996">
        <w:rPr>
          <w:rFonts w:ascii="Times New Roman" w:hAnsi="Times New Roman" w:cs="Times New Roman"/>
          <w:sz w:val="24"/>
          <w:szCs w:val="24"/>
        </w:rPr>
        <w:t>Quantinar</w:t>
      </w:r>
      <w:proofErr w:type="spellEnd"/>
      <w:r w:rsidRPr="00C00996">
        <w:rPr>
          <w:rFonts w:ascii="Times New Roman" w:hAnsi="Times New Roman" w:cs="Times New Roman"/>
          <w:sz w:val="24"/>
          <w:szCs w:val="24"/>
        </w:rPr>
        <w:t xml:space="preserve"> served as digital hubs for knowledge sharing. Enhancing and maintaining these platforms beyond the Action's tenure will ensure that the valuable research outputs remain discoverable and accessible to the broader FinTech/AI ecosystem globally. Regularly updating these platforms with new research findings, tools, and resources can establish them as go-to knowledge repositories.</w:t>
      </w:r>
    </w:p>
    <w:p w14:paraId="4E3380AA"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Shaping Governance Frameworks: The Action's policy impact can be amplified through continued participation in regulatory development and public consultations. Researchers from the Action can lend their technical expertise, while industry voices can provide insights on pragmatic implementation considerations. This ongoing engagement can help shape governance frameworks that strike the right balance between innovation and responsible AI adoption.</w:t>
      </w:r>
    </w:p>
    <w:p w14:paraId="28DBD360"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Interdisciplinary Research Agenda: Craft a comprehensive interdisciplinary research agenda co-created by stakeholders from finance, computer science, policy, ethics, and other relevant disciplines. This collaborative roadmap can shape funding priorities and ensure that research remains contextually relevant, addressing real-world challenges at the intersection of finance, technology, and society.-Centered AI Innovation: As AI capabilities continue to rapidly evolve, centering human-focused values like transparency, fairness, and accountability will be vital. The Action's networks can spearhead research in areas such as Explainable AI (XAI), ethical AI, and stakeholder empowerment. Developing AI systems that prioritize human values and foster trust can drive responsible innovation in the finance sector.</w:t>
      </w:r>
    </w:p>
    <w:p w14:paraId="1448C6A5" w14:textId="77777777" w:rsidR="00C00996" w:rsidRPr="00C00996" w:rsidRDefault="00C00996" w:rsidP="00C00996">
      <w:pPr>
        <w:jc w:val="both"/>
        <w:rPr>
          <w:rFonts w:ascii="Times New Roman" w:hAnsi="Times New Roman" w:cs="Times New Roman"/>
          <w:sz w:val="24"/>
          <w:szCs w:val="24"/>
        </w:rPr>
      </w:pPr>
      <w:r w:rsidRPr="00C00996">
        <w:rPr>
          <w:rFonts w:ascii="Times New Roman" w:hAnsi="Times New Roman" w:cs="Times New Roman"/>
          <w:sz w:val="24"/>
          <w:szCs w:val="24"/>
        </w:rPr>
        <w:t>Capacity Building and Knowledge Transfer: Building on the Action's existing efforts, further initiatives for capacity building and knowledge transfer can help develop a skilled workforce equipped to tackle emerging challenges in FinTech and AI in finance. This can involve educational programs, training workshops, and facilitating expertise transfer between academia and industry, ultimately fostering mutual understanding and accelerating the adoption of research findings.</w:t>
      </w:r>
    </w:p>
    <w:p w14:paraId="46F96755" w14:textId="77777777" w:rsidR="00AB7859" w:rsidRPr="00AB7859" w:rsidRDefault="00C00996" w:rsidP="00C00996">
      <w:pPr>
        <w:jc w:val="both"/>
        <w:rPr>
          <w:color w:val="111111"/>
        </w:rPr>
      </w:pPr>
      <w:r w:rsidRPr="00C00996">
        <w:rPr>
          <w:rFonts w:ascii="Times New Roman" w:hAnsi="Times New Roman" w:cs="Times New Roman"/>
          <w:sz w:val="24"/>
          <w:szCs w:val="24"/>
        </w:rPr>
        <w:t xml:space="preserve">By pursuing these strategic initiatives, the collaborations, knowledge assets, and policy implications catalyzed by COST Action CA19130 can be nurtured and amplified, ensuring a lasting global impact beyond the Action's official </w:t>
      </w:r>
      <w:proofErr w:type="gramStart"/>
      <w:r w:rsidRPr="00C00996">
        <w:rPr>
          <w:rFonts w:ascii="Times New Roman" w:hAnsi="Times New Roman" w:cs="Times New Roman"/>
          <w:sz w:val="24"/>
          <w:szCs w:val="24"/>
        </w:rPr>
        <w:t>conclusion</w:t>
      </w:r>
      <w:r>
        <w:rPr>
          <w:rFonts w:ascii="Times New Roman" w:hAnsi="Times New Roman" w:cs="Times New Roman"/>
          <w:sz w:val="24"/>
          <w:szCs w:val="24"/>
        </w:rPr>
        <w:t xml:space="preserve"> </w:t>
      </w:r>
      <w:r w:rsidR="0020611E" w:rsidRPr="0020611E">
        <w:rPr>
          <w:rFonts w:ascii="Times New Roman" w:hAnsi="Times New Roman" w:cs="Times New Roman"/>
          <w:sz w:val="24"/>
          <w:szCs w:val="24"/>
        </w:rPr>
        <w:t>.</w:t>
      </w:r>
      <w:proofErr w:type="gramEnd"/>
      <w:r w:rsidR="00A35DE2">
        <w:rPr>
          <w:color w:val="111111"/>
        </w:rPr>
        <w:t xml:space="preserve"> </w:t>
      </w:r>
    </w:p>
    <w:p w14:paraId="68FDF4FA" w14:textId="77777777" w:rsidR="00AB7859" w:rsidRPr="00AB7859" w:rsidRDefault="00AB7859" w:rsidP="00AB7859">
      <w:pPr>
        <w:jc w:val="both"/>
        <w:rPr>
          <w:rFonts w:ascii="Times New Roman" w:hAnsi="Times New Roman" w:cs="Times New Roman"/>
          <w:sz w:val="24"/>
          <w:szCs w:val="24"/>
        </w:rPr>
      </w:pPr>
    </w:p>
    <w:sectPr w:rsidR="00AB7859" w:rsidRPr="00AB7859">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E31E0A" w14:textId="77777777" w:rsidR="00685D47" w:rsidRDefault="00685D47" w:rsidP="007205D4">
      <w:pPr>
        <w:spacing w:after="0" w:line="240" w:lineRule="auto"/>
      </w:pPr>
      <w:r>
        <w:separator/>
      </w:r>
    </w:p>
  </w:endnote>
  <w:endnote w:type="continuationSeparator" w:id="0">
    <w:p w14:paraId="2392E220" w14:textId="77777777" w:rsidR="00685D47" w:rsidRDefault="00685D47" w:rsidP="00720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A08ADF" w14:textId="77777777" w:rsidR="00685D47" w:rsidRDefault="00685D47" w:rsidP="007205D4">
      <w:pPr>
        <w:spacing w:after="0" w:line="240" w:lineRule="auto"/>
      </w:pPr>
      <w:r>
        <w:separator/>
      </w:r>
    </w:p>
  </w:footnote>
  <w:footnote w:type="continuationSeparator" w:id="0">
    <w:p w14:paraId="5B2254F4" w14:textId="77777777" w:rsidR="00685D47" w:rsidRDefault="00685D47" w:rsidP="007205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8421285"/>
      <w:docPartObj>
        <w:docPartGallery w:val="Page Numbers (Top of Page)"/>
        <w:docPartUnique/>
      </w:docPartObj>
    </w:sdtPr>
    <w:sdtEndPr>
      <w:rPr>
        <w:noProof/>
      </w:rPr>
    </w:sdtEndPr>
    <w:sdtContent>
      <w:p w14:paraId="29A6EF4C" w14:textId="77777777" w:rsidR="00BC54AB" w:rsidRDefault="00BC54AB">
        <w:pPr>
          <w:pStyle w:val="Header"/>
          <w:jc w:val="center"/>
        </w:pPr>
        <w:r>
          <w:fldChar w:fldCharType="begin"/>
        </w:r>
        <w:r>
          <w:instrText xml:space="preserve"> PAGE   \* MERGEFORMAT </w:instrText>
        </w:r>
        <w:r>
          <w:fldChar w:fldCharType="separate"/>
        </w:r>
        <w:r w:rsidR="005E0CAE">
          <w:rPr>
            <w:noProof/>
          </w:rPr>
          <w:t>21</w:t>
        </w:r>
        <w:r>
          <w:rPr>
            <w:noProof/>
          </w:rPr>
          <w:fldChar w:fldCharType="end"/>
        </w:r>
      </w:p>
    </w:sdtContent>
  </w:sdt>
  <w:p w14:paraId="0436F973" w14:textId="77777777" w:rsidR="00BC54AB" w:rsidRDefault="00BC54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A1A9F"/>
    <w:multiLevelType w:val="multilevel"/>
    <w:tmpl w:val="F27A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9009C1"/>
    <w:multiLevelType w:val="multilevel"/>
    <w:tmpl w:val="DA5CA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34AB2"/>
    <w:multiLevelType w:val="multilevel"/>
    <w:tmpl w:val="9AAAE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4194D"/>
    <w:multiLevelType w:val="multilevel"/>
    <w:tmpl w:val="B104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427F42"/>
    <w:multiLevelType w:val="multilevel"/>
    <w:tmpl w:val="B988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3A0B94"/>
    <w:multiLevelType w:val="hybridMultilevel"/>
    <w:tmpl w:val="D08C2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16D83"/>
    <w:multiLevelType w:val="multilevel"/>
    <w:tmpl w:val="F25A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812F61"/>
    <w:multiLevelType w:val="multilevel"/>
    <w:tmpl w:val="AE10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8B38B9"/>
    <w:multiLevelType w:val="multilevel"/>
    <w:tmpl w:val="9E20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D0571"/>
    <w:multiLevelType w:val="multilevel"/>
    <w:tmpl w:val="ED98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0731F"/>
    <w:multiLevelType w:val="multilevel"/>
    <w:tmpl w:val="6A56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6B6761"/>
    <w:multiLevelType w:val="multilevel"/>
    <w:tmpl w:val="8C66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801403"/>
    <w:multiLevelType w:val="multilevel"/>
    <w:tmpl w:val="FA0C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27282C"/>
    <w:multiLevelType w:val="multilevel"/>
    <w:tmpl w:val="C084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587BE4"/>
    <w:multiLevelType w:val="multilevel"/>
    <w:tmpl w:val="68F28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477D6A"/>
    <w:multiLevelType w:val="multilevel"/>
    <w:tmpl w:val="31028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D82546"/>
    <w:multiLevelType w:val="multilevel"/>
    <w:tmpl w:val="7072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297A86"/>
    <w:multiLevelType w:val="hybridMultilevel"/>
    <w:tmpl w:val="504CD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4C53207"/>
    <w:multiLevelType w:val="hybridMultilevel"/>
    <w:tmpl w:val="0DB65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3E0E43"/>
    <w:multiLevelType w:val="multilevel"/>
    <w:tmpl w:val="A228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76623A"/>
    <w:multiLevelType w:val="multilevel"/>
    <w:tmpl w:val="25D6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8162F"/>
    <w:multiLevelType w:val="multilevel"/>
    <w:tmpl w:val="7394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BA6C09"/>
    <w:multiLevelType w:val="multilevel"/>
    <w:tmpl w:val="B1D8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C867E7"/>
    <w:multiLevelType w:val="multilevel"/>
    <w:tmpl w:val="8D963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2C57F9"/>
    <w:multiLevelType w:val="multilevel"/>
    <w:tmpl w:val="686C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F173C8"/>
    <w:multiLevelType w:val="multilevel"/>
    <w:tmpl w:val="04B6F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652FF9"/>
    <w:multiLevelType w:val="multilevel"/>
    <w:tmpl w:val="556C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AB735C"/>
    <w:multiLevelType w:val="hybridMultilevel"/>
    <w:tmpl w:val="AA8A065A"/>
    <w:lvl w:ilvl="0" w:tplc="6C708C74">
      <w:start w:val="1"/>
      <w:numFmt w:val="decimal"/>
      <w:pStyle w:val="TOC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F35788C"/>
    <w:multiLevelType w:val="multilevel"/>
    <w:tmpl w:val="B2D64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8485383">
    <w:abstractNumId w:val="20"/>
  </w:num>
  <w:num w:numId="2" w16cid:durableId="604116879">
    <w:abstractNumId w:val="9"/>
  </w:num>
  <w:num w:numId="3" w16cid:durableId="240601366">
    <w:abstractNumId w:val="8"/>
  </w:num>
  <w:num w:numId="4" w16cid:durableId="1372608193">
    <w:abstractNumId w:val="7"/>
  </w:num>
  <w:num w:numId="5" w16cid:durableId="1133717744">
    <w:abstractNumId w:val="0"/>
  </w:num>
  <w:num w:numId="6" w16cid:durableId="264071630">
    <w:abstractNumId w:val="13"/>
  </w:num>
  <w:num w:numId="7" w16cid:durableId="1848330544">
    <w:abstractNumId w:val="19"/>
  </w:num>
  <w:num w:numId="8" w16cid:durableId="522283196">
    <w:abstractNumId w:val="24"/>
  </w:num>
  <w:num w:numId="9" w16cid:durableId="457189984">
    <w:abstractNumId w:val="12"/>
  </w:num>
  <w:num w:numId="10" w16cid:durableId="1955094464">
    <w:abstractNumId w:val="26"/>
  </w:num>
  <w:num w:numId="11" w16cid:durableId="1645968381">
    <w:abstractNumId w:val="21"/>
  </w:num>
  <w:num w:numId="12" w16cid:durableId="325475963">
    <w:abstractNumId w:val="5"/>
  </w:num>
  <w:num w:numId="13" w16cid:durableId="634262820">
    <w:abstractNumId w:val="18"/>
  </w:num>
  <w:num w:numId="14" w16cid:durableId="664935514">
    <w:abstractNumId w:val="27"/>
  </w:num>
  <w:num w:numId="15" w16cid:durableId="535973587">
    <w:abstractNumId w:val="17"/>
  </w:num>
  <w:num w:numId="16" w16cid:durableId="859511146">
    <w:abstractNumId w:val="10"/>
  </w:num>
  <w:num w:numId="17" w16cid:durableId="2142186053">
    <w:abstractNumId w:val="22"/>
  </w:num>
  <w:num w:numId="18" w16cid:durableId="1811364512">
    <w:abstractNumId w:val="1"/>
  </w:num>
  <w:num w:numId="19" w16cid:durableId="1184594190">
    <w:abstractNumId w:val="23"/>
  </w:num>
  <w:num w:numId="20" w16cid:durableId="1828933112">
    <w:abstractNumId w:val="11"/>
  </w:num>
  <w:num w:numId="21" w16cid:durableId="678773635">
    <w:abstractNumId w:val="15"/>
  </w:num>
  <w:num w:numId="22" w16cid:durableId="1757096737">
    <w:abstractNumId w:val="2"/>
  </w:num>
  <w:num w:numId="23" w16cid:durableId="237836390">
    <w:abstractNumId w:val="6"/>
  </w:num>
  <w:num w:numId="24" w16cid:durableId="770322017">
    <w:abstractNumId w:val="4"/>
  </w:num>
  <w:num w:numId="25" w16cid:durableId="1855922995">
    <w:abstractNumId w:val="3"/>
  </w:num>
  <w:num w:numId="26" w16cid:durableId="63186985">
    <w:abstractNumId w:val="28"/>
  </w:num>
  <w:num w:numId="27" w16cid:durableId="1813794303">
    <w:abstractNumId w:val="16"/>
  </w:num>
  <w:num w:numId="28" w16cid:durableId="281811">
    <w:abstractNumId w:val="14"/>
  </w:num>
  <w:num w:numId="29" w16cid:durableId="421880454">
    <w:abstractNumId w:val="2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77E"/>
    <w:rsid w:val="000208A4"/>
    <w:rsid w:val="00023ECE"/>
    <w:rsid w:val="000B19A9"/>
    <w:rsid w:val="000D0202"/>
    <w:rsid w:val="000D1C54"/>
    <w:rsid w:val="000D443D"/>
    <w:rsid w:val="000F0BC1"/>
    <w:rsid w:val="0012580B"/>
    <w:rsid w:val="00157D50"/>
    <w:rsid w:val="0016097C"/>
    <w:rsid w:val="001E057B"/>
    <w:rsid w:val="0020611E"/>
    <w:rsid w:val="00214164"/>
    <w:rsid w:val="002676A0"/>
    <w:rsid w:val="002860B3"/>
    <w:rsid w:val="002E03F6"/>
    <w:rsid w:val="00302961"/>
    <w:rsid w:val="0030316A"/>
    <w:rsid w:val="00391B35"/>
    <w:rsid w:val="00394584"/>
    <w:rsid w:val="003A2EB9"/>
    <w:rsid w:val="003E6A4D"/>
    <w:rsid w:val="003F5A4A"/>
    <w:rsid w:val="00415AC7"/>
    <w:rsid w:val="00447FC9"/>
    <w:rsid w:val="00454414"/>
    <w:rsid w:val="004B0BCC"/>
    <w:rsid w:val="0056577E"/>
    <w:rsid w:val="0058275F"/>
    <w:rsid w:val="00586A54"/>
    <w:rsid w:val="005C1E7F"/>
    <w:rsid w:val="005E0CAE"/>
    <w:rsid w:val="00600956"/>
    <w:rsid w:val="00600E6B"/>
    <w:rsid w:val="00620F40"/>
    <w:rsid w:val="00624751"/>
    <w:rsid w:val="00685D47"/>
    <w:rsid w:val="006B191A"/>
    <w:rsid w:val="006B60B9"/>
    <w:rsid w:val="007205D4"/>
    <w:rsid w:val="00764ADF"/>
    <w:rsid w:val="007853A8"/>
    <w:rsid w:val="00786130"/>
    <w:rsid w:val="00797EC7"/>
    <w:rsid w:val="007A3153"/>
    <w:rsid w:val="007B1263"/>
    <w:rsid w:val="007C09F6"/>
    <w:rsid w:val="00840BE1"/>
    <w:rsid w:val="008C7FED"/>
    <w:rsid w:val="008E3FB9"/>
    <w:rsid w:val="008E6D2A"/>
    <w:rsid w:val="008F3260"/>
    <w:rsid w:val="00974182"/>
    <w:rsid w:val="009A4B45"/>
    <w:rsid w:val="009A4B83"/>
    <w:rsid w:val="009D4D37"/>
    <w:rsid w:val="00A02AE6"/>
    <w:rsid w:val="00A35DE2"/>
    <w:rsid w:val="00A648C9"/>
    <w:rsid w:val="00A73FE5"/>
    <w:rsid w:val="00A93638"/>
    <w:rsid w:val="00AB7859"/>
    <w:rsid w:val="00B45194"/>
    <w:rsid w:val="00B52C93"/>
    <w:rsid w:val="00B94702"/>
    <w:rsid w:val="00BA05D2"/>
    <w:rsid w:val="00BA7B71"/>
    <w:rsid w:val="00BC54AB"/>
    <w:rsid w:val="00BD5BEF"/>
    <w:rsid w:val="00C00996"/>
    <w:rsid w:val="00C55F2A"/>
    <w:rsid w:val="00C813B4"/>
    <w:rsid w:val="00CB6D37"/>
    <w:rsid w:val="00CC0187"/>
    <w:rsid w:val="00D164B0"/>
    <w:rsid w:val="00D3577D"/>
    <w:rsid w:val="00D523DF"/>
    <w:rsid w:val="00D52917"/>
    <w:rsid w:val="00D56C57"/>
    <w:rsid w:val="00D74FEC"/>
    <w:rsid w:val="00D96ACD"/>
    <w:rsid w:val="00DC3108"/>
    <w:rsid w:val="00DF2DAC"/>
    <w:rsid w:val="00DF5AFD"/>
    <w:rsid w:val="00DF6E0E"/>
    <w:rsid w:val="00E14945"/>
    <w:rsid w:val="00E36BA9"/>
    <w:rsid w:val="00E70DA1"/>
    <w:rsid w:val="00EC5D12"/>
    <w:rsid w:val="00EE3582"/>
    <w:rsid w:val="00EE6538"/>
    <w:rsid w:val="00F807A6"/>
    <w:rsid w:val="00F90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4BB4D"/>
  <w15:chartTrackingRefBased/>
  <w15:docId w15:val="{09305A23-134A-4189-937F-A6AD4DC4D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C5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0DA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B78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1263"/>
    <w:rPr>
      <w:color w:val="0563C1" w:themeColor="hyperlink"/>
      <w:u w:val="single"/>
    </w:rPr>
  </w:style>
  <w:style w:type="character" w:customStyle="1" w:styleId="Heading3Char">
    <w:name w:val="Heading 3 Char"/>
    <w:basedOn w:val="DefaultParagraphFont"/>
    <w:link w:val="Heading3"/>
    <w:uiPriority w:val="9"/>
    <w:rsid w:val="00AB785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B78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7859"/>
    <w:rPr>
      <w:b/>
      <w:bCs/>
    </w:rPr>
  </w:style>
  <w:style w:type="character" w:customStyle="1" w:styleId="Heading2Char">
    <w:name w:val="Heading 2 Char"/>
    <w:basedOn w:val="DefaultParagraphFont"/>
    <w:link w:val="Heading2"/>
    <w:uiPriority w:val="9"/>
    <w:rsid w:val="00E70DA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620F40"/>
    <w:pPr>
      <w:ind w:left="720"/>
      <w:contextualSpacing/>
    </w:pPr>
  </w:style>
  <w:style w:type="character" w:customStyle="1" w:styleId="Heading1Char">
    <w:name w:val="Heading 1 Char"/>
    <w:basedOn w:val="DefaultParagraphFont"/>
    <w:link w:val="Heading1"/>
    <w:uiPriority w:val="9"/>
    <w:rsid w:val="00D56C5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14164"/>
    <w:pPr>
      <w:outlineLvl w:val="9"/>
    </w:pPr>
  </w:style>
  <w:style w:type="paragraph" w:styleId="TOC2">
    <w:name w:val="toc 2"/>
    <w:basedOn w:val="Normal"/>
    <w:next w:val="Normal"/>
    <w:autoRedefine/>
    <w:uiPriority w:val="39"/>
    <w:unhideWhenUsed/>
    <w:rsid w:val="00214164"/>
    <w:pPr>
      <w:spacing w:after="100"/>
      <w:ind w:left="220"/>
    </w:pPr>
  </w:style>
  <w:style w:type="paragraph" w:styleId="TOC1">
    <w:name w:val="toc 1"/>
    <w:basedOn w:val="Normal"/>
    <w:next w:val="Normal"/>
    <w:autoRedefine/>
    <w:uiPriority w:val="39"/>
    <w:unhideWhenUsed/>
    <w:rsid w:val="00BA05D2"/>
    <w:pPr>
      <w:numPr>
        <w:numId w:val="14"/>
      </w:numPr>
      <w:tabs>
        <w:tab w:val="right" w:leader="dot" w:pos="9350"/>
      </w:tabs>
      <w:spacing w:after="100"/>
    </w:pPr>
  </w:style>
  <w:style w:type="paragraph" w:styleId="BalloonText">
    <w:name w:val="Balloon Text"/>
    <w:basedOn w:val="Normal"/>
    <w:link w:val="BalloonTextChar"/>
    <w:uiPriority w:val="99"/>
    <w:semiHidden/>
    <w:unhideWhenUsed/>
    <w:rsid w:val="008E3F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3FB9"/>
    <w:rPr>
      <w:rFonts w:ascii="Segoe UI" w:hAnsi="Segoe UI" w:cs="Segoe UI"/>
      <w:sz w:val="18"/>
      <w:szCs w:val="18"/>
    </w:rPr>
  </w:style>
  <w:style w:type="paragraph" w:styleId="Header">
    <w:name w:val="header"/>
    <w:basedOn w:val="Normal"/>
    <w:link w:val="HeaderChar"/>
    <w:uiPriority w:val="99"/>
    <w:unhideWhenUsed/>
    <w:rsid w:val="007205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5D4"/>
  </w:style>
  <w:style w:type="paragraph" w:styleId="Footer">
    <w:name w:val="footer"/>
    <w:basedOn w:val="Normal"/>
    <w:link w:val="FooterChar"/>
    <w:uiPriority w:val="99"/>
    <w:unhideWhenUsed/>
    <w:rsid w:val="007205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57860">
      <w:bodyDiv w:val="1"/>
      <w:marLeft w:val="0"/>
      <w:marRight w:val="0"/>
      <w:marTop w:val="0"/>
      <w:marBottom w:val="0"/>
      <w:divBdr>
        <w:top w:val="none" w:sz="0" w:space="0" w:color="auto"/>
        <w:left w:val="none" w:sz="0" w:space="0" w:color="auto"/>
        <w:bottom w:val="none" w:sz="0" w:space="0" w:color="auto"/>
        <w:right w:val="none" w:sz="0" w:space="0" w:color="auto"/>
      </w:divBdr>
    </w:div>
    <w:div w:id="56822099">
      <w:bodyDiv w:val="1"/>
      <w:marLeft w:val="0"/>
      <w:marRight w:val="0"/>
      <w:marTop w:val="0"/>
      <w:marBottom w:val="0"/>
      <w:divBdr>
        <w:top w:val="none" w:sz="0" w:space="0" w:color="auto"/>
        <w:left w:val="none" w:sz="0" w:space="0" w:color="auto"/>
        <w:bottom w:val="none" w:sz="0" w:space="0" w:color="auto"/>
        <w:right w:val="none" w:sz="0" w:space="0" w:color="auto"/>
      </w:divBdr>
    </w:div>
    <w:div w:id="67964761">
      <w:bodyDiv w:val="1"/>
      <w:marLeft w:val="0"/>
      <w:marRight w:val="0"/>
      <w:marTop w:val="0"/>
      <w:marBottom w:val="0"/>
      <w:divBdr>
        <w:top w:val="none" w:sz="0" w:space="0" w:color="auto"/>
        <w:left w:val="none" w:sz="0" w:space="0" w:color="auto"/>
        <w:bottom w:val="none" w:sz="0" w:space="0" w:color="auto"/>
        <w:right w:val="none" w:sz="0" w:space="0" w:color="auto"/>
      </w:divBdr>
    </w:div>
    <w:div w:id="70785792">
      <w:bodyDiv w:val="1"/>
      <w:marLeft w:val="0"/>
      <w:marRight w:val="0"/>
      <w:marTop w:val="0"/>
      <w:marBottom w:val="0"/>
      <w:divBdr>
        <w:top w:val="none" w:sz="0" w:space="0" w:color="auto"/>
        <w:left w:val="none" w:sz="0" w:space="0" w:color="auto"/>
        <w:bottom w:val="none" w:sz="0" w:space="0" w:color="auto"/>
        <w:right w:val="none" w:sz="0" w:space="0" w:color="auto"/>
      </w:divBdr>
    </w:div>
    <w:div w:id="73670218">
      <w:bodyDiv w:val="1"/>
      <w:marLeft w:val="0"/>
      <w:marRight w:val="0"/>
      <w:marTop w:val="0"/>
      <w:marBottom w:val="0"/>
      <w:divBdr>
        <w:top w:val="none" w:sz="0" w:space="0" w:color="auto"/>
        <w:left w:val="none" w:sz="0" w:space="0" w:color="auto"/>
        <w:bottom w:val="none" w:sz="0" w:space="0" w:color="auto"/>
        <w:right w:val="none" w:sz="0" w:space="0" w:color="auto"/>
      </w:divBdr>
    </w:div>
    <w:div w:id="73750736">
      <w:bodyDiv w:val="1"/>
      <w:marLeft w:val="0"/>
      <w:marRight w:val="0"/>
      <w:marTop w:val="0"/>
      <w:marBottom w:val="0"/>
      <w:divBdr>
        <w:top w:val="none" w:sz="0" w:space="0" w:color="auto"/>
        <w:left w:val="none" w:sz="0" w:space="0" w:color="auto"/>
        <w:bottom w:val="none" w:sz="0" w:space="0" w:color="auto"/>
        <w:right w:val="none" w:sz="0" w:space="0" w:color="auto"/>
      </w:divBdr>
    </w:div>
    <w:div w:id="77410010">
      <w:bodyDiv w:val="1"/>
      <w:marLeft w:val="0"/>
      <w:marRight w:val="0"/>
      <w:marTop w:val="0"/>
      <w:marBottom w:val="0"/>
      <w:divBdr>
        <w:top w:val="none" w:sz="0" w:space="0" w:color="auto"/>
        <w:left w:val="none" w:sz="0" w:space="0" w:color="auto"/>
        <w:bottom w:val="none" w:sz="0" w:space="0" w:color="auto"/>
        <w:right w:val="none" w:sz="0" w:space="0" w:color="auto"/>
      </w:divBdr>
    </w:div>
    <w:div w:id="81489587">
      <w:bodyDiv w:val="1"/>
      <w:marLeft w:val="0"/>
      <w:marRight w:val="0"/>
      <w:marTop w:val="0"/>
      <w:marBottom w:val="0"/>
      <w:divBdr>
        <w:top w:val="none" w:sz="0" w:space="0" w:color="auto"/>
        <w:left w:val="none" w:sz="0" w:space="0" w:color="auto"/>
        <w:bottom w:val="none" w:sz="0" w:space="0" w:color="auto"/>
        <w:right w:val="none" w:sz="0" w:space="0" w:color="auto"/>
      </w:divBdr>
    </w:div>
    <w:div w:id="87428270">
      <w:bodyDiv w:val="1"/>
      <w:marLeft w:val="0"/>
      <w:marRight w:val="0"/>
      <w:marTop w:val="0"/>
      <w:marBottom w:val="0"/>
      <w:divBdr>
        <w:top w:val="none" w:sz="0" w:space="0" w:color="auto"/>
        <w:left w:val="none" w:sz="0" w:space="0" w:color="auto"/>
        <w:bottom w:val="none" w:sz="0" w:space="0" w:color="auto"/>
        <w:right w:val="none" w:sz="0" w:space="0" w:color="auto"/>
      </w:divBdr>
    </w:div>
    <w:div w:id="114370588">
      <w:bodyDiv w:val="1"/>
      <w:marLeft w:val="0"/>
      <w:marRight w:val="0"/>
      <w:marTop w:val="0"/>
      <w:marBottom w:val="0"/>
      <w:divBdr>
        <w:top w:val="none" w:sz="0" w:space="0" w:color="auto"/>
        <w:left w:val="none" w:sz="0" w:space="0" w:color="auto"/>
        <w:bottom w:val="none" w:sz="0" w:space="0" w:color="auto"/>
        <w:right w:val="none" w:sz="0" w:space="0" w:color="auto"/>
      </w:divBdr>
    </w:div>
    <w:div w:id="140269709">
      <w:bodyDiv w:val="1"/>
      <w:marLeft w:val="0"/>
      <w:marRight w:val="0"/>
      <w:marTop w:val="0"/>
      <w:marBottom w:val="0"/>
      <w:divBdr>
        <w:top w:val="none" w:sz="0" w:space="0" w:color="auto"/>
        <w:left w:val="none" w:sz="0" w:space="0" w:color="auto"/>
        <w:bottom w:val="none" w:sz="0" w:space="0" w:color="auto"/>
        <w:right w:val="none" w:sz="0" w:space="0" w:color="auto"/>
      </w:divBdr>
    </w:div>
    <w:div w:id="143746150">
      <w:bodyDiv w:val="1"/>
      <w:marLeft w:val="0"/>
      <w:marRight w:val="0"/>
      <w:marTop w:val="0"/>
      <w:marBottom w:val="0"/>
      <w:divBdr>
        <w:top w:val="none" w:sz="0" w:space="0" w:color="auto"/>
        <w:left w:val="none" w:sz="0" w:space="0" w:color="auto"/>
        <w:bottom w:val="none" w:sz="0" w:space="0" w:color="auto"/>
        <w:right w:val="none" w:sz="0" w:space="0" w:color="auto"/>
      </w:divBdr>
    </w:div>
    <w:div w:id="148863805">
      <w:bodyDiv w:val="1"/>
      <w:marLeft w:val="0"/>
      <w:marRight w:val="0"/>
      <w:marTop w:val="0"/>
      <w:marBottom w:val="0"/>
      <w:divBdr>
        <w:top w:val="none" w:sz="0" w:space="0" w:color="auto"/>
        <w:left w:val="none" w:sz="0" w:space="0" w:color="auto"/>
        <w:bottom w:val="none" w:sz="0" w:space="0" w:color="auto"/>
        <w:right w:val="none" w:sz="0" w:space="0" w:color="auto"/>
      </w:divBdr>
    </w:div>
    <w:div w:id="172569477">
      <w:bodyDiv w:val="1"/>
      <w:marLeft w:val="0"/>
      <w:marRight w:val="0"/>
      <w:marTop w:val="0"/>
      <w:marBottom w:val="0"/>
      <w:divBdr>
        <w:top w:val="none" w:sz="0" w:space="0" w:color="auto"/>
        <w:left w:val="none" w:sz="0" w:space="0" w:color="auto"/>
        <w:bottom w:val="none" w:sz="0" w:space="0" w:color="auto"/>
        <w:right w:val="none" w:sz="0" w:space="0" w:color="auto"/>
      </w:divBdr>
    </w:div>
    <w:div w:id="172578459">
      <w:bodyDiv w:val="1"/>
      <w:marLeft w:val="0"/>
      <w:marRight w:val="0"/>
      <w:marTop w:val="0"/>
      <w:marBottom w:val="0"/>
      <w:divBdr>
        <w:top w:val="none" w:sz="0" w:space="0" w:color="auto"/>
        <w:left w:val="none" w:sz="0" w:space="0" w:color="auto"/>
        <w:bottom w:val="none" w:sz="0" w:space="0" w:color="auto"/>
        <w:right w:val="none" w:sz="0" w:space="0" w:color="auto"/>
      </w:divBdr>
    </w:div>
    <w:div w:id="173691990">
      <w:bodyDiv w:val="1"/>
      <w:marLeft w:val="0"/>
      <w:marRight w:val="0"/>
      <w:marTop w:val="0"/>
      <w:marBottom w:val="0"/>
      <w:divBdr>
        <w:top w:val="none" w:sz="0" w:space="0" w:color="auto"/>
        <w:left w:val="none" w:sz="0" w:space="0" w:color="auto"/>
        <w:bottom w:val="none" w:sz="0" w:space="0" w:color="auto"/>
        <w:right w:val="none" w:sz="0" w:space="0" w:color="auto"/>
      </w:divBdr>
    </w:div>
    <w:div w:id="190147444">
      <w:bodyDiv w:val="1"/>
      <w:marLeft w:val="0"/>
      <w:marRight w:val="0"/>
      <w:marTop w:val="0"/>
      <w:marBottom w:val="0"/>
      <w:divBdr>
        <w:top w:val="none" w:sz="0" w:space="0" w:color="auto"/>
        <w:left w:val="none" w:sz="0" w:space="0" w:color="auto"/>
        <w:bottom w:val="none" w:sz="0" w:space="0" w:color="auto"/>
        <w:right w:val="none" w:sz="0" w:space="0" w:color="auto"/>
      </w:divBdr>
    </w:div>
    <w:div w:id="202333541">
      <w:bodyDiv w:val="1"/>
      <w:marLeft w:val="0"/>
      <w:marRight w:val="0"/>
      <w:marTop w:val="0"/>
      <w:marBottom w:val="0"/>
      <w:divBdr>
        <w:top w:val="none" w:sz="0" w:space="0" w:color="auto"/>
        <w:left w:val="none" w:sz="0" w:space="0" w:color="auto"/>
        <w:bottom w:val="none" w:sz="0" w:space="0" w:color="auto"/>
        <w:right w:val="none" w:sz="0" w:space="0" w:color="auto"/>
      </w:divBdr>
    </w:div>
    <w:div w:id="203493499">
      <w:bodyDiv w:val="1"/>
      <w:marLeft w:val="0"/>
      <w:marRight w:val="0"/>
      <w:marTop w:val="0"/>
      <w:marBottom w:val="0"/>
      <w:divBdr>
        <w:top w:val="none" w:sz="0" w:space="0" w:color="auto"/>
        <w:left w:val="none" w:sz="0" w:space="0" w:color="auto"/>
        <w:bottom w:val="none" w:sz="0" w:space="0" w:color="auto"/>
        <w:right w:val="none" w:sz="0" w:space="0" w:color="auto"/>
      </w:divBdr>
    </w:div>
    <w:div w:id="204604775">
      <w:bodyDiv w:val="1"/>
      <w:marLeft w:val="0"/>
      <w:marRight w:val="0"/>
      <w:marTop w:val="0"/>
      <w:marBottom w:val="0"/>
      <w:divBdr>
        <w:top w:val="none" w:sz="0" w:space="0" w:color="auto"/>
        <w:left w:val="none" w:sz="0" w:space="0" w:color="auto"/>
        <w:bottom w:val="none" w:sz="0" w:space="0" w:color="auto"/>
        <w:right w:val="none" w:sz="0" w:space="0" w:color="auto"/>
      </w:divBdr>
    </w:div>
    <w:div w:id="209462621">
      <w:bodyDiv w:val="1"/>
      <w:marLeft w:val="0"/>
      <w:marRight w:val="0"/>
      <w:marTop w:val="0"/>
      <w:marBottom w:val="0"/>
      <w:divBdr>
        <w:top w:val="none" w:sz="0" w:space="0" w:color="auto"/>
        <w:left w:val="none" w:sz="0" w:space="0" w:color="auto"/>
        <w:bottom w:val="none" w:sz="0" w:space="0" w:color="auto"/>
        <w:right w:val="none" w:sz="0" w:space="0" w:color="auto"/>
      </w:divBdr>
    </w:div>
    <w:div w:id="217979350">
      <w:bodyDiv w:val="1"/>
      <w:marLeft w:val="0"/>
      <w:marRight w:val="0"/>
      <w:marTop w:val="0"/>
      <w:marBottom w:val="0"/>
      <w:divBdr>
        <w:top w:val="none" w:sz="0" w:space="0" w:color="auto"/>
        <w:left w:val="none" w:sz="0" w:space="0" w:color="auto"/>
        <w:bottom w:val="none" w:sz="0" w:space="0" w:color="auto"/>
        <w:right w:val="none" w:sz="0" w:space="0" w:color="auto"/>
      </w:divBdr>
    </w:div>
    <w:div w:id="219244853">
      <w:bodyDiv w:val="1"/>
      <w:marLeft w:val="0"/>
      <w:marRight w:val="0"/>
      <w:marTop w:val="0"/>
      <w:marBottom w:val="0"/>
      <w:divBdr>
        <w:top w:val="none" w:sz="0" w:space="0" w:color="auto"/>
        <w:left w:val="none" w:sz="0" w:space="0" w:color="auto"/>
        <w:bottom w:val="none" w:sz="0" w:space="0" w:color="auto"/>
        <w:right w:val="none" w:sz="0" w:space="0" w:color="auto"/>
      </w:divBdr>
    </w:div>
    <w:div w:id="223689502">
      <w:bodyDiv w:val="1"/>
      <w:marLeft w:val="0"/>
      <w:marRight w:val="0"/>
      <w:marTop w:val="0"/>
      <w:marBottom w:val="0"/>
      <w:divBdr>
        <w:top w:val="none" w:sz="0" w:space="0" w:color="auto"/>
        <w:left w:val="none" w:sz="0" w:space="0" w:color="auto"/>
        <w:bottom w:val="none" w:sz="0" w:space="0" w:color="auto"/>
        <w:right w:val="none" w:sz="0" w:space="0" w:color="auto"/>
      </w:divBdr>
    </w:div>
    <w:div w:id="245580306">
      <w:bodyDiv w:val="1"/>
      <w:marLeft w:val="0"/>
      <w:marRight w:val="0"/>
      <w:marTop w:val="0"/>
      <w:marBottom w:val="0"/>
      <w:divBdr>
        <w:top w:val="none" w:sz="0" w:space="0" w:color="auto"/>
        <w:left w:val="none" w:sz="0" w:space="0" w:color="auto"/>
        <w:bottom w:val="none" w:sz="0" w:space="0" w:color="auto"/>
        <w:right w:val="none" w:sz="0" w:space="0" w:color="auto"/>
      </w:divBdr>
    </w:div>
    <w:div w:id="252052849">
      <w:bodyDiv w:val="1"/>
      <w:marLeft w:val="0"/>
      <w:marRight w:val="0"/>
      <w:marTop w:val="0"/>
      <w:marBottom w:val="0"/>
      <w:divBdr>
        <w:top w:val="none" w:sz="0" w:space="0" w:color="auto"/>
        <w:left w:val="none" w:sz="0" w:space="0" w:color="auto"/>
        <w:bottom w:val="none" w:sz="0" w:space="0" w:color="auto"/>
        <w:right w:val="none" w:sz="0" w:space="0" w:color="auto"/>
      </w:divBdr>
      <w:divsChild>
        <w:div w:id="494960238">
          <w:marLeft w:val="0"/>
          <w:marRight w:val="0"/>
          <w:marTop w:val="0"/>
          <w:marBottom w:val="0"/>
          <w:divBdr>
            <w:top w:val="none" w:sz="0" w:space="0" w:color="auto"/>
            <w:left w:val="none" w:sz="0" w:space="0" w:color="auto"/>
            <w:bottom w:val="none" w:sz="0" w:space="0" w:color="auto"/>
            <w:right w:val="none" w:sz="0" w:space="0" w:color="auto"/>
          </w:divBdr>
          <w:divsChild>
            <w:div w:id="1541934906">
              <w:marLeft w:val="0"/>
              <w:marRight w:val="0"/>
              <w:marTop w:val="0"/>
              <w:marBottom w:val="0"/>
              <w:divBdr>
                <w:top w:val="none" w:sz="0" w:space="0" w:color="auto"/>
                <w:left w:val="none" w:sz="0" w:space="0" w:color="auto"/>
                <w:bottom w:val="none" w:sz="0" w:space="0" w:color="auto"/>
                <w:right w:val="none" w:sz="0" w:space="0" w:color="auto"/>
              </w:divBdr>
              <w:divsChild>
                <w:div w:id="1885822141">
                  <w:marLeft w:val="0"/>
                  <w:marRight w:val="0"/>
                  <w:marTop w:val="0"/>
                  <w:marBottom w:val="0"/>
                  <w:divBdr>
                    <w:top w:val="none" w:sz="0" w:space="0" w:color="auto"/>
                    <w:left w:val="none" w:sz="0" w:space="0" w:color="auto"/>
                    <w:bottom w:val="none" w:sz="0" w:space="0" w:color="auto"/>
                    <w:right w:val="none" w:sz="0" w:space="0" w:color="auto"/>
                  </w:divBdr>
                  <w:divsChild>
                    <w:div w:id="1755859723">
                      <w:marLeft w:val="0"/>
                      <w:marRight w:val="0"/>
                      <w:marTop w:val="0"/>
                      <w:marBottom w:val="0"/>
                      <w:divBdr>
                        <w:top w:val="none" w:sz="0" w:space="0" w:color="auto"/>
                        <w:left w:val="none" w:sz="0" w:space="0" w:color="auto"/>
                        <w:bottom w:val="none" w:sz="0" w:space="0" w:color="auto"/>
                        <w:right w:val="none" w:sz="0" w:space="0" w:color="auto"/>
                      </w:divBdr>
                      <w:divsChild>
                        <w:div w:id="1141842702">
                          <w:marLeft w:val="0"/>
                          <w:marRight w:val="0"/>
                          <w:marTop w:val="0"/>
                          <w:marBottom w:val="0"/>
                          <w:divBdr>
                            <w:top w:val="none" w:sz="0" w:space="0" w:color="auto"/>
                            <w:left w:val="none" w:sz="0" w:space="0" w:color="auto"/>
                            <w:bottom w:val="none" w:sz="0" w:space="0" w:color="auto"/>
                            <w:right w:val="none" w:sz="0" w:space="0" w:color="auto"/>
                          </w:divBdr>
                          <w:divsChild>
                            <w:div w:id="1077898886">
                              <w:marLeft w:val="0"/>
                              <w:marRight w:val="0"/>
                              <w:marTop w:val="0"/>
                              <w:marBottom w:val="0"/>
                              <w:divBdr>
                                <w:top w:val="none" w:sz="0" w:space="0" w:color="auto"/>
                                <w:left w:val="none" w:sz="0" w:space="0" w:color="auto"/>
                                <w:bottom w:val="none" w:sz="0" w:space="0" w:color="auto"/>
                                <w:right w:val="none" w:sz="0" w:space="0" w:color="auto"/>
                              </w:divBdr>
                              <w:divsChild>
                                <w:div w:id="181498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593127">
      <w:bodyDiv w:val="1"/>
      <w:marLeft w:val="0"/>
      <w:marRight w:val="0"/>
      <w:marTop w:val="0"/>
      <w:marBottom w:val="0"/>
      <w:divBdr>
        <w:top w:val="none" w:sz="0" w:space="0" w:color="auto"/>
        <w:left w:val="none" w:sz="0" w:space="0" w:color="auto"/>
        <w:bottom w:val="none" w:sz="0" w:space="0" w:color="auto"/>
        <w:right w:val="none" w:sz="0" w:space="0" w:color="auto"/>
      </w:divBdr>
    </w:div>
    <w:div w:id="290133766">
      <w:bodyDiv w:val="1"/>
      <w:marLeft w:val="0"/>
      <w:marRight w:val="0"/>
      <w:marTop w:val="0"/>
      <w:marBottom w:val="0"/>
      <w:divBdr>
        <w:top w:val="none" w:sz="0" w:space="0" w:color="auto"/>
        <w:left w:val="none" w:sz="0" w:space="0" w:color="auto"/>
        <w:bottom w:val="none" w:sz="0" w:space="0" w:color="auto"/>
        <w:right w:val="none" w:sz="0" w:space="0" w:color="auto"/>
      </w:divBdr>
    </w:div>
    <w:div w:id="298196714">
      <w:bodyDiv w:val="1"/>
      <w:marLeft w:val="0"/>
      <w:marRight w:val="0"/>
      <w:marTop w:val="0"/>
      <w:marBottom w:val="0"/>
      <w:divBdr>
        <w:top w:val="none" w:sz="0" w:space="0" w:color="auto"/>
        <w:left w:val="none" w:sz="0" w:space="0" w:color="auto"/>
        <w:bottom w:val="none" w:sz="0" w:space="0" w:color="auto"/>
        <w:right w:val="none" w:sz="0" w:space="0" w:color="auto"/>
      </w:divBdr>
    </w:div>
    <w:div w:id="300883899">
      <w:bodyDiv w:val="1"/>
      <w:marLeft w:val="0"/>
      <w:marRight w:val="0"/>
      <w:marTop w:val="0"/>
      <w:marBottom w:val="0"/>
      <w:divBdr>
        <w:top w:val="none" w:sz="0" w:space="0" w:color="auto"/>
        <w:left w:val="none" w:sz="0" w:space="0" w:color="auto"/>
        <w:bottom w:val="none" w:sz="0" w:space="0" w:color="auto"/>
        <w:right w:val="none" w:sz="0" w:space="0" w:color="auto"/>
      </w:divBdr>
    </w:div>
    <w:div w:id="312372942">
      <w:bodyDiv w:val="1"/>
      <w:marLeft w:val="0"/>
      <w:marRight w:val="0"/>
      <w:marTop w:val="0"/>
      <w:marBottom w:val="0"/>
      <w:divBdr>
        <w:top w:val="none" w:sz="0" w:space="0" w:color="auto"/>
        <w:left w:val="none" w:sz="0" w:space="0" w:color="auto"/>
        <w:bottom w:val="none" w:sz="0" w:space="0" w:color="auto"/>
        <w:right w:val="none" w:sz="0" w:space="0" w:color="auto"/>
      </w:divBdr>
    </w:div>
    <w:div w:id="322658375">
      <w:bodyDiv w:val="1"/>
      <w:marLeft w:val="0"/>
      <w:marRight w:val="0"/>
      <w:marTop w:val="0"/>
      <w:marBottom w:val="0"/>
      <w:divBdr>
        <w:top w:val="none" w:sz="0" w:space="0" w:color="auto"/>
        <w:left w:val="none" w:sz="0" w:space="0" w:color="auto"/>
        <w:bottom w:val="none" w:sz="0" w:space="0" w:color="auto"/>
        <w:right w:val="none" w:sz="0" w:space="0" w:color="auto"/>
      </w:divBdr>
    </w:div>
    <w:div w:id="326322333">
      <w:bodyDiv w:val="1"/>
      <w:marLeft w:val="0"/>
      <w:marRight w:val="0"/>
      <w:marTop w:val="0"/>
      <w:marBottom w:val="0"/>
      <w:divBdr>
        <w:top w:val="none" w:sz="0" w:space="0" w:color="auto"/>
        <w:left w:val="none" w:sz="0" w:space="0" w:color="auto"/>
        <w:bottom w:val="none" w:sz="0" w:space="0" w:color="auto"/>
        <w:right w:val="none" w:sz="0" w:space="0" w:color="auto"/>
      </w:divBdr>
    </w:div>
    <w:div w:id="334771391">
      <w:bodyDiv w:val="1"/>
      <w:marLeft w:val="0"/>
      <w:marRight w:val="0"/>
      <w:marTop w:val="0"/>
      <w:marBottom w:val="0"/>
      <w:divBdr>
        <w:top w:val="none" w:sz="0" w:space="0" w:color="auto"/>
        <w:left w:val="none" w:sz="0" w:space="0" w:color="auto"/>
        <w:bottom w:val="none" w:sz="0" w:space="0" w:color="auto"/>
        <w:right w:val="none" w:sz="0" w:space="0" w:color="auto"/>
      </w:divBdr>
    </w:div>
    <w:div w:id="343702509">
      <w:bodyDiv w:val="1"/>
      <w:marLeft w:val="0"/>
      <w:marRight w:val="0"/>
      <w:marTop w:val="0"/>
      <w:marBottom w:val="0"/>
      <w:divBdr>
        <w:top w:val="none" w:sz="0" w:space="0" w:color="auto"/>
        <w:left w:val="none" w:sz="0" w:space="0" w:color="auto"/>
        <w:bottom w:val="none" w:sz="0" w:space="0" w:color="auto"/>
        <w:right w:val="none" w:sz="0" w:space="0" w:color="auto"/>
      </w:divBdr>
    </w:div>
    <w:div w:id="343751939">
      <w:bodyDiv w:val="1"/>
      <w:marLeft w:val="0"/>
      <w:marRight w:val="0"/>
      <w:marTop w:val="0"/>
      <w:marBottom w:val="0"/>
      <w:divBdr>
        <w:top w:val="none" w:sz="0" w:space="0" w:color="auto"/>
        <w:left w:val="none" w:sz="0" w:space="0" w:color="auto"/>
        <w:bottom w:val="none" w:sz="0" w:space="0" w:color="auto"/>
        <w:right w:val="none" w:sz="0" w:space="0" w:color="auto"/>
      </w:divBdr>
    </w:div>
    <w:div w:id="369116442">
      <w:bodyDiv w:val="1"/>
      <w:marLeft w:val="0"/>
      <w:marRight w:val="0"/>
      <w:marTop w:val="0"/>
      <w:marBottom w:val="0"/>
      <w:divBdr>
        <w:top w:val="none" w:sz="0" w:space="0" w:color="auto"/>
        <w:left w:val="none" w:sz="0" w:space="0" w:color="auto"/>
        <w:bottom w:val="none" w:sz="0" w:space="0" w:color="auto"/>
        <w:right w:val="none" w:sz="0" w:space="0" w:color="auto"/>
      </w:divBdr>
    </w:div>
    <w:div w:id="369499014">
      <w:bodyDiv w:val="1"/>
      <w:marLeft w:val="0"/>
      <w:marRight w:val="0"/>
      <w:marTop w:val="0"/>
      <w:marBottom w:val="0"/>
      <w:divBdr>
        <w:top w:val="none" w:sz="0" w:space="0" w:color="auto"/>
        <w:left w:val="none" w:sz="0" w:space="0" w:color="auto"/>
        <w:bottom w:val="none" w:sz="0" w:space="0" w:color="auto"/>
        <w:right w:val="none" w:sz="0" w:space="0" w:color="auto"/>
      </w:divBdr>
    </w:div>
    <w:div w:id="410931013">
      <w:bodyDiv w:val="1"/>
      <w:marLeft w:val="0"/>
      <w:marRight w:val="0"/>
      <w:marTop w:val="0"/>
      <w:marBottom w:val="0"/>
      <w:divBdr>
        <w:top w:val="none" w:sz="0" w:space="0" w:color="auto"/>
        <w:left w:val="none" w:sz="0" w:space="0" w:color="auto"/>
        <w:bottom w:val="none" w:sz="0" w:space="0" w:color="auto"/>
        <w:right w:val="none" w:sz="0" w:space="0" w:color="auto"/>
      </w:divBdr>
    </w:div>
    <w:div w:id="411585264">
      <w:bodyDiv w:val="1"/>
      <w:marLeft w:val="0"/>
      <w:marRight w:val="0"/>
      <w:marTop w:val="0"/>
      <w:marBottom w:val="0"/>
      <w:divBdr>
        <w:top w:val="none" w:sz="0" w:space="0" w:color="auto"/>
        <w:left w:val="none" w:sz="0" w:space="0" w:color="auto"/>
        <w:bottom w:val="none" w:sz="0" w:space="0" w:color="auto"/>
        <w:right w:val="none" w:sz="0" w:space="0" w:color="auto"/>
      </w:divBdr>
    </w:div>
    <w:div w:id="415370874">
      <w:bodyDiv w:val="1"/>
      <w:marLeft w:val="0"/>
      <w:marRight w:val="0"/>
      <w:marTop w:val="0"/>
      <w:marBottom w:val="0"/>
      <w:divBdr>
        <w:top w:val="none" w:sz="0" w:space="0" w:color="auto"/>
        <w:left w:val="none" w:sz="0" w:space="0" w:color="auto"/>
        <w:bottom w:val="none" w:sz="0" w:space="0" w:color="auto"/>
        <w:right w:val="none" w:sz="0" w:space="0" w:color="auto"/>
      </w:divBdr>
    </w:div>
    <w:div w:id="468401091">
      <w:bodyDiv w:val="1"/>
      <w:marLeft w:val="0"/>
      <w:marRight w:val="0"/>
      <w:marTop w:val="0"/>
      <w:marBottom w:val="0"/>
      <w:divBdr>
        <w:top w:val="none" w:sz="0" w:space="0" w:color="auto"/>
        <w:left w:val="none" w:sz="0" w:space="0" w:color="auto"/>
        <w:bottom w:val="none" w:sz="0" w:space="0" w:color="auto"/>
        <w:right w:val="none" w:sz="0" w:space="0" w:color="auto"/>
      </w:divBdr>
    </w:div>
    <w:div w:id="501631459">
      <w:bodyDiv w:val="1"/>
      <w:marLeft w:val="0"/>
      <w:marRight w:val="0"/>
      <w:marTop w:val="0"/>
      <w:marBottom w:val="0"/>
      <w:divBdr>
        <w:top w:val="none" w:sz="0" w:space="0" w:color="auto"/>
        <w:left w:val="none" w:sz="0" w:space="0" w:color="auto"/>
        <w:bottom w:val="none" w:sz="0" w:space="0" w:color="auto"/>
        <w:right w:val="none" w:sz="0" w:space="0" w:color="auto"/>
      </w:divBdr>
    </w:div>
    <w:div w:id="503861064">
      <w:bodyDiv w:val="1"/>
      <w:marLeft w:val="0"/>
      <w:marRight w:val="0"/>
      <w:marTop w:val="0"/>
      <w:marBottom w:val="0"/>
      <w:divBdr>
        <w:top w:val="none" w:sz="0" w:space="0" w:color="auto"/>
        <w:left w:val="none" w:sz="0" w:space="0" w:color="auto"/>
        <w:bottom w:val="none" w:sz="0" w:space="0" w:color="auto"/>
        <w:right w:val="none" w:sz="0" w:space="0" w:color="auto"/>
      </w:divBdr>
    </w:div>
    <w:div w:id="529103251">
      <w:bodyDiv w:val="1"/>
      <w:marLeft w:val="0"/>
      <w:marRight w:val="0"/>
      <w:marTop w:val="0"/>
      <w:marBottom w:val="0"/>
      <w:divBdr>
        <w:top w:val="none" w:sz="0" w:space="0" w:color="auto"/>
        <w:left w:val="none" w:sz="0" w:space="0" w:color="auto"/>
        <w:bottom w:val="none" w:sz="0" w:space="0" w:color="auto"/>
        <w:right w:val="none" w:sz="0" w:space="0" w:color="auto"/>
      </w:divBdr>
    </w:div>
    <w:div w:id="532423249">
      <w:bodyDiv w:val="1"/>
      <w:marLeft w:val="0"/>
      <w:marRight w:val="0"/>
      <w:marTop w:val="0"/>
      <w:marBottom w:val="0"/>
      <w:divBdr>
        <w:top w:val="none" w:sz="0" w:space="0" w:color="auto"/>
        <w:left w:val="none" w:sz="0" w:space="0" w:color="auto"/>
        <w:bottom w:val="none" w:sz="0" w:space="0" w:color="auto"/>
        <w:right w:val="none" w:sz="0" w:space="0" w:color="auto"/>
      </w:divBdr>
    </w:div>
    <w:div w:id="542444019">
      <w:bodyDiv w:val="1"/>
      <w:marLeft w:val="0"/>
      <w:marRight w:val="0"/>
      <w:marTop w:val="0"/>
      <w:marBottom w:val="0"/>
      <w:divBdr>
        <w:top w:val="none" w:sz="0" w:space="0" w:color="auto"/>
        <w:left w:val="none" w:sz="0" w:space="0" w:color="auto"/>
        <w:bottom w:val="none" w:sz="0" w:space="0" w:color="auto"/>
        <w:right w:val="none" w:sz="0" w:space="0" w:color="auto"/>
      </w:divBdr>
    </w:div>
    <w:div w:id="543173839">
      <w:bodyDiv w:val="1"/>
      <w:marLeft w:val="0"/>
      <w:marRight w:val="0"/>
      <w:marTop w:val="0"/>
      <w:marBottom w:val="0"/>
      <w:divBdr>
        <w:top w:val="none" w:sz="0" w:space="0" w:color="auto"/>
        <w:left w:val="none" w:sz="0" w:space="0" w:color="auto"/>
        <w:bottom w:val="none" w:sz="0" w:space="0" w:color="auto"/>
        <w:right w:val="none" w:sz="0" w:space="0" w:color="auto"/>
      </w:divBdr>
    </w:div>
    <w:div w:id="576788158">
      <w:bodyDiv w:val="1"/>
      <w:marLeft w:val="0"/>
      <w:marRight w:val="0"/>
      <w:marTop w:val="0"/>
      <w:marBottom w:val="0"/>
      <w:divBdr>
        <w:top w:val="none" w:sz="0" w:space="0" w:color="auto"/>
        <w:left w:val="none" w:sz="0" w:space="0" w:color="auto"/>
        <w:bottom w:val="none" w:sz="0" w:space="0" w:color="auto"/>
        <w:right w:val="none" w:sz="0" w:space="0" w:color="auto"/>
      </w:divBdr>
    </w:div>
    <w:div w:id="582953887">
      <w:bodyDiv w:val="1"/>
      <w:marLeft w:val="0"/>
      <w:marRight w:val="0"/>
      <w:marTop w:val="0"/>
      <w:marBottom w:val="0"/>
      <w:divBdr>
        <w:top w:val="none" w:sz="0" w:space="0" w:color="auto"/>
        <w:left w:val="none" w:sz="0" w:space="0" w:color="auto"/>
        <w:bottom w:val="none" w:sz="0" w:space="0" w:color="auto"/>
        <w:right w:val="none" w:sz="0" w:space="0" w:color="auto"/>
      </w:divBdr>
    </w:div>
    <w:div w:id="592738094">
      <w:bodyDiv w:val="1"/>
      <w:marLeft w:val="0"/>
      <w:marRight w:val="0"/>
      <w:marTop w:val="0"/>
      <w:marBottom w:val="0"/>
      <w:divBdr>
        <w:top w:val="none" w:sz="0" w:space="0" w:color="auto"/>
        <w:left w:val="none" w:sz="0" w:space="0" w:color="auto"/>
        <w:bottom w:val="none" w:sz="0" w:space="0" w:color="auto"/>
        <w:right w:val="none" w:sz="0" w:space="0" w:color="auto"/>
      </w:divBdr>
    </w:div>
    <w:div w:id="594442475">
      <w:bodyDiv w:val="1"/>
      <w:marLeft w:val="0"/>
      <w:marRight w:val="0"/>
      <w:marTop w:val="0"/>
      <w:marBottom w:val="0"/>
      <w:divBdr>
        <w:top w:val="none" w:sz="0" w:space="0" w:color="auto"/>
        <w:left w:val="none" w:sz="0" w:space="0" w:color="auto"/>
        <w:bottom w:val="none" w:sz="0" w:space="0" w:color="auto"/>
        <w:right w:val="none" w:sz="0" w:space="0" w:color="auto"/>
      </w:divBdr>
    </w:div>
    <w:div w:id="629097598">
      <w:bodyDiv w:val="1"/>
      <w:marLeft w:val="0"/>
      <w:marRight w:val="0"/>
      <w:marTop w:val="0"/>
      <w:marBottom w:val="0"/>
      <w:divBdr>
        <w:top w:val="none" w:sz="0" w:space="0" w:color="auto"/>
        <w:left w:val="none" w:sz="0" w:space="0" w:color="auto"/>
        <w:bottom w:val="none" w:sz="0" w:space="0" w:color="auto"/>
        <w:right w:val="none" w:sz="0" w:space="0" w:color="auto"/>
      </w:divBdr>
    </w:div>
    <w:div w:id="635574355">
      <w:bodyDiv w:val="1"/>
      <w:marLeft w:val="0"/>
      <w:marRight w:val="0"/>
      <w:marTop w:val="0"/>
      <w:marBottom w:val="0"/>
      <w:divBdr>
        <w:top w:val="none" w:sz="0" w:space="0" w:color="auto"/>
        <w:left w:val="none" w:sz="0" w:space="0" w:color="auto"/>
        <w:bottom w:val="none" w:sz="0" w:space="0" w:color="auto"/>
        <w:right w:val="none" w:sz="0" w:space="0" w:color="auto"/>
      </w:divBdr>
    </w:div>
    <w:div w:id="645739639">
      <w:bodyDiv w:val="1"/>
      <w:marLeft w:val="0"/>
      <w:marRight w:val="0"/>
      <w:marTop w:val="0"/>
      <w:marBottom w:val="0"/>
      <w:divBdr>
        <w:top w:val="none" w:sz="0" w:space="0" w:color="auto"/>
        <w:left w:val="none" w:sz="0" w:space="0" w:color="auto"/>
        <w:bottom w:val="none" w:sz="0" w:space="0" w:color="auto"/>
        <w:right w:val="none" w:sz="0" w:space="0" w:color="auto"/>
      </w:divBdr>
    </w:div>
    <w:div w:id="649362857">
      <w:bodyDiv w:val="1"/>
      <w:marLeft w:val="0"/>
      <w:marRight w:val="0"/>
      <w:marTop w:val="0"/>
      <w:marBottom w:val="0"/>
      <w:divBdr>
        <w:top w:val="none" w:sz="0" w:space="0" w:color="auto"/>
        <w:left w:val="none" w:sz="0" w:space="0" w:color="auto"/>
        <w:bottom w:val="none" w:sz="0" w:space="0" w:color="auto"/>
        <w:right w:val="none" w:sz="0" w:space="0" w:color="auto"/>
      </w:divBdr>
    </w:div>
    <w:div w:id="654070987">
      <w:bodyDiv w:val="1"/>
      <w:marLeft w:val="0"/>
      <w:marRight w:val="0"/>
      <w:marTop w:val="0"/>
      <w:marBottom w:val="0"/>
      <w:divBdr>
        <w:top w:val="none" w:sz="0" w:space="0" w:color="auto"/>
        <w:left w:val="none" w:sz="0" w:space="0" w:color="auto"/>
        <w:bottom w:val="none" w:sz="0" w:space="0" w:color="auto"/>
        <w:right w:val="none" w:sz="0" w:space="0" w:color="auto"/>
      </w:divBdr>
    </w:div>
    <w:div w:id="659776224">
      <w:bodyDiv w:val="1"/>
      <w:marLeft w:val="0"/>
      <w:marRight w:val="0"/>
      <w:marTop w:val="0"/>
      <w:marBottom w:val="0"/>
      <w:divBdr>
        <w:top w:val="none" w:sz="0" w:space="0" w:color="auto"/>
        <w:left w:val="none" w:sz="0" w:space="0" w:color="auto"/>
        <w:bottom w:val="none" w:sz="0" w:space="0" w:color="auto"/>
        <w:right w:val="none" w:sz="0" w:space="0" w:color="auto"/>
      </w:divBdr>
    </w:div>
    <w:div w:id="662245666">
      <w:bodyDiv w:val="1"/>
      <w:marLeft w:val="0"/>
      <w:marRight w:val="0"/>
      <w:marTop w:val="0"/>
      <w:marBottom w:val="0"/>
      <w:divBdr>
        <w:top w:val="none" w:sz="0" w:space="0" w:color="auto"/>
        <w:left w:val="none" w:sz="0" w:space="0" w:color="auto"/>
        <w:bottom w:val="none" w:sz="0" w:space="0" w:color="auto"/>
        <w:right w:val="none" w:sz="0" w:space="0" w:color="auto"/>
      </w:divBdr>
    </w:div>
    <w:div w:id="675184227">
      <w:bodyDiv w:val="1"/>
      <w:marLeft w:val="0"/>
      <w:marRight w:val="0"/>
      <w:marTop w:val="0"/>
      <w:marBottom w:val="0"/>
      <w:divBdr>
        <w:top w:val="none" w:sz="0" w:space="0" w:color="auto"/>
        <w:left w:val="none" w:sz="0" w:space="0" w:color="auto"/>
        <w:bottom w:val="none" w:sz="0" w:space="0" w:color="auto"/>
        <w:right w:val="none" w:sz="0" w:space="0" w:color="auto"/>
      </w:divBdr>
    </w:div>
    <w:div w:id="720127981">
      <w:bodyDiv w:val="1"/>
      <w:marLeft w:val="0"/>
      <w:marRight w:val="0"/>
      <w:marTop w:val="0"/>
      <w:marBottom w:val="0"/>
      <w:divBdr>
        <w:top w:val="none" w:sz="0" w:space="0" w:color="auto"/>
        <w:left w:val="none" w:sz="0" w:space="0" w:color="auto"/>
        <w:bottom w:val="none" w:sz="0" w:space="0" w:color="auto"/>
        <w:right w:val="none" w:sz="0" w:space="0" w:color="auto"/>
      </w:divBdr>
    </w:div>
    <w:div w:id="722945350">
      <w:bodyDiv w:val="1"/>
      <w:marLeft w:val="0"/>
      <w:marRight w:val="0"/>
      <w:marTop w:val="0"/>
      <w:marBottom w:val="0"/>
      <w:divBdr>
        <w:top w:val="none" w:sz="0" w:space="0" w:color="auto"/>
        <w:left w:val="none" w:sz="0" w:space="0" w:color="auto"/>
        <w:bottom w:val="none" w:sz="0" w:space="0" w:color="auto"/>
        <w:right w:val="none" w:sz="0" w:space="0" w:color="auto"/>
      </w:divBdr>
    </w:div>
    <w:div w:id="725302355">
      <w:bodyDiv w:val="1"/>
      <w:marLeft w:val="0"/>
      <w:marRight w:val="0"/>
      <w:marTop w:val="0"/>
      <w:marBottom w:val="0"/>
      <w:divBdr>
        <w:top w:val="none" w:sz="0" w:space="0" w:color="auto"/>
        <w:left w:val="none" w:sz="0" w:space="0" w:color="auto"/>
        <w:bottom w:val="none" w:sz="0" w:space="0" w:color="auto"/>
        <w:right w:val="none" w:sz="0" w:space="0" w:color="auto"/>
      </w:divBdr>
    </w:div>
    <w:div w:id="733891328">
      <w:bodyDiv w:val="1"/>
      <w:marLeft w:val="0"/>
      <w:marRight w:val="0"/>
      <w:marTop w:val="0"/>
      <w:marBottom w:val="0"/>
      <w:divBdr>
        <w:top w:val="none" w:sz="0" w:space="0" w:color="auto"/>
        <w:left w:val="none" w:sz="0" w:space="0" w:color="auto"/>
        <w:bottom w:val="none" w:sz="0" w:space="0" w:color="auto"/>
        <w:right w:val="none" w:sz="0" w:space="0" w:color="auto"/>
      </w:divBdr>
    </w:div>
    <w:div w:id="748845926">
      <w:bodyDiv w:val="1"/>
      <w:marLeft w:val="0"/>
      <w:marRight w:val="0"/>
      <w:marTop w:val="0"/>
      <w:marBottom w:val="0"/>
      <w:divBdr>
        <w:top w:val="none" w:sz="0" w:space="0" w:color="auto"/>
        <w:left w:val="none" w:sz="0" w:space="0" w:color="auto"/>
        <w:bottom w:val="none" w:sz="0" w:space="0" w:color="auto"/>
        <w:right w:val="none" w:sz="0" w:space="0" w:color="auto"/>
      </w:divBdr>
    </w:div>
    <w:div w:id="762646871">
      <w:bodyDiv w:val="1"/>
      <w:marLeft w:val="0"/>
      <w:marRight w:val="0"/>
      <w:marTop w:val="0"/>
      <w:marBottom w:val="0"/>
      <w:divBdr>
        <w:top w:val="none" w:sz="0" w:space="0" w:color="auto"/>
        <w:left w:val="none" w:sz="0" w:space="0" w:color="auto"/>
        <w:bottom w:val="none" w:sz="0" w:space="0" w:color="auto"/>
        <w:right w:val="none" w:sz="0" w:space="0" w:color="auto"/>
      </w:divBdr>
    </w:div>
    <w:div w:id="775371799">
      <w:bodyDiv w:val="1"/>
      <w:marLeft w:val="0"/>
      <w:marRight w:val="0"/>
      <w:marTop w:val="0"/>
      <w:marBottom w:val="0"/>
      <w:divBdr>
        <w:top w:val="none" w:sz="0" w:space="0" w:color="auto"/>
        <w:left w:val="none" w:sz="0" w:space="0" w:color="auto"/>
        <w:bottom w:val="none" w:sz="0" w:space="0" w:color="auto"/>
        <w:right w:val="none" w:sz="0" w:space="0" w:color="auto"/>
      </w:divBdr>
    </w:div>
    <w:div w:id="812602475">
      <w:bodyDiv w:val="1"/>
      <w:marLeft w:val="0"/>
      <w:marRight w:val="0"/>
      <w:marTop w:val="0"/>
      <w:marBottom w:val="0"/>
      <w:divBdr>
        <w:top w:val="none" w:sz="0" w:space="0" w:color="auto"/>
        <w:left w:val="none" w:sz="0" w:space="0" w:color="auto"/>
        <w:bottom w:val="none" w:sz="0" w:space="0" w:color="auto"/>
        <w:right w:val="none" w:sz="0" w:space="0" w:color="auto"/>
      </w:divBdr>
    </w:div>
    <w:div w:id="813372511">
      <w:bodyDiv w:val="1"/>
      <w:marLeft w:val="0"/>
      <w:marRight w:val="0"/>
      <w:marTop w:val="0"/>
      <w:marBottom w:val="0"/>
      <w:divBdr>
        <w:top w:val="none" w:sz="0" w:space="0" w:color="auto"/>
        <w:left w:val="none" w:sz="0" w:space="0" w:color="auto"/>
        <w:bottom w:val="none" w:sz="0" w:space="0" w:color="auto"/>
        <w:right w:val="none" w:sz="0" w:space="0" w:color="auto"/>
      </w:divBdr>
    </w:div>
    <w:div w:id="814025324">
      <w:bodyDiv w:val="1"/>
      <w:marLeft w:val="0"/>
      <w:marRight w:val="0"/>
      <w:marTop w:val="0"/>
      <w:marBottom w:val="0"/>
      <w:divBdr>
        <w:top w:val="none" w:sz="0" w:space="0" w:color="auto"/>
        <w:left w:val="none" w:sz="0" w:space="0" w:color="auto"/>
        <w:bottom w:val="none" w:sz="0" w:space="0" w:color="auto"/>
        <w:right w:val="none" w:sz="0" w:space="0" w:color="auto"/>
      </w:divBdr>
    </w:div>
    <w:div w:id="828209612">
      <w:bodyDiv w:val="1"/>
      <w:marLeft w:val="0"/>
      <w:marRight w:val="0"/>
      <w:marTop w:val="0"/>
      <w:marBottom w:val="0"/>
      <w:divBdr>
        <w:top w:val="none" w:sz="0" w:space="0" w:color="auto"/>
        <w:left w:val="none" w:sz="0" w:space="0" w:color="auto"/>
        <w:bottom w:val="none" w:sz="0" w:space="0" w:color="auto"/>
        <w:right w:val="none" w:sz="0" w:space="0" w:color="auto"/>
      </w:divBdr>
    </w:div>
    <w:div w:id="865825533">
      <w:bodyDiv w:val="1"/>
      <w:marLeft w:val="0"/>
      <w:marRight w:val="0"/>
      <w:marTop w:val="0"/>
      <w:marBottom w:val="0"/>
      <w:divBdr>
        <w:top w:val="none" w:sz="0" w:space="0" w:color="auto"/>
        <w:left w:val="none" w:sz="0" w:space="0" w:color="auto"/>
        <w:bottom w:val="none" w:sz="0" w:space="0" w:color="auto"/>
        <w:right w:val="none" w:sz="0" w:space="0" w:color="auto"/>
      </w:divBdr>
    </w:div>
    <w:div w:id="887112526">
      <w:bodyDiv w:val="1"/>
      <w:marLeft w:val="0"/>
      <w:marRight w:val="0"/>
      <w:marTop w:val="0"/>
      <w:marBottom w:val="0"/>
      <w:divBdr>
        <w:top w:val="none" w:sz="0" w:space="0" w:color="auto"/>
        <w:left w:val="none" w:sz="0" w:space="0" w:color="auto"/>
        <w:bottom w:val="none" w:sz="0" w:space="0" w:color="auto"/>
        <w:right w:val="none" w:sz="0" w:space="0" w:color="auto"/>
      </w:divBdr>
    </w:div>
    <w:div w:id="887688290">
      <w:bodyDiv w:val="1"/>
      <w:marLeft w:val="0"/>
      <w:marRight w:val="0"/>
      <w:marTop w:val="0"/>
      <w:marBottom w:val="0"/>
      <w:divBdr>
        <w:top w:val="none" w:sz="0" w:space="0" w:color="auto"/>
        <w:left w:val="none" w:sz="0" w:space="0" w:color="auto"/>
        <w:bottom w:val="none" w:sz="0" w:space="0" w:color="auto"/>
        <w:right w:val="none" w:sz="0" w:space="0" w:color="auto"/>
      </w:divBdr>
    </w:div>
    <w:div w:id="888607569">
      <w:bodyDiv w:val="1"/>
      <w:marLeft w:val="0"/>
      <w:marRight w:val="0"/>
      <w:marTop w:val="0"/>
      <w:marBottom w:val="0"/>
      <w:divBdr>
        <w:top w:val="none" w:sz="0" w:space="0" w:color="auto"/>
        <w:left w:val="none" w:sz="0" w:space="0" w:color="auto"/>
        <w:bottom w:val="none" w:sz="0" w:space="0" w:color="auto"/>
        <w:right w:val="none" w:sz="0" w:space="0" w:color="auto"/>
      </w:divBdr>
    </w:div>
    <w:div w:id="899756077">
      <w:bodyDiv w:val="1"/>
      <w:marLeft w:val="0"/>
      <w:marRight w:val="0"/>
      <w:marTop w:val="0"/>
      <w:marBottom w:val="0"/>
      <w:divBdr>
        <w:top w:val="none" w:sz="0" w:space="0" w:color="auto"/>
        <w:left w:val="none" w:sz="0" w:space="0" w:color="auto"/>
        <w:bottom w:val="none" w:sz="0" w:space="0" w:color="auto"/>
        <w:right w:val="none" w:sz="0" w:space="0" w:color="auto"/>
      </w:divBdr>
    </w:div>
    <w:div w:id="912741550">
      <w:bodyDiv w:val="1"/>
      <w:marLeft w:val="0"/>
      <w:marRight w:val="0"/>
      <w:marTop w:val="0"/>
      <w:marBottom w:val="0"/>
      <w:divBdr>
        <w:top w:val="none" w:sz="0" w:space="0" w:color="auto"/>
        <w:left w:val="none" w:sz="0" w:space="0" w:color="auto"/>
        <w:bottom w:val="none" w:sz="0" w:space="0" w:color="auto"/>
        <w:right w:val="none" w:sz="0" w:space="0" w:color="auto"/>
      </w:divBdr>
    </w:div>
    <w:div w:id="914162959">
      <w:bodyDiv w:val="1"/>
      <w:marLeft w:val="0"/>
      <w:marRight w:val="0"/>
      <w:marTop w:val="0"/>
      <w:marBottom w:val="0"/>
      <w:divBdr>
        <w:top w:val="none" w:sz="0" w:space="0" w:color="auto"/>
        <w:left w:val="none" w:sz="0" w:space="0" w:color="auto"/>
        <w:bottom w:val="none" w:sz="0" w:space="0" w:color="auto"/>
        <w:right w:val="none" w:sz="0" w:space="0" w:color="auto"/>
      </w:divBdr>
    </w:div>
    <w:div w:id="914507245">
      <w:bodyDiv w:val="1"/>
      <w:marLeft w:val="0"/>
      <w:marRight w:val="0"/>
      <w:marTop w:val="0"/>
      <w:marBottom w:val="0"/>
      <w:divBdr>
        <w:top w:val="none" w:sz="0" w:space="0" w:color="auto"/>
        <w:left w:val="none" w:sz="0" w:space="0" w:color="auto"/>
        <w:bottom w:val="none" w:sz="0" w:space="0" w:color="auto"/>
        <w:right w:val="none" w:sz="0" w:space="0" w:color="auto"/>
      </w:divBdr>
    </w:div>
    <w:div w:id="930237265">
      <w:bodyDiv w:val="1"/>
      <w:marLeft w:val="0"/>
      <w:marRight w:val="0"/>
      <w:marTop w:val="0"/>
      <w:marBottom w:val="0"/>
      <w:divBdr>
        <w:top w:val="none" w:sz="0" w:space="0" w:color="auto"/>
        <w:left w:val="none" w:sz="0" w:space="0" w:color="auto"/>
        <w:bottom w:val="none" w:sz="0" w:space="0" w:color="auto"/>
        <w:right w:val="none" w:sz="0" w:space="0" w:color="auto"/>
      </w:divBdr>
    </w:div>
    <w:div w:id="934440320">
      <w:bodyDiv w:val="1"/>
      <w:marLeft w:val="0"/>
      <w:marRight w:val="0"/>
      <w:marTop w:val="0"/>
      <w:marBottom w:val="0"/>
      <w:divBdr>
        <w:top w:val="none" w:sz="0" w:space="0" w:color="auto"/>
        <w:left w:val="none" w:sz="0" w:space="0" w:color="auto"/>
        <w:bottom w:val="none" w:sz="0" w:space="0" w:color="auto"/>
        <w:right w:val="none" w:sz="0" w:space="0" w:color="auto"/>
      </w:divBdr>
    </w:div>
    <w:div w:id="967393350">
      <w:bodyDiv w:val="1"/>
      <w:marLeft w:val="0"/>
      <w:marRight w:val="0"/>
      <w:marTop w:val="0"/>
      <w:marBottom w:val="0"/>
      <w:divBdr>
        <w:top w:val="none" w:sz="0" w:space="0" w:color="auto"/>
        <w:left w:val="none" w:sz="0" w:space="0" w:color="auto"/>
        <w:bottom w:val="none" w:sz="0" w:space="0" w:color="auto"/>
        <w:right w:val="none" w:sz="0" w:space="0" w:color="auto"/>
      </w:divBdr>
    </w:div>
    <w:div w:id="974600991">
      <w:bodyDiv w:val="1"/>
      <w:marLeft w:val="0"/>
      <w:marRight w:val="0"/>
      <w:marTop w:val="0"/>
      <w:marBottom w:val="0"/>
      <w:divBdr>
        <w:top w:val="none" w:sz="0" w:space="0" w:color="auto"/>
        <w:left w:val="none" w:sz="0" w:space="0" w:color="auto"/>
        <w:bottom w:val="none" w:sz="0" w:space="0" w:color="auto"/>
        <w:right w:val="none" w:sz="0" w:space="0" w:color="auto"/>
      </w:divBdr>
      <w:divsChild>
        <w:div w:id="1802846338">
          <w:marLeft w:val="0"/>
          <w:marRight w:val="0"/>
          <w:marTop w:val="0"/>
          <w:marBottom w:val="0"/>
          <w:divBdr>
            <w:top w:val="none" w:sz="0" w:space="0" w:color="auto"/>
            <w:left w:val="none" w:sz="0" w:space="0" w:color="auto"/>
            <w:bottom w:val="none" w:sz="0" w:space="0" w:color="auto"/>
            <w:right w:val="none" w:sz="0" w:space="0" w:color="auto"/>
          </w:divBdr>
          <w:divsChild>
            <w:div w:id="84959779">
              <w:marLeft w:val="0"/>
              <w:marRight w:val="0"/>
              <w:marTop w:val="0"/>
              <w:marBottom w:val="0"/>
              <w:divBdr>
                <w:top w:val="none" w:sz="0" w:space="0" w:color="auto"/>
                <w:left w:val="none" w:sz="0" w:space="0" w:color="auto"/>
                <w:bottom w:val="none" w:sz="0" w:space="0" w:color="auto"/>
                <w:right w:val="none" w:sz="0" w:space="0" w:color="auto"/>
              </w:divBdr>
              <w:divsChild>
                <w:div w:id="13992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6369">
          <w:marLeft w:val="0"/>
          <w:marRight w:val="0"/>
          <w:marTop w:val="0"/>
          <w:marBottom w:val="180"/>
          <w:divBdr>
            <w:top w:val="none" w:sz="0" w:space="0" w:color="auto"/>
            <w:left w:val="none" w:sz="0" w:space="0" w:color="auto"/>
            <w:bottom w:val="none" w:sz="0" w:space="0" w:color="auto"/>
            <w:right w:val="none" w:sz="0" w:space="0" w:color="auto"/>
          </w:divBdr>
          <w:divsChild>
            <w:div w:id="1619608982">
              <w:marLeft w:val="0"/>
              <w:marRight w:val="0"/>
              <w:marTop w:val="0"/>
              <w:marBottom w:val="0"/>
              <w:divBdr>
                <w:top w:val="none" w:sz="0" w:space="0" w:color="auto"/>
                <w:left w:val="none" w:sz="0" w:space="0" w:color="auto"/>
                <w:bottom w:val="none" w:sz="0" w:space="0" w:color="auto"/>
                <w:right w:val="none" w:sz="0" w:space="0" w:color="auto"/>
              </w:divBdr>
            </w:div>
          </w:divsChild>
        </w:div>
        <w:div w:id="820273387">
          <w:marLeft w:val="0"/>
          <w:marRight w:val="0"/>
          <w:marTop w:val="0"/>
          <w:marBottom w:val="0"/>
          <w:divBdr>
            <w:top w:val="none" w:sz="0" w:space="0" w:color="auto"/>
            <w:left w:val="none" w:sz="0" w:space="0" w:color="auto"/>
            <w:bottom w:val="none" w:sz="0" w:space="0" w:color="auto"/>
            <w:right w:val="none" w:sz="0" w:space="0" w:color="auto"/>
          </w:divBdr>
          <w:divsChild>
            <w:div w:id="197935266">
              <w:marLeft w:val="0"/>
              <w:marRight w:val="0"/>
              <w:marTop w:val="0"/>
              <w:marBottom w:val="0"/>
              <w:divBdr>
                <w:top w:val="none" w:sz="0" w:space="0" w:color="auto"/>
                <w:left w:val="none" w:sz="0" w:space="0" w:color="auto"/>
                <w:bottom w:val="none" w:sz="0" w:space="0" w:color="auto"/>
                <w:right w:val="none" w:sz="0" w:space="0" w:color="auto"/>
              </w:divBdr>
            </w:div>
          </w:divsChild>
        </w:div>
        <w:div w:id="360131682">
          <w:marLeft w:val="0"/>
          <w:marRight w:val="0"/>
          <w:marTop w:val="0"/>
          <w:marBottom w:val="0"/>
          <w:divBdr>
            <w:top w:val="none" w:sz="0" w:space="0" w:color="auto"/>
            <w:left w:val="none" w:sz="0" w:space="0" w:color="auto"/>
            <w:bottom w:val="none" w:sz="0" w:space="0" w:color="auto"/>
            <w:right w:val="none" w:sz="0" w:space="0" w:color="auto"/>
          </w:divBdr>
          <w:divsChild>
            <w:div w:id="3436119">
              <w:marLeft w:val="0"/>
              <w:marRight w:val="0"/>
              <w:marTop w:val="0"/>
              <w:marBottom w:val="0"/>
              <w:divBdr>
                <w:top w:val="none" w:sz="0" w:space="0" w:color="auto"/>
                <w:left w:val="none" w:sz="0" w:space="0" w:color="auto"/>
                <w:bottom w:val="none" w:sz="0" w:space="0" w:color="auto"/>
                <w:right w:val="none" w:sz="0" w:space="0" w:color="auto"/>
              </w:divBdr>
              <w:divsChild>
                <w:div w:id="1500386736">
                  <w:marLeft w:val="0"/>
                  <w:marRight w:val="0"/>
                  <w:marTop w:val="0"/>
                  <w:marBottom w:val="0"/>
                  <w:divBdr>
                    <w:top w:val="none" w:sz="0" w:space="0" w:color="auto"/>
                    <w:left w:val="none" w:sz="0" w:space="0" w:color="auto"/>
                    <w:bottom w:val="none" w:sz="0" w:space="0" w:color="auto"/>
                    <w:right w:val="none" w:sz="0" w:space="0" w:color="auto"/>
                  </w:divBdr>
                  <w:divsChild>
                    <w:div w:id="2135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987155">
      <w:bodyDiv w:val="1"/>
      <w:marLeft w:val="0"/>
      <w:marRight w:val="0"/>
      <w:marTop w:val="0"/>
      <w:marBottom w:val="0"/>
      <w:divBdr>
        <w:top w:val="none" w:sz="0" w:space="0" w:color="auto"/>
        <w:left w:val="none" w:sz="0" w:space="0" w:color="auto"/>
        <w:bottom w:val="none" w:sz="0" w:space="0" w:color="auto"/>
        <w:right w:val="none" w:sz="0" w:space="0" w:color="auto"/>
      </w:divBdr>
    </w:div>
    <w:div w:id="1008824404">
      <w:bodyDiv w:val="1"/>
      <w:marLeft w:val="0"/>
      <w:marRight w:val="0"/>
      <w:marTop w:val="0"/>
      <w:marBottom w:val="0"/>
      <w:divBdr>
        <w:top w:val="none" w:sz="0" w:space="0" w:color="auto"/>
        <w:left w:val="none" w:sz="0" w:space="0" w:color="auto"/>
        <w:bottom w:val="none" w:sz="0" w:space="0" w:color="auto"/>
        <w:right w:val="none" w:sz="0" w:space="0" w:color="auto"/>
      </w:divBdr>
    </w:div>
    <w:div w:id="1035732749">
      <w:bodyDiv w:val="1"/>
      <w:marLeft w:val="0"/>
      <w:marRight w:val="0"/>
      <w:marTop w:val="0"/>
      <w:marBottom w:val="0"/>
      <w:divBdr>
        <w:top w:val="none" w:sz="0" w:space="0" w:color="auto"/>
        <w:left w:val="none" w:sz="0" w:space="0" w:color="auto"/>
        <w:bottom w:val="none" w:sz="0" w:space="0" w:color="auto"/>
        <w:right w:val="none" w:sz="0" w:space="0" w:color="auto"/>
      </w:divBdr>
    </w:div>
    <w:div w:id="1040936988">
      <w:bodyDiv w:val="1"/>
      <w:marLeft w:val="0"/>
      <w:marRight w:val="0"/>
      <w:marTop w:val="0"/>
      <w:marBottom w:val="0"/>
      <w:divBdr>
        <w:top w:val="none" w:sz="0" w:space="0" w:color="auto"/>
        <w:left w:val="none" w:sz="0" w:space="0" w:color="auto"/>
        <w:bottom w:val="none" w:sz="0" w:space="0" w:color="auto"/>
        <w:right w:val="none" w:sz="0" w:space="0" w:color="auto"/>
      </w:divBdr>
    </w:div>
    <w:div w:id="1054893366">
      <w:bodyDiv w:val="1"/>
      <w:marLeft w:val="0"/>
      <w:marRight w:val="0"/>
      <w:marTop w:val="0"/>
      <w:marBottom w:val="0"/>
      <w:divBdr>
        <w:top w:val="none" w:sz="0" w:space="0" w:color="auto"/>
        <w:left w:val="none" w:sz="0" w:space="0" w:color="auto"/>
        <w:bottom w:val="none" w:sz="0" w:space="0" w:color="auto"/>
        <w:right w:val="none" w:sz="0" w:space="0" w:color="auto"/>
      </w:divBdr>
    </w:div>
    <w:div w:id="1060056650">
      <w:bodyDiv w:val="1"/>
      <w:marLeft w:val="0"/>
      <w:marRight w:val="0"/>
      <w:marTop w:val="0"/>
      <w:marBottom w:val="0"/>
      <w:divBdr>
        <w:top w:val="none" w:sz="0" w:space="0" w:color="auto"/>
        <w:left w:val="none" w:sz="0" w:space="0" w:color="auto"/>
        <w:bottom w:val="none" w:sz="0" w:space="0" w:color="auto"/>
        <w:right w:val="none" w:sz="0" w:space="0" w:color="auto"/>
      </w:divBdr>
    </w:div>
    <w:div w:id="1064598301">
      <w:bodyDiv w:val="1"/>
      <w:marLeft w:val="0"/>
      <w:marRight w:val="0"/>
      <w:marTop w:val="0"/>
      <w:marBottom w:val="0"/>
      <w:divBdr>
        <w:top w:val="none" w:sz="0" w:space="0" w:color="auto"/>
        <w:left w:val="none" w:sz="0" w:space="0" w:color="auto"/>
        <w:bottom w:val="none" w:sz="0" w:space="0" w:color="auto"/>
        <w:right w:val="none" w:sz="0" w:space="0" w:color="auto"/>
      </w:divBdr>
    </w:div>
    <w:div w:id="1067921232">
      <w:bodyDiv w:val="1"/>
      <w:marLeft w:val="0"/>
      <w:marRight w:val="0"/>
      <w:marTop w:val="0"/>
      <w:marBottom w:val="0"/>
      <w:divBdr>
        <w:top w:val="none" w:sz="0" w:space="0" w:color="auto"/>
        <w:left w:val="none" w:sz="0" w:space="0" w:color="auto"/>
        <w:bottom w:val="none" w:sz="0" w:space="0" w:color="auto"/>
        <w:right w:val="none" w:sz="0" w:space="0" w:color="auto"/>
      </w:divBdr>
    </w:div>
    <w:div w:id="1069114609">
      <w:bodyDiv w:val="1"/>
      <w:marLeft w:val="0"/>
      <w:marRight w:val="0"/>
      <w:marTop w:val="0"/>
      <w:marBottom w:val="0"/>
      <w:divBdr>
        <w:top w:val="none" w:sz="0" w:space="0" w:color="auto"/>
        <w:left w:val="none" w:sz="0" w:space="0" w:color="auto"/>
        <w:bottom w:val="none" w:sz="0" w:space="0" w:color="auto"/>
        <w:right w:val="none" w:sz="0" w:space="0" w:color="auto"/>
      </w:divBdr>
    </w:div>
    <w:div w:id="1076627810">
      <w:bodyDiv w:val="1"/>
      <w:marLeft w:val="0"/>
      <w:marRight w:val="0"/>
      <w:marTop w:val="0"/>
      <w:marBottom w:val="0"/>
      <w:divBdr>
        <w:top w:val="none" w:sz="0" w:space="0" w:color="auto"/>
        <w:left w:val="none" w:sz="0" w:space="0" w:color="auto"/>
        <w:bottom w:val="none" w:sz="0" w:space="0" w:color="auto"/>
        <w:right w:val="none" w:sz="0" w:space="0" w:color="auto"/>
      </w:divBdr>
    </w:div>
    <w:div w:id="1173448258">
      <w:bodyDiv w:val="1"/>
      <w:marLeft w:val="0"/>
      <w:marRight w:val="0"/>
      <w:marTop w:val="0"/>
      <w:marBottom w:val="0"/>
      <w:divBdr>
        <w:top w:val="none" w:sz="0" w:space="0" w:color="auto"/>
        <w:left w:val="none" w:sz="0" w:space="0" w:color="auto"/>
        <w:bottom w:val="none" w:sz="0" w:space="0" w:color="auto"/>
        <w:right w:val="none" w:sz="0" w:space="0" w:color="auto"/>
      </w:divBdr>
    </w:div>
    <w:div w:id="1178619602">
      <w:bodyDiv w:val="1"/>
      <w:marLeft w:val="0"/>
      <w:marRight w:val="0"/>
      <w:marTop w:val="0"/>
      <w:marBottom w:val="0"/>
      <w:divBdr>
        <w:top w:val="none" w:sz="0" w:space="0" w:color="auto"/>
        <w:left w:val="none" w:sz="0" w:space="0" w:color="auto"/>
        <w:bottom w:val="none" w:sz="0" w:space="0" w:color="auto"/>
        <w:right w:val="none" w:sz="0" w:space="0" w:color="auto"/>
      </w:divBdr>
    </w:div>
    <w:div w:id="1196575359">
      <w:bodyDiv w:val="1"/>
      <w:marLeft w:val="0"/>
      <w:marRight w:val="0"/>
      <w:marTop w:val="0"/>
      <w:marBottom w:val="0"/>
      <w:divBdr>
        <w:top w:val="none" w:sz="0" w:space="0" w:color="auto"/>
        <w:left w:val="none" w:sz="0" w:space="0" w:color="auto"/>
        <w:bottom w:val="none" w:sz="0" w:space="0" w:color="auto"/>
        <w:right w:val="none" w:sz="0" w:space="0" w:color="auto"/>
      </w:divBdr>
    </w:div>
    <w:div w:id="1205369229">
      <w:bodyDiv w:val="1"/>
      <w:marLeft w:val="0"/>
      <w:marRight w:val="0"/>
      <w:marTop w:val="0"/>
      <w:marBottom w:val="0"/>
      <w:divBdr>
        <w:top w:val="none" w:sz="0" w:space="0" w:color="auto"/>
        <w:left w:val="none" w:sz="0" w:space="0" w:color="auto"/>
        <w:bottom w:val="none" w:sz="0" w:space="0" w:color="auto"/>
        <w:right w:val="none" w:sz="0" w:space="0" w:color="auto"/>
      </w:divBdr>
    </w:div>
    <w:div w:id="1217089038">
      <w:bodyDiv w:val="1"/>
      <w:marLeft w:val="0"/>
      <w:marRight w:val="0"/>
      <w:marTop w:val="0"/>
      <w:marBottom w:val="0"/>
      <w:divBdr>
        <w:top w:val="none" w:sz="0" w:space="0" w:color="auto"/>
        <w:left w:val="none" w:sz="0" w:space="0" w:color="auto"/>
        <w:bottom w:val="none" w:sz="0" w:space="0" w:color="auto"/>
        <w:right w:val="none" w:sz="0" w:space="0" w:color="auto"/>
      </w:divBdr>
    </w:div>
    <w:div w:id="1221792893">
      <w:bodyDiv w:val="1"/>
      <w:marLeft w:val="0"/>
      <w:marRight w:val="0"/>
      <w:marTop w:val="0"/>
      <w:marBottom w:val="0"/>
      <w:divBdr>
        <w:top w:val="none" w:sz="0" w:space="0" w:color="auto"/>
        <w:left w:val="none" w:sz="0" w:space="0" w:color="auto"/>
        <w:bottom w:val="none" w:sz="0" w:space="0" w:color="auto"/>
        <w:right w:val="none" w:sz="0" w:space="0" w:color="auto"/>
      </w:divBdr>
    </w:div>
    <w:div w:id="1232885621">
      <w:bodyDiv w:val="1"/>
      <w:marLeft w:val="0"/>
      <w:marRight w:val="0"/>
      <w:marTop w:val="0"/>
      <w:marBottom w:val="0"/>
      <w:divBdr>
        <w:top w:val="none" w:sz="0" w:space="0" w:color="auto"/>
        <w:left w:val="none" w:sz="0" w:space="0" w:color="auto"/>
        <w:bottom w:val="none" w:sz="0" w:space="0" w:color="auto"/>
        <w:right w:val="none" w:sz="0" w:space="0" w:color="auto"/>
      </w:divBdr>
    </w:div>
    <w:div w:id="1234193856">
      <w:bodyDiv w:val="1"/>
      <w:marLeft w:val="0"/>
      <w:marRight w:val="0"/>
      <w:marTop w:val="0"/>
      <w:marBottom w:val="0"/>
      <w:divBdr>
        <w:top w:val="none" w:sz="0" w:space="0" w:color="auto"/>
        <w:left w:val="none" w:sz="0" w:space="0" w:color="auto"/>
        <w:bottom w:val="none" w:sz="0" w:space="0" w:color="auto"/>
        <w:right w:val="none" w:sz="0" w:space="0" w:color="auto"/>
      </w:divBdr>
    </w:div>
    <w:div w:id="1250508123">
      <w:bodyDiv w:val="1"/>
      <w:marLeft w:val="0"/>
      <w:marRight w:val="0"/>
      <w:marTop w:val="0"/>
      <w:marBottom w:val="0"/>
      <w:divBdr>
        <w:top w:val="none" w:sz="0" w:space="0" w:color="auto"/>
        <w:left w:val="none" w:sz="0" w:space="0" w:color="auto"/>
        <w:bottom w:val="none" w:sz="0" w:space="0" w:color="auto"/>
        <w:right w:val="none" w:sz="0" w:space="0" w:color="auto"/>
      </w:divBdr>
    </w:div>
    <w:div w:id="1251163482">
      <w:bodyDiv w:val="1"/>
      <w:marLeft w:val="0"/>
      <w:marRight w:val="0"/>
      <w:marTop w:val="0"/>
      <w:marBottom w:val="0"/>
      <w:divBdr>
        <w:top w:val="none" w:sz="0" w:space="0" w:color="auto"/>
        <w:left w:val="none" w:sz="0" w:space="0" w:color="auto"/>
        <w:bottom w:val="none" w:sz="0" w:space="0" w:color="auto"/>
        <w:right w:val="none" w:sz="0" w:space="0" w:color="auto"/>
      </w:divBdr>
    </w:div>
    <w:div w:id="1272012402">
      <w:bodyDiv w:val="1"/>
      <w:marLeft w:val="0"/>
      <w:marRight w:val="0"/>
      <w:marTop w:val="0"/>
      <w:marBottom w:val="0"/>
      <w:divBdr>
        <w:top w:val="none" w:sz="0" w:space="0" w:color="auto"/>
        <w:left w:val="none" w:sz="0" w:space="0" w:color="auto"/>
        <w:bottom w:val="none" w:sz="0" w:space="0" w:color="auto"/>
        <w:right w:val="none" w:sz="0" w:space="0" w:color="auto"/>
      </w:divBdr>
    </w:div>
    <w:div w:id="1289704375">
      <w:bodyDiv w:val="1"/>
      <w:marLeft w:val="0"/>
      <w:marRight w:val="0"/>
      <w:marTop w:val="0"/>
      <w:marBottom w:val="0"/>
      <w:divBdr>
        <w:top w:val="none" w:sz="0" w:space="0" w:color="auto"/>
        <w:left w:val="none" w:sz="0" w:space="0" w:color="auto"/>
        <w:bottom w:val="none" w:sz="0" w:space="0" w:color="auto"/>
        <w:right w:val="none" w:sz="0" w:space="0" w:color="auto"/>
      </w:divBdr>
    </w:div>
    <w:div w:id="1294872356">
      <w:bodyDiv w:val="1"/>
      <w:marLeft w:val="0"/>
      <w:marRight w:val="0"/>
      <w:marTop w:val="0"/>
      <w:marBottom w:val="0"/>
      <w:divBdr>
        <w:top w:val="none" w:sz="0" w:space="0" w:color="auto"/>
        <w:left w:val="none" w:sz="0" w:space="0" w:color="auto"/>
        <w:bottom w:val="none" w:sz="0" w:space="0" w:color="auto"/>
        <w:right w:val="none" w:sz="0" w:space="0" w:color="auto"/>
      </w:divBdr>
    </w:div>
    <w:div w:id="1331837357">
      <w:bodyDiv w:val="1"/>
      <w:marLeft w:val="0"/>
      <w:marRight w:val="0"/>
      <w:marTop w:val="0"/>
      <w:marBottom w:val="0"/>
      <w:divBdr>
        <w:top w:val="none" w:sz="0" w:space="0" w:color="auto"/>
        <w:left w:val="none" w:sz="0" w:space="0" w:color="auto"/>
        <w:bottom w:val="none" w:sz="0" w:space="0" w:color="auto"/>
        <w:right w:val="none" w:sz="0" w:space="0" w:color="auto"/>
      </w:divBdr>
    </w:div>
    <w:div w:id="1341541416">
      <w:bodyDiv w:val="1"/>
      <w:marLeft w:val="0"/>
      <w:marRight w:val="0"/>
      <w:marTop w:val="0"/>
      <w:marBottom w:val="0"/>
      <w:divBdr>
        <w:top w:val="none" w:sz="0" w:space="0" w:color="auto"/>
        <w:left w:val="none" w:sz="0" w:space="0" w:color="auto"/>
        <w:bottom w:val="none" w:sz="0" w:space="0" w:color="auto"/>
        <w:right w:val="none" w:sz="0" w:space="0" w:color="auto"/>
      </w:divBdr>
    </w:div>
    <w:div w:id="1350378607">
      <w:bodyDiv w:val="1"/>
      <w:marLeft w:val="0"/>
      <w:marRight w:val="0"/>
      <w:marTop w:val="0"/>
      <w:marBottom w:val="0"/>
      <w:divBdr>
        <w:top w:val="none" w:sz="0" w:space="0" w:color="auto"/>
        <w:left w:val="none" w:sz="0" w:space="0" w:color="auto"/>
        <w:bottom w:val="none" w:sz="0" w:space="0" w:color="auto"/>
        <w:right w:val="none" w:sz="0" w:space="0" w:color="auto"/>
      </w:divBdr>
    </w:div>
    <w:div w:id="1374769483">
      <w:bodyDiv w:val="1"/>
      <w:marLeft w:val="0"/>
      <w:marRight w:val="0"/>
      <w:marTop w:val="0"/>
      <w:marBottom w:val="0"/>
      <w:divBdr>
        <w:top w:val="none" w:sz="0" w:space="0" w:color="auto"/>
        <w:left w:val="none" w:sz="0" w:space="0" w:color="auto"/>
        <w:bottom w:val="none" w:sz="0" w:space="0" w:color="auto"/>
        <w:right w:val="none" w:sz="0" w:space="0" w:color="auto"/>
      </w:divBdr>
    </w:div>
    <w:div w:id="1382093057">
      <w:bodyDiv w:val="1"/>
      <w:marLeft w:val="0"/>
      <w:marRight w:val="0"/>
      <w:marTop w:val="0"/>
      <w:marBottom w:val="0"/>
      <w:divBdr>
        <w:top w:val="none" w:sz="0" w:space="0" w:color="auto"/>
        <w:left w:val="none" w:sz="0" w:space="0" w:color="auto"/>
        <w:bottom w:val="none" w:sz="0" w:space="0" w:color="auto"/>
        <w:right w:val="none" w:sz="0" w:space="0" w:color="auto"/>
      </w:divBdr>
    </w:div>
    <w:div w:id="1402562266">
      <w:bodyDiv w:val="1"/>
      <w:marLeft w:val="0"/>
      <w:marRight w:val="0"/>
      <w:marTop w:val="0"/>
      <w:marBottom w:val="0"/>
      <w:divBdr>
        <w:top w:val="none" w:sz="0" w:space="0" w:color="auto"/>
        <w:left w:val="none" w:sz="0" w:space="0" w:color="auto"/>
        <w:bottom w:val="none" w:sz="0" w:space="0" w:color="auto"/>
        <w:right w:val="none" w:sz="0" w:space="0" w:color="auto"/>
      </w:divBdr>
    </w:div>
    <w:div w:id="1414739188">
      <w:bodyDiv w:val="1"/>
      <w:marLeft w:val="0"/>
      <w:marRight w:val="0"/>
      <w:marTop w:val="0"/>
      <w:marBottom w:val="0"/>
      <w:divBdr>
        <w:top w:val="none" w:sz="0" w:space="0" w:color="auto"/>
        <w:left w:val="none" w:sz="0" w:space="0" w:color="auto"/>
        <w:bottom w:val="none" w:sz="0" w:space="0" w:color="auto"/>
        <w:right w:val="none" w:sz="0" w:space="0" w:color="auto"/>
      </w:divBdr>
    </w:div>
    <w:div w:id="1419714915">
      <w:bodyDiv w:val="1"/>
      <w:marLeft w:val="0"/>
      <w:marRight w:val="0"/>
      <w:marTop w:val="0"/>
      <w:marBottom w:val="0"/>
      <w:divBdr>
        <w:top w:val="none" w:sz="0" w:space="0" w:color="auto"/>
        <w:left w:val="none" w:sz="0" w:space="0" w:color="auto"/>
        <w:bottom w:val="none" w:sz="0" w:space="0" w:color="auto"/>
        <w:right w:val="none" w:sz="0" w:space="0" w:color="auto"/>
      </w:divBdr>
    </w:div>
    <w:div w:id="1427771019">
      <w:bodyDiv w:val="1"/>
      <w:marLeft w:val="0"/>
      <w:marRight w:val="0"/>
      <w:marTop w:val="0"/>
      <w:marBottom w:val="0"/>
      <w:divBdr>
        <w:top w:val="none" w:sz="0" w:space="0" w:color="auto"/>
        <w:left w:val="none" w:sz="0" w:space="0" w:color="auto"/>
        <w:bottom w:val="none" w:sz="0" w:space="0" w:color="auto"/>
        <w:right w:val="none" w:sz="0" w:space="0" w:color="auto"/>
      </w:divBdr>
    </w:div>
    <w:div w:id="1441602342">
      <w:bodyDiv w:val="1"/>
      <w:marLeft w:val="0"/>
      <w:marRight w:val="0"/>
      <w:marTop w:val="0"/>
      <w:marBottom w:val="0"/>
      <w:divBdr>
        <w:top w:val="none" w:sz="0" w:space="0" w:color="auto"/>
        <w:left w:val="none" w:sz="0" w:space="0" w:color="auto"/>
        <w:bottom w:val="none" w:sz="0" w:space="0" w:color="auto"/>
        <w:right w:val="none" w:sz="0" w:space="0" w:color="auto"/>
      </w:divBdr>
    </w:div>
    <w:div w:id="1488090646">
      <w:bodyDiv w:val="1"/>
      <w:marLeft w:val="0"/>
      <w:marRight w:val="0"/>
      <w:marTop w:val="0"/>
      <w:marBottom w:val="0"/>
      <w:divBdr>
        <w:top w:val="none" w:sz="0" w:space="0" w:color="auto"/>
        <w:left w:val="none" w:sz="0" w:space="0" w:color="auto"/>
        <w:bottom w:val="none" w:sz="0" w:space="0" w:color="auto"/>
        <w:right w:val="none" w:sz="0" w:space="0" w:color="auto"/>
      </w:divBdr>
    </w:div>
    <w:div w:id="1492794595">
      <w:bodyDiv w:val="1"/>
      <w:marLeft w:val="0"/>
      <w:marRight w:val="0"/>
      <w:marTop w:val="0"/>
      <w:marBottom w:val="0"/>
      <w:divBdr>
        <w:top w:val="none" w:sz="0" w:space="0" w:color="auto"/>
        <w:left w:val="none" w:sz="0" w:space="0" w:color="auto"/>
        <w:bottom w:val="none" w:sz="0" w:space="0" w:color="auto"/>
        <w:right w:val="none" w:sz="0" w:space="0" w:color="auto"/>
      </w:divBdr>
    </w:div>
    <w:div w:id="1504199019">
      <w:bodyDiv w:val="1"/>
      <w:marLeft w:val="0"/>
      <w:marRight w:val="0"/>
      <w:marTop w:val="0"/>
      <w:marBottom w:val="0"/>
      <w:divBdr>
        <w:top w:val="none" w:sz="0" w:space="0" w:color="auto"/>
        <w:left w:val="none" w:sz="0" w:space="0" w:color="auto"/>
        <w:bottom w:val="none" w:sz="0" w:space="0" w:color="auto"/>
        <w:right w:val="none" w:sz="0" w:space="0" w:color="auto"/>
      </w:divBdr>
    </w:div>
    <w:div w:id="1535074443">
      <w:bodyDiv w:val="1"/>
      <w:marLeft w:val="0"/>
      <w:marRight w:val="0"/>
      <w:marTop w:val="0"/>
      <w:marBottom w:val="0"/>
      <w:divBdr>
        <w:top w:val="none" w:sz="0" w:space="0" w:color="auto"/>
        <w:left w:val="none" w:sz="0" w:space="0" w:color="auto"/>
        <w:bottom w:val="none" w:sz="0" w:space="0" w:color="auto"/>
        <w:right w:val="none" w:sz="0" w:space="0" w:color="auto"/>
      </w:divBdr>
    </w:div>
    <w:div w:id="1573926831">
      <w:bodyDiv w:val="1"/>
      <w:marLeft w:val="0"/>
      <w:marRight w:val="0"/>
      <w:marTop w:val="0"/>
      <w:marBottom w:val="0"/>
      <w:divBdr>
        <w:top w:val="none" w:sz="0" w:space="0" w:color="auto"/>
        <w:left w:val="none" w:sz="0" w:space="0" w:color="auto"/>
        <w:bottom w:val="none" w:sz="0" w:space="0" w:color="auto"/>
        <w:right w:val="none" w:sz="0" w:space="0" w:color="auto"/>
      </w:divBdr>
      <w:divsChild>
        <w:div w:id="1008480168">
          <w:marLeft w:val="0"/>
          <w:marRight w:val="0"/>
          <w:marTop w:val="0"/>
          <w:marBottom w:val="0"/>
          <w:divBdr>
            <w:top w:val="none" w:sz="0" w:space="0" w:color="auto"/>
            <w:left w:val="none" w:sz="0" w:space="0" w:color="auto"/>
            <w:bottom w:val="none" w:sz="0" w:space="0" w:color="auto"/>
            <w:right w:val="none" w:sz="0" w:space="0" w:color="auto"/>
          </w:divBdr>
          <w:divsChild>
            <w:div w:id="380445950">
              <w:marLeft w:val="0"/>
              <w:marRight w:val="0"/>
              <w:marTop w:val="0"/>
              <w:marBottom w:val="0"/>
              <w:divBdr>
                <w:top w:val="none" w:sz="0" w:space="0" w:color="auto"/>
                <w:left w:val="none" w:sz="0" w:space="0" w:color="auto"/>
                <w:bottom w:val="none" w:sz="0" w:space="0" w:color="auto"/>
                <w:right w:val="none" w:sz="0" w:space="0" w:color="auto"/>
              </w:divBdr>
              <w:divsChild>
                <w:div w:id="627859430">
                  <w:marLeft w:val="0"/>
                  <w:marRight w:val="0"/>
                  <w:marTop w:val="0"/>
                  <w:marBottom w:val="0"/>
                  <w:divBdr>
                    <w:top w:val="none" w:sz="0" w:space="0" w:color="auto"/>
                    <w:left w:val="none" w:sz="0" w:space="0" w:color="auto"/>
                    <w:bottom w:val="none" w:sz="0" w:space="0" w:color="auto"/>
                    <w:right w:val="none" w:sz="0" w:space="0" w:color="auto"/>
                  </w:divBdr>
                  <w:divsChild>
                    <w:div w:id="1275363258">
                      <w:marLeft w:val="0"/>
                      <w:marRight w:val="0"/>
                      <w:marTop w:val="0"/>
                      <w:marBottom w:val="0"/>
                      <w:divBdr>
                        <w:top w:val="none" w:sz="0" w:space="0" w:color="auto"/>
                        <w:left w:val="none" w:sz="0" w:space="0" w:color="auto"/>
                        <w:bottom w:val="none" w:sz="0" w:space="0" w:color="auto"/>
                        <w:right w:val="none" w:sz="0" w:space="0" w:color="auto"/>
                      </w:divBdr>
                      <w:divsChild>
                        <w:div w:id="679896537">
                          <w:marLeft w:val="0"/>
                          <w:marRight w:val="0"/>
                          <w:marTop w:val="0"/>
                          <w:marBottom w:val="0"/>
                          <w:divBdr>
                            <w:top w:val="none" w:sz="0" w:space="0" w:color="auto"/>
                            <w:left w:val="none" w:sz="0" w:space="0" w:color="auto"/>
                            <w:bottom w:val="none" w:sz="0" w:space="0" w:color="auto"/>
                            <w:right w:val="none" w:sz="0" w:space="0" w:color="auto"/>
                          </w:divBdr>
                          <w:divsChild>
                            <w:div w:id="1319458826">
                              <w:marLeft w:val="0"/>
                              <w:marRight w:val="0"/>
                              <w:marTop w:val="0"/>
                              <w:marBottom w:val="0"/>
                              <w:divBdr>
                                <w:top w:val="none" w:sz="0" w:space="0" w:color="auto"/>
                                <w:left w:val="none" w:sz="0" w:space="0" w:color="auto"/>
                                <w:bottom w:val="none" w:sz="0" w:space="0" w:color="auto"/>
                                <w:right w:val="none" w:sz="0" w:space="0" w:color="auto"/>
                              </w:divBdr>
                              <w:divsChild>
                                <w:div w:id="8985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387970">
      <w:bodyDiv w:val="1"/>
      <w:marLeft w:val="0"/>
      <w:marRight w:val="0"/>
      <w:marTop w:val="0"/>
      <w:marBottom w:val="0"/>
      <w:divBdr>
        <w:top w:val="none" w:sz="0" w:space="0" w:color="auto"/>
        <w:left w:val="none" w:sz="0" w:space="0" w:color="auto"/>
        <w:bottom w:val="none" w:sz="0" w:space="0" w:color="auto"/>
        <w:right w:val="none" w:sz="0" w:space="0" w:color="auto"/>
      </w:divBdr>
    </w:div>
    <w:div w:id="1586299261">
      <w:bodyDiv w:val="1"/>
      <w:marLeft w:val="0"/>
      <w:marRight w:val="0"/>
      <w:marTop w:val="0"/>
      <w:marBottom w:val="0"/>
      <w:divBdr>
        <w:top w:val="none" w:sz="0" w:space="0" w:color="auto"/>
        <w:left w:val="none" w:sz="0" w:space="0" w:color="auto"/>
        <w:bottom w:val="none" w:sz="0" w:space="0" w:color="auto"/>
        <w:right w:val="none" w:sz="0" w:space="0" w:color="auto"/>
      </w:divBdr>
    </w:div>
    <w:div w:id="1592665515">
      <w:bodyDiv w:val="1"/>
      <w:marLeft w:val="0"/>
      <w:marRight w:val="0"/>
      <w:marTop w:val="0"/>
      <w:marBottom w:val="0"/>
      <w:divBdr>
        <w:top w:val="none" w:sz="0" w:space="0" w:color="auto"/>
        <w:left w:val="none" w:sz="0" w:space="0" w:color="auto"/>
        <w:bottom w:val="none" w:sz="0" w:space="0" w:color="auto"/>
        <w:right w:val="none" w:sz="0" w:space="0" w:color="auto"/>
      </w:divBdr>
    </w:div>
    <w:div w:id="1593054214">
      <w:bodyDiv w:val="1"/>
      <w:marLeft w:val="0"/>
      <w:marRight w:val="0"/>
      <w:marTop w:val="0"/>
      <w:marBottom w:val="0"/>
      <w:divBdr>
        <w:top w:val="none" w:sz="0" w:space="0" w:color="auto"/>
        <w:left w:val="none" w:sz="0" w:space="0" w:color="auto"/>
        <w:bottom w:val="none" w:sz="0" w:space="0" w:color="auto"/>
        <w:right w:val="none" w:sz="0" w:space="0" w:color="auto"/>
      </w:divBdr>
    </w:div>
    <w:div w:id="1595628482">
      <w:bodyDiv w:val="1"/>
      <w:marLeft w:val="0"/>
      <w:marRight w:val="0"/>
      <w:marTop w:val="0"/>
      <w:marBottom w:val="0"/>
      <w:divBdr>
        <w:top w:val="none" w:sz="0" w:space="0" w:color="auto"/>
        <w:left w:val="none" w:sz="0" w:space="0" w:color="auto"/>
        <w:bottom w:val="none" w:sz="0" w:space="0" w:color="auto"/>
        <w:right w:val="none" w:sz="0" w:space="0" w:color="auto"/>
      </w:divBdr>
    </w:div>
    <w:div w:id="1600023844">
      <w:bodyDiv w:val="1"/>
      <w:marLeft w:val="0"/>
      <w:marRight w:val="0"/>
      <w:marTop w:val="0"/>
      <w:marBottom w:val="0"/>
      <w:divBdr>
        <w:top w:val="none" w:sz="0" w:space="0" w:color="auto"/>
        <w:left w:val="none" w:sz="0" w:space="0" w:color="auto"/>
        <w:bottom w:val="none" w:sz="0" w:space="0" w:color="auto"/>
        <w:right w:val="none" w:sz="0" w:space="0" w:color="auto"/>
      </w:divBdr>
    </w:div>
    <w:div w:id="1608544333">
      <w:bodyDiv w:val="1"/>
      <w:marLeft w:val="0"/>
      <w:marRight w:val="0"/>
      <w:marTop w:val="0"/>
      <w:marBottom w:val="0"/>
      <w:divBdr>
        <w:top w:val="none" w:sz="0" w:space="0" w:color="auto"/>
        <w:left w:val="none" w:sz="0" w:space="0" w:color="auto"/>
        <w:bottom w:val="none" w:sz="0" w:space="0" w:color="auto"/>
        <w:right w:val="none" w:sz="0" w:space="0" w:color="auto"/>
      </w:divBdr>
    </w:div>
    <w:div w:id="1610310967">
      <w:bodyDiv w:val="1"/>
      <w:marLeft w:val="0"/>
      <w:marRight w:val="0"/>
      <w:marTop w:val="0"/>
      <w:marBottom w:val="0"/>
      <w:divBdr>
        <w:top w:val="none" w:sz="0" w:space="0" w:color="auto"/>
        <w:left w:val="none" w:sz="0" w:space="0" w:color="auto"/>
        <w:bottom w:val="none" w:sz="0" w:space="0" w:color="auto"/>
        <w:right w:val="none" w:sz="0" w:space="0" w:color="auto"/>
      </w:divBdr>
    </w:div>
    <w:div w:id="1632326993">
      <w:bodyDiv w:val="1"/>
      <w:marLeft w:val="0"/>
      <w:marRight w:val="0"/>
      <w:marTop w:val="0"/>
      <w:marBottom w:val="0"/>
      <w:divBdr>
        <w:top w:val="none" w:sz="0" w:space="0" w:color="auto"/>
        <w:left w:val="none" w:sz="0" w:space="0" w:color="auto"/>
        <w:bottom w:val="none" w:sz="0" w:space="0" w:color="auto"/>
        <w:right w:val="none" w:sz="0" w:space="0" w:color="auto"/>
      </w:divBdr>
    </w:div>
    <w:div w:id="1687750508">
      <w:bodyDiv w:val="1"/>
      <w:marLeft w:val="0"/>
      <w:marRight w:val="0"/>
      <w:marTop w:val="0"/>
      <w:marBottom w:val="0"/>
      <w:divBdr>
        <w:top w:val="none" w:sz="0" w:space="0" w:color="auto"/>
        <w:left w:val="none" w:sz="0" w:space="0" w:color="auto"/>
        <w:bottom w:val="none" w:sz="0" w:space="0" w:color="auto"/>
        <w:right w:val="none" w:sz="0" w:space="0" w:color="auto"/>
      </w:divBdr>
    </w:div>
    <w:div w:id="1690988582">
      <w:bodyDiv w:val="1"/>
      <w:marLeft w:val="0"/>
      <w:marRight w:val="0"/>
      <w:marTop w:val="0"/>
      <w:marBottom w:val="0"/>
      <w:divBdr>
        <w:top w:val="none" w:sz="0" w:space="0" w:color="auto"/>
        <w:left w:val="none" w:sz="0" w:space="0" w:color="auto"/>
        <w:bottom w:val="none" w:sz="0" w:space="0" w:color="auto"/>
        <w:right w:val="none" w:sz="0" w:space="0" w:color="auto"/>
      </w:divBdr>
    </w:div>
    <w:div w:id="1726564309">
      <w:bodyDiv w:val="1"/>
      <w:marLeft w:val="0"/>
      <w:marRight w:val="0"/>
      <w:marTop w:val="0"/>
      <w:marBottom w:val="0"/>
      <w:divBdr>
        <w:top w:val="none" w:sz="0" w:space="0" w:color="auto"/>
        <w:left w:val="none" w:sz="0" w:space="0" w:color="auto"/>
        <w:bottom w:val="none" w:sz="0" w:space="0" w:color="auto"/>
        <w:right w:val="none" w:sz="0" w:space="0" w:color="auto"/>
      </w:divBdr>
    </w:div>
    <w:div w:id="1740592996">
      <w:bodyDiv w:val="1"/>
      <w:marLeft w:val="0"/>
      <w:marRight w:val="0"/>
      <w:marTop w:val="0"/>
      <w:marBottom w:val="0"/>
      <w:divBdr>
        <w:top w:val="none" w:sz="0" w:space="0" w:color="auto"/>
        <w:left w:val="none" w:sz="0" w:space="0" w:color="auto"/>
        <w:bottom w:val="none" w:sz="0" w:space="0" w:color="auto"/>
        <w:right w:val="none" w:sz="0" w:space="0" w:color="auto"/>
      </w:divBdr>
    </w:div>
    <w:div w:id="1746106921">
      <w:bodyDiv w:val="1"/>
      <w:marLeft w:val="0"/>
      <w:marRight w:val="0"/>
      <w:marTop w:val="0"/>
      <w:marBottom w:val="0"/>
      <w:divBdr>
        <w:top w:val="none" w:sz="0" w:space="0" w:color="auto"/>
        <w:left w:val="none" w:sz="0" w:space="0" w:color="auto"/>
        <w:bottom w:val="none" w:sz="0" w:space="0" w:color="auto"/>
        <w:right w:val="none" w:sz="0" w:space="0" w:color="auto"/>
      </w:divBdr>
    </w:div>
    <w:div w:id="1751809147">
      <w:bodyDiv w:val="1"/>
      <w:marLeft w:val="0"/>
      <w:marRight w:val="0"/>
      <w:marTop w:val="0"/>
      <w:marBottom w:val="0"/>
      <w:divBdr>
        <w:top w:val="none" w:sz="0" w:space="0" w:color="auto"/>
        <w:left w:val="none" w:sz="0" w:space="0" w:color="auto"/>
        <w:bottom w:val="none" w:sz="0" w:space="0" w:color="auto"/>
        <w:right w:val="none" w:sz="0" w:space="0" w:color="auto"/>
      </w:divBdr>
    </w:div>
    <w:div w:id="1766537186">
      <w:bodyDiv w:val="1"/>
      <w:marLeft w:val="0"/>
      <w:marRight w:val="0"/>
      <w:marTop w:val="0"/>
      <w:marBottom w:val="0"/>
      <w:divBdr>
        <w:top w:val="none" w:sz="0" w:space="0" w:color="auto"/>
        <w:left w:val="none" w:sz="0" w:space="0" w:color="auto"/>
        <w:bottom w:val="none" w:sz="0" w:space="0" w:color="auto"/>
        <w:right w:val="none" w:sz="0" w:space="0" w:color="auto"/>
      </w:divBdr>
    </w:div>
    <w:div w:id="1790080827">
      <w:bodyDiv w:val="1"/>
      <w:marLeft w:val="0"/>
      <w:marRight w:val="0"/>
      <w:marTop w:val="0"/>
      <w:marBottom w:val="0"/>
      <w:divBdr>
        <w:top w:val="none" w:sz="0" w:space="0" w:color="auto"/>
        <w:left w:val="none" w:sz="0" w:space="0" w:color="auto"/>
        <w:bottom w:val="none" w:sz="0" w:space="0" w:color="auto"/>
        <w:right w:val="none" w:sz="0" w:space="0" w:color="auto"/>
      </w:divBdr>
    </w:div>
    <w:div w:id="1796023286">
      <w:bodyDiv w:val="1"/>
      <w:marLeft w:val="0"/>
      <w:marRight w:val="0"/>
      <w:marTop w:val="0"/>
      <w:marBottom w:val="0"/>
      <w:divBdr>
        <w:top w:val="none" w:sz="0" w:space="0" w:color="auto"/>
        <w:left w:val="none" w:sz="0" w:space="0" w:color="auto"/>
        <w:bottom w:val="none" w:sz="0" w:space="0" w:color="auto"/>
        <w:right w:val="none" w:sz="0" w:space="0" w:color="auto"/>
      </w:divBdr>
    </w:div>
    <w:div w:id="1797411718">
      <w:bodyDiv w:val="1"/>
      <w:marLeft w:val="0"/>
      <w:marRight w:val="0"/>
      <w:marTop w:val="0"/>
      <w:marBottom w:val="0"/>
      <w:divBdr>
        <w:top w:val="none" w:sz="0" w:space="0" w:color="auto"/>
        <w:left w:val="none" w:sz="0" w:space="0" w:color="auto"/>
        <w:bottom w:val="none" w:sz="0" w:space="0" w:color="auto"/>
        <w:right w:val="none" w:sz="0" w:space="0" w:color="auto"/>
      </w:divBdr>
    </w:div>
    <w:div w:id="1799108527">
      <w:bodyDiv w:val="1"/>
      <w:marLeft w:val="0"/>
      <w:marRight w:val="0"/>
      <w:marTop w:val="0"/>
      <w:marBottom w:val="0"/>
      <w:divBdr>
        <w:top w:val="none" w:sz="0" w:space="0" w:color="auto"/>
        <w:left w:val="none" w:sz="0" w:space="0" w:color="auto"/>
        <w:bottom w:val="none" w:sz="0" w:space="0" w:color="auto"/>
        <w:right w:val="none" w:sz="0" w:space="0" w:color="auto"/>
      </w:divBdr>
    </w:div>
    <w:div w:id="1833061927">
      <w:bodyDiv w:val="1"/>
      <w:marLeft w:val="0"/>
      <w:marRight w:val="0"/>
      <w:marTop w:val="0"/>
      <w:marBottom w:val="0"/>
      <w:divBdr>
        <w:top w:val="none" w:sz="0" w:space="0" w:color="auto"/>
        <w:left w:val="none" w:sz="0" w:space="0" w:color="auto"/>
        <w:bottom w:val="none" w:sz="0" w:space="0" w:color="auto"/>
        <w:right w:val="none" w:sz="0" w:space="0" w:color="auto"/>
      </w:divBdr>
    </w:div>
    <w:div w:id="1837837364">
      <w:bodyDiv w:val="1"/>
      <w:marLeft w:val="0"/>
      <w:marRight w:val="0"/>
      <w:marTop w:val="0"/>
      <w:marBottom w:val="0"/>
      <w:divBdr>
        <w:top w:val="none" w:sz="0" w:space="0" w:color="auto"/>
        <w:left w:val="none" w:sz="0" w:space="0" w:color="auto"/>
        <w:bottom w:val="none" w:sz="0" w:space="0" w:color="auto"/>
        <w:right w:val="none" w:sz="0" w:space="0" w:color="auto"/>
      </w:divBdr>
    </w:div>
    <w:div w:id="1839612465">
      <w:bodyDiv w:val="1"/>
      <w:marLeft w:val="0"/>
      <w:marRight w:val="0"/>
      <w:marTop w:val="0"/>
      <w:marBottom w:val="0"/>
      <w:divBdr>
        <w:top w:val="none" w:sz="0" w:space="0" w:color="auto"/>
        <w:left w:val="none" w:sz="0" w:space="0" w:color="auto"/>
        <w:bottom w:val="none" w:sz="0" w:space="0" w:color="auto"/>
        <w:right w:val="none" w:sz="0" w:space="0" w:color="auto"/>
      </w:divBdr>
    </w:div>
    <w:div w:id="1853227209">
      <w:bodyDiv w:val="1"/>
      <w:marLeft w:val="0"/>
      <w:marRight w:val="0"/>
      <w:marTop w:val="0"/>
      <w:marBottom w:val="0"/>
      <w:divBdr>
        <w:top w:val="none" w:sz="0" w:space="0" w:color="auto"/>
        <w:left w:val="none" w:sz="0" w:space="0" w:color="auto"/>
        <w:bottom w:val="none" w:sz="0" w:space="0" w:color="auto"/>
        <w:right w:val="none" w:sz="0" w:space="0" w:color="auto"/>
      </w:divBdr>
    </w:div>
    <w:div w:id="1891306124">
      <w:bodyDiv w:val="1"/>
      <w:marLeft w:val="0"/>
      <w:marRight w:val="0"/>
      <w:marTop w:val="0"/>
      <w:marBottom w:val="0"/>
      <w:divBdr>
        <w:top w:val="none" w:sz="0" w:space="0" w:color="auto"/>
        <w:left w:val="none" w:sz="0" w:space="0" w:color="auto"/>
        <w:bottom w:val="none" w:sz="0" w:space="0" w:color="auto"/>
        <w:right w:val="none" w:sz="0" w:space="0" w:color="auto"/>
      </w:divBdr>
    </w:div>
    <w:div w:id="1903832003">
      <w:bodyDiv w:val="1"/>
      <w:marLeft w:val="0"/>
      <w:marRight w:val="0"/>
      <w:marTop w:val="0"/>
      <w:marBottom w:val="0"/>
      <w:divBdr>
        <w:top w:val="none" w:sz="0" w:space="0" w:color="auto"/>
        <w:left w:val="none" w:sz="0" w:space="0" w:color="auto"/>
        <w:bottom w:val="none" w:sz="0" w:space="0" w:color="auto"/>
        <w:right w:val="none" w:sz="0" w:space="0" w:color="auto"/>
      </w:divBdr>
    </w:div>
    <w:div w:id="1918594508">
      <w:bodyDiv w:val="1"/>
      <w:marLeft w:val="0"/>
      <w:marRight w:val="0"/>
      <w:marTop w:val="0"/>
      <w:marBottom w:val="0"/>
      <w:divBdr>
        <w:top w:val="none" w:sz="0" w:space="0" w:color="auto"/>
        <w:left w:val="none" w:sz="0" w:space="0" w:color="auto"/>
        <w:bottom w:val="none" w:sz="0" w:space="0" w:color="auto"/>
        <w:right w:val="none" w:sz="0" w:space="0" w:color="auto"/>
      </w:divBdr>
    </w:div>
    <w:div w:id="1920090025">
      <w:bodyDiv w:val="1"/>
      <w:marLeft w:val="0"/>
      <w:marRight w:val="0"/>
      <w:marTop w:val="0"/>
      <w:marBottom w:val="0"/>
      <w:divBdr>
        <w:top w:val="none" w:sz="0" w:space="0" w:color="auto"/>
        <w:left w:val="none" w:sz="0" w:space="0" w:color="auto"/>
        <w:bottom w:val="none" w:sz="0" w:space="0" w:color="auto"/>
        <w:right w:val="none" w:sz="0" w:space="0" w:color="auto"/>
      </w:divBdr>
    </w:div>
    <w:div w:id="1922375026">
      <w:bodyDiv w:val="1"/>
      <w:marLeft w:val="0"/>
      <w:marRight w:val="0"/>
      <w:marTop w:val="0"/>
      <w:marBottom w:val="0"/>
      <w:divBdr>
        <w:top w:val="none" w:sz="0" w:space="0" w:color="auto"/>
        <w:left w:val="none" w:sz="0" w:space="0" w:color="auto"/>
        <w:bottom w:val="none" w:sz="0" w:space="0" w:color="auto"/>
        <w:right w:val="none" w:sz="0" w:space="0" w:color="auto"/>
      </w:divBdr>
    </w:div>
    <w:div w:id="1938174300">
      <w:bodyDiv w:val="1"/>
      <w:marLeft w:val="0"/>
      <w:marRight w:val="0"/>
      <w:marTop w:val="0"/>
      <w:marBottom w:val="0"/>
      <w:divBdr>
        <w:top w:val="none" w:sz="0" w:space="0" w:color="auto"/>
        <w:left w:val="none" w:sz="0" w:space="0" w:color="auto"/>
        <w:bottom w:val="none" w:sz="0" w:space="0" w:color="auto"/>
        <w:right w:val="none" w:sz="0" w:space="0" w:color="auto"/>
      </w:divBdr>
    </w:div>
    <w:div w:id="1938907787">
      <w:bodyDiv w:val="1"/>
      <w:marLeft w:val="0"/>
      <w:marRight w:val="0"/>
      <w:marTop w:val="0"/>
      <w:marBottom w:val="0"/>
      <w:divBdr>
        <w:top w:val="none" w:sz="0" w:space="0" w:color="auto"/>
        <w:left w:val="none" w:sz="0" w:space="0" w:color="auto"/>
        <w:bottom w:val="none" w:sz="0" w:space="0" w:color="auto"/>
        <w:right w:val="none" w:sz="0" w:space="0" w:color="auto"/>
      </w:divBdr>
    </w:div>
    <w:div w:id="1949314713">
      <w:bodyDiv w:val="1"/>
      <w:marLeft w:val="0"/>
      <w:marRight w:val="0"/>
      <w:marTop w:val="0"/>
      <w:marBottom w:val="0"/>
      <w:divBdr>
        <w:top w:val="none" w:sz="0" w:space="0" w:color="auto"/>
        <w:left w:val="none" w:sz="0" w:space="0" w:color="auto"/>
        <w:bottom w:val="none" w:sz="0" w:space="0" w:color="auto"/>
        <w:right w:val="none" w:sz="0" w:space="0" w:color="auto"/>
      </w:divBdr>
    </w:div>
    <w:div w:id="1973439937">
      <w:bodyDiv w:val="1"/>
      <w:marLeft w:val="0"/>
      <w:marRight w:val="0"/>
      <w:marTop w:val="0"/>
      <w:marBottom w:val="0"/>
      <w:divBdr>
        <w:top w:val="none" w:sz="0" w:space="0" w:color="auto"/>
        <w:left w:val="none" w:sz="0" w:space="0" w:color="auto"/>
        <w:bottom w:val="none" w:sz="0" w:space="0" w:color="auto"/>
        <w:right w:val="none" w:sz="0" w:space="0" w:color="auto"/>
      </w:divBdr>
    </w:div>
    <w:div w:id="1984046501">
      <w:bodyDiv w:val="1"/>
      <w:marLeft w:val="0"/>
      <w:marRight w:val="0"/>
      <w:marTop w:val="0"/>
      <w:marBottom w:val="0"/>
      <w:divBdr>
        <w:top w:val="none" w:sz="0" w:space="0" w:color="auto"/>
        <w:left w:val="none" w:sz="0" w:space="0" w:color="auto"/>
        <w:bottom w:val="none" w:sz="0" w:space="0" w:color="auto"/>
        <w:right w:val="none" w:sz="0" w:space="0" w:color="auto"/>
      </w:divBdr>
    </w:div>
    <w:div w:id="1987053582">
      <w:bodyDiv w:val="1"/>
      <w:marLeft w:val="0"/>
      <w:marRight w:val="0"/>
      <w:marTop w:val="0"/>
      <w:marBottom w:val="0"/>
      <w:divBdr>
        <w:top w:val="none" w:sz="0" w:space="0" w:color="auto"/>
        <w:left w:val="none" w:sz="0" w:space="0" w:color="auto"/>
        <w:bottom w:val="none" w:sz="0" w:space="0" w:color="auto"/>
        <w:right w:val="none" w:sz="0" w:space="0" w:color="auto"/>
      </w:divBdr>
    </w:div>
    <w:div w:id="1994212257">
      <w:bodyDiv w:val="1"/>
      <w:marLeft w:val="0"/>
      <w:marRight w:val="0"/>
      <w:marTop w:val="0"/>
      <w:marBottom w:val="0"/>
      <w:divBdr>
        <w:top w:val="none" w:sz="0" w:space="0" w:color="auto"/>
        <w:left w:val="none" w:sz="0" w:space="0" w:color="auto"/>
        <w:bottom w:val="none" w:sz="0" w:space="0" w:color="auto"/>
        <w:right w:val="none" w:sz="0" w:space="0" w:color="auto"/>
      </w:divBdr>
    </w:div>
    <w:div w:id="2002729938">
      <w:bodyDiv w:val="1"/>
      <w:marLeft w:val="0"/>
      <w:marRight w:val="0"/>
      <w:marTop w:val="0"/>
      <w:marBottom w:val="0"/>
      <w:divBdr>
        <w:top w:val="none" w:sz="0" w:space="0" w:color="auto"/>
        <w:left w:val="none" w:sz="0" w:space="0" w:color="auto"/>
        <w:bottom w:val="none" w:sz="0" w:space="0" w:color="auto"/>
        <w:right w:val="none" w:sz="0" w:space="0" w:color="auto"/>
      </w:divBdr>
    </w:div>
    <w:div w:id="2003847371">
      <w:bodyDiv w:val="1"/>
      <w:marLeft w:val="0"/>
      <w:marRight w:val="0"/>
      <w:marTop w:val="0"/>
      <w:marBottom w:val="0"/>
      <w:divBdr>
        <w:top w:val="none" w:sz="0" w:space="0" w:color="auto"/>
        <w:left w:val="none" w:sz="0" w:space="0" w:color="auto"/>
        <w:bottom w:val="none" w:sz="0" w:space="0" w:color="auto"/>
        <w:right w:val="none" w:sz="0" w:space="0" w:color="auto"/>
      </w:divBdr>
    </w:div>
    <w:div w:id="2004434027">
      <w:bodyDiv w:val="1"/>
      <w:marLeft w:val="0"/>
      <w:marRight w:val="0"/>
      <w:marTop w:val="0"/>
      <w:marBottom w:val="0"/>
      <w:divBdr>
        <w:top w:val="none" w:sz="0" w:space="0" w:color="auto"/>
        <w:left w:val="none" w:sz="0" w:space="0" w:color="auto"/>
        <w:bottom w:val="none" w:sz="0" w:space="0" w:color="auto"/>
        <w:right w:val="none" w:sz="0" w:space="0" w:color="auto"/>
      </w:divBdr>
    </w:div>
    <w:div w:id="2004965964">
      <w:bodyDiv w:val="1"/>
      <w:marLeft w:val="0"/>
      <w:marRight w:val="0"/>
      <w:marTop w:val="0"/>
      <w:marBottom w:val="0"/>
      <w:divBdr>
        <w:top w:val="none" w:sz="0" w:space="0" w:color="auto"/>
        <w:left w:val="none" w:sz="0" w:space="0" w:color="auto"/>
        <w:bottom w:val="none" w:sz="0" w:space="0" w:color="auto"/>
        <w:right w:val="none" w:sz="0" w:space="0" w:color="auto"/>
      </w:divBdr>
    </w:div>
    <w:div w:id="2025128666">
      <w:bodyDiv w:val="1"/>
      <w:marLeft w:val="0"/>
      <w:marRight w:val="0"/>
      <w:marTop w:val="0"/>
      <w:marBottom w:val="0"/>
      <w:divBdr>
        <w:top w:val="none" w:sz="0" w:space="0" w:color="auto"/>
        <w:left w:val="none" w:sz="0" w:space="0" w:color="auto"/>
        <w:bottom w:val="none" w:sz="0" w:space="0" w:color="auto"/>
        <w:right w:val="none" w:sz="0" w:space="0" w:color="auto"/>
      </w:divBdr>
    </w:div>
    <w:div w:id="2031905483">
      <w:bodyDiv w:val="1"/>
      <w:marLeft w:val="0"/>
      <w:marRight w:val="0"/>
      <w:marTop w:val="0"/>
      <w:marBottom w:val="0"/>
      <w:divBdr>
        <w:top w:val="none" w:sz="0" w:space="0" w:color="auto"/>
        <w:left w:val="none" w:sz="0" w:space="0" w:color="auto"/>
        <w:bottom w:val="none" w:sz="0" w:space="0" w:color="auto"/>
        <w:right w:val="none" w:sz="0" w:space="0" w:color="auto"/>
      </w:divBdr>
    </w:div>
    <w:div w:id="2041317022">
      <w:bodyDiv w:val="1"/>
      <w:marLeft w:val="0"/>
      <w:marRight w:val="0"/>
      <w:marTop w:val="0"/>
      <w:marBottom w:val="0"/>
      <w:divBdr>
        <w:top w:val="none" w:sz="0" w:space="0" w:color="auto"/>
        <w:left w:val="none" w:sz="0" w:space="0" w:color="auto"/>
        <w:bottom w:val="none" w:sz="0" w:space="0" w:color="auto"/>
        <w:right w:val="none" w:sz="0" w:space="0" w:color="auto"/>
      </w:divBdr>
    </w:div>
    <w:div w:id="2043507453">
      <w:bodyDiv w:val="1"/>
      <w:marLeft w:val="0"/>
      <w:marRight w:val="0"/>
      <w:marTop w:val="0"/>
      <w:marBottom w:val="0"/>
      <w:divBdr>
        <w:top w:val="none" w:sz="0" w:space="0" w:color="auto"/>
        <w:left w:val="none" w:sz="0" w:space="0" w:color="auto"/>
        <w:bottom w:val="none" w:sz="0" w:space="0" w:color="auto"/>
        <w:right w:val="none" w:sz="0" w:space="0" w:color="auto"/>
      </w:divBdr>
    </w:div>
    <w:div w:id="2049256410">
      <w:bodyDiv w:val="1"/>
      <w:marLeft w:val="0"/>
      <w:marRight w:val="0"/>
      <w:marTop w:val="0"/>
      <w:marBottom w:val="0"/>
      <w:divBdr>
        <w:top w:val="none" w:sz="0" w:space="0" w:color="auto"/>
        <w:left w:val="none" w:sz="0" w:space="0" w:color="auto"/>
        <w:bottom w:val="none" w:sz="0" w:space="0" w:color="auto"/>
        <w:right w:val="none" w:sz="0" w:space="0" w:color="auto"/>
      </w:divBdr>
    </w:div>
    <w:div w:id="2070690853">
      <w:bodyDiv w:val="1"/>
      <w:marLeft w:val="0"/>
      <w:marRight w:val="0"/>
      <w:marTop w:val="0"/>
      <w:marBottom w:val="0"/>
      <w:divBdr>
        <w:top w:val="none" w:sz="0" w:space="0" w:color="auto"/>
        <w:left w:val="none" w:sz="0" w:space="0" w:color="auto"/>
        <w:bottom w:val="none" w:sz="0" w:space="0" w:color="auto"/>
        <w:right w:val="none" w:sz="0" w:space="0" w:color="auto"/>
      </w:divBdr>
    </w:div>
    <w:div w:id="2078241587">
      <w:bodyDiv w:val="1"/>
      <w:marLeft w:val="0"/>
      <w:marRight w:val="0"/>
      <w:marTop w:val="0"/>
      <w:marBottom w:val="0"/>
      <w:divBdr>
        <w:top w:val="none" w:sz="0" w:space="0" w:color="auto"/>
        <w:left w:val="none" w:sz="0" w:space="0" w:color="auto"/>
        <w:bottom w:val="none" w:sz="0" w:space="0" w:color="auto"/>
        <w:right w:val="none" w:sz="0" w:space="0" w:color="auto"/>
      </w:divBdr>
    </w:div>
    <w:div w:id="2099714580">
      <w:bodyDiv w:val="1"/>
      <w:marLeft w:val="0"/>
      <w:marRight w:val="0"/>
      <w:marTop w:val="0"/>
      <w:marBottom w:val="0"/>
      <w:divBdr>
        <w:top w:val="none" w:sz="0" w:space="0" w:color="auto"/>
        <w:left w:val="none" w:sz="0" w:space="0" w:color="auto"/>
        <w:bottom w:val="none" w:sz="0" w:space="0" w:color="auto"/>
        <w:right w:val="none" w:sz="0" w:space="0" w:color="auto"/>
      </w:divBdr>
    </w:div>
    <w:div w:id="2108958063">
      <w:bodyDiv w:val="1"/>
      <w:marLeft w:val="0"/>
      <w:marRight w:val="0"/>
      <w:marTop w:val="0"/>
      <w:marBottom w:val="0"/>
      <w:divBdr>
        <w:top w:val="none" w:sz="0" w:space="0" w:color="auto"/>
        <w:left w:val="none" w:sz="0" w:space="0" w:color="auto"/>
        <w:bottom w:val="none" w:sz="0" w:space="0" w:color="auto"/>
        <w:right w:val="none" w:sz="0" w:space="0" w:color="auto"/>
      </w:divBdr>
    </w:div>
    <w:div w:id="2129735235">
      <w:bodyDiv w:val="1"/>
      <w:marLeft w:val="0"/>
      <w:marRight w:val="0"/>
      <w:marTop w:val="0"/>
      <w:marBottom w:val="0"/>
      <w:divBdr>
        <w:top w:val="none" w:sz="0" w:space="0" w:color="auto"/>
        <w:left w:val="none" w:sz="0" w:space="0" w:color="auto"/>
        <w:bottom w:val="none" w:sz="0" w:space="0" w:color="auto"/>
        <w:right w:val="none" w:sz="0" w:space="0" w:color="auto"/>
      </w:divBdr>
      <w:divsChild>
        <w:div w:id="1303071979">
          <w:marLeft w:val="0"/>
          <w:marRight w:val="0"/>
          <w:marTop w:val="0"/>
          <w:marBottom w:val="0"/>
          <w:divBdr>
            <w:top w:val="none" w:sz="0" w:space="0" w:color="auto"/>
            <w:left w:val="none" w:sz="0" w:space="0" w:color="auto"/>
            <w:bottom w:val="none" w:sz="0" w:space="0" w:color="auto"/>
            <w:right w:val="none" w:sz="0" w:space="0" w:color="auto"/>
          </w:divBdr>
          <w:divsChild>
            <w:div w:id="638270206">
              <w:marLeft w:val="0"/>
              <w:marRight w:val="0"/>
              <w:marTop w:val="0"/>
              <w:marBottom w:val="0"/>
              <w:divBdr>
                <w:top w:val="none" w:sz="0" w:space="0" w:color="auto"/>
                <w:left w:val="none" w:sz="0" w:space="0" w:color="auto"/>
                <w:bottom w:val="none" w:sz="0" w:space="0" w:color="auto"/>
                <w:right w:val="none" w:sz="0" w:space="0" w:color="auto"/>
              </w:divBdr>
              <w:divsChild>
                <w:div w:id="2077164155">
                  <w:marLeft w:val="0"/>
                  <w:marRight w:val="0"/>
                  <w:marTop w:val="0"/>
                  <w:marBottom w:val="0"/>
                  <w:divBdr>
                    <w:top w:val="none" w:sz="0" w:space="0" w:color="auto"/>
                    <w:left w:val="none" w:sz="0" w:space="0" w:color="auto"/>
                    <w:bottom w:val="none" w:sz="0" w:space="0" w:color="auto"/>
                    <w:right w:val="none" w:sz="0" w:space="0" w:color="auto"/>
                  </w:divBdr>
                  <w:divsChild>
                    <w:div w:id="2011522595">
                      <w:marLeft w:val="0"/>
                      <w:marRight w:val="0"/>
                      <w:marTop w:val="0"/>
                      <w:marBottom w:val="0"/>
                      <w:divBdr>
                        <w:top w:val="none" w:sz="0" w:space="0" w:color="auto"/>
                        <w:left w:val="none" w:sz="0" w:space="0" w:color="auto"/>
                        <w:bottom w:val="none" w:sz="0" w:space="0" w:color="auto"/>
                        <w:right w:val="none" w:sz="0" w:space="0" w:color="auto"/>
                      </w:divBdr>
                      <w:divsChild>
                        <w:div w:id="54935720">
                          <w:marLeft w:val="0"/>
                          <w:marRight w:val="0"/>
                          <w:marTop w:val="0"/>
                          <w:marBottom w:val="0"/>
                          <w:divBdr>
                            <w:top w:val="none" w:sz="0" w:space="0" w:color="auto"/>
                            <w:left w:val="none" w:sz="0" w:space="0" w:color="auto"/>
                            <w:bottom w:val="none" w:sz="0" w:space="0" w:color="auto"/>
                            <w:right w:val="none" w:sz="0" w:space="0" w:color="auto"/>
                          </w:divBdr>
                          <w:divsChild>
                            <w:div w:id="51196331">
                              <w:marLeft w:val="0"/>
                              <w:marRight w:val="0"/>
                              <w:marTop w:val="0"/>
                              <w:marBottom w:val="0"/>
                              <w:divBdr>
                                <w:top w:val="none" w:sz="0" w:space="0" w:color="auto"/>
                                <w:left w:val="none" w:sz="0" w:space="0" w:color="auto"/>
                                <w:bottom w:val="none" w:sz="0" w:space="0" w:color="auto"/>
                                <w:right w:val="none" w:sz="0" w:space="0" w:color="auto"/>
                              </w:divBdr>
                              <w:divsChild>
                                <w:div w:id="185823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389521">
      <w:bodyDiv w:val="1"/>
      <w:marLeft w:val="0"/>
      <w:marRight w:val="0"/>
      <w:marTop w:val="0"/>
      <w:marBottom w:val="0"/>
      <w:divBdr>
        <w:top w:val="none" w:sz="0" w:space="0" w:color="auto"/>
        <w:left w:val="none" w:sz="0" w:space="0" w:color="auto"/>
        <w:bottom w:val="none" w:sz="0" w:space="0" w:color="auto"/>
        <w:right w:val="none" w:sz="0" w:space="0" w:color="auto"/>
      </w:divBdr>
    </w:div>
    <w:div w:id="214206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94506-43CA-4AF7-8145-DD218A55D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42</Pages>
  <Words>18913</Words>
  <Characters>107808</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Codruta Mare</cp:lastModifiedBy>
  <cp:revision>13</cp:revision>
  <cp:lastPrinted>2024-09-09T23:59:00Z</cp:lastPrinted>
  <dcterms:created xsi:type="dcterms:W3CDTF">2024-09-10T00:01:00Z</dcterms:created>
  <dcterms:modified xsi:type="dcterms:W3CDTF">2024-09-10T08:27:00Z</dcterms:modified>
</cp:coreProperties>
</file>