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VisionXAI: Pioneering Visual Analytics for Establishing XAI Standards in European Finance with a Policy-Focused Impact</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rPr>
      </w:pPr>
      <w:r w:rsidDel="00000000" w:rsidR="00000000" w:rsidRPr="00000000">
        <w:rPr>
          <w:rFonts w:ascii="Calibri" w:cs="Calibri" w:eastAsia="Calibri" w:hAnsi="Calibri"/>
          <w:rtl w:val="0"/>
        </w:rPr>
        <w:t xml:space="preserve">Our CIG project centers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rsidR="00000000" w:rsidDel="00000000" w:rsidP="00000000" w:rsidRDefault="00000000" w:rsidRPr="00000000" w14:paraId="00000004">
      <w:pPr>
        <w:jc w:val="both"/>
        <w:rPr>
          <w:rFonts w:ascii="Calibri" w:cs="Calibri" w:eastAsia="Calibri" w:hAnsi="Calibri"/>
        </w:rPr>
      </w:pPr>
      <w:r w:rsidDel="00000000" w:rsidR="00000000" w:rsidRPr="00000000">
        <w:rPr>
          <w:rFonts w:ascii="Calibri" w:cs="Calibri" w:eastAsia="Calibri" w:hAnsi="Calibri"/>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 user needing clarity on AI-driven decisions, VisionXAI delivers audience-specific outputs to cater to these varied explainability requirements.</w:t>
      </w:r>
    </w:p>
    <w:p w:rsidR="00000000" w:rsidDel="00000000" w:rsidP="00000000" w:rsidRDefault="00000000" w:rsidRPr="00000000" w14:paraId="0000000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rPr>
      </w:pPr>
      <w:r w:rsidDel="00000000" w:rsidR="00000000" w:rsidRPr="00000000">
        <w:rPr>
          <w:rFonts w:ascii="Calibri" w:cs="Calibri" w:eastAsia="Calibri" w:hAnsi="Calibri"/>
          <w:rtl w:val="0"/>
        </w:rPr>
        <w:t xml:space="preserve">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 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