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Project Overview and Context</w:t>
      </w:r>
    </w:p>
    <w:p>
      <w:r>
        <w:t xml:space="preserve"/>
      </w:r>
    </w:p>
    <w:p>
      <w:r>
        <w:rPr>
          <w:b w:val="false"/>
          <w:bCs w:val="false"/>
        </w:rPr>
        <w:t xml:space="preserve">This three-day academic workshop at </w:t>
      </w:r>
      <w:r>
        <w:rPr>
          <w:b/>
          <w:bCs/>
        </w:rPr>
        <w:t xml:space="preserve">American University of Sharjah</w:t>
      </w:r>
      <w:r>
        <w:rPr>
          <w:b w:val="false"/>
          <w:bCs w:val="false"/>
        </w:rPr>
        <w:t xml:space="preserve"> (</w:t>
      </w:r>
      <w:r>
        <w:rPr>
          <w:b/>
          <w:bCs/>
        </w:rPr>
        <w:t xml:space="preserve">April 21-23, 2026</w:t>
      </w:r>
      <w:r>
        <w:rPr>
          <w:b w:val="false"/>
          <w:bCs w:val="false"/>
        </w:rPr>
        <w:t xml:space="preserve">) serves as the primary venue for disseminating research findings and fostering knowledge exchange in </w:t>
      </w:r>
      <w:r>
        <w:rPr>
          <w:b/>
          <w:bCs/>
        </w:rPr>
        <w:t xml:space="preserve">AI applications for digital finance</w:t>
      </w:r>
      <w:r>
        <w:rPr>
          <w:b w:val="false"/>
          <w:bCs w:val="false"/>
        </w:rPr>
        <w:t xml:space="preserve"> between </w:t>
      </w:r>
      <w:r>
        <w:rPr>
          <w:b/>
          <w:bCs/>
        </w:rPr>
        <w:t xml:space="preserve">FHGR</w:t>
      </w:r>
      <w:r>
        <w:rPr>
          <w:b w:val="false"/>
          <w:bCs w:val="false"/>
        </w:rPr>
        <w:t xml:space="preserve"> (Switzerland) and </w:t>
      </w:r>
      <w:r>
        <w:rPr>
          <w:b/>
          <w:bCs/>
        </w:rPr>
        <w:t xml:space="preserve">AUS</w:t>
      </w:r>
      <w:r>
        <w:rPr>
          <w:b w:val="false"/>
          <w:bCs w:val="false"/>
        </w:rPr>
        <w:t xml:space="preserve"> (UAE). The event brings together </w:t>
      </w:r>
      <w:r>
        <w:rPr>
          <w:b/>
          <w:bCs/>
        </w:rPr>
        <w:t xml:space="preserve">80-100 participants</w:t>
      </w:r>
      <w:r>
        <w:rPr>
          <w:b w:val="false"/>
          <w:bCs w:val="false"/>
        </w:rPr>
        <w:t xml:space="preserve"> (</w:t>
      </w:r>
      <w:r>
        <w:rPr>
          <w:b/>
          <w:bCs/>
        </w:rPr>
        <w:t xml:space="preserve">60% academic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40% industry</w:t>
      </w:r>
      <w:r>
        <w:rPr>
          <w:b w:val="false"/>
          <w:bCs w:val="false"/>
        </w:rPr>
        <w:t xml:space="preserve">) to share research methodologies, practical implementations, and regulatory perspectives that advance responsible AI adoption in finance.</w:t>
      </w:r>
    </w:p>
    <w:p>
      <w:r>
        <w:t xml:space="preserve"/>
      </w:r>
    </w:p>
    <w:p>
      <w:r>
        <w:rPr>
          <w:b/>
          <w:bCs/>
        </w:rPr>
        <w:t xml:space="preserve">Collaboration Foundation.</w:t>
      </w:r>
      <w:r>
        <w:rPr>
          <w:b w:val="false"/>
          <w:bCs w:val="false"/>
        </w:rPr>
        <w:t xml:space="preserve"> The workshop builds upon an exceptionally productive </w:t>
      </w:r>
      <w:r>
        <w:rPr>
          <w:b/>
          <w:bCs/>
        </w:rPr>
        <w:t xml:space="preserve">7-year partnership</w:t>
      </w:r>
      <w:r>
        <w:rPr>
          <w:b w:val="false"/>
          <w:bCs w:val="false"/>
        </w:rPr>
        <w:t xml:space="preserve"> between Prof. Joerg Osterrieder (FHGR) and Prof. Stephen Chan (AUS) that has yielded </w:t>
      </w:r>
      <w:r>
        <w:rPr>
          <w:b/>
          <w:bCs/>
        </w:rPr>
        <w:t xml:space="preserve">four publications</w:t>
      </w:r>
      <w:r>
        <w:rPr>
          <w:b w:val="false"/>
          <w:bCs w:val="false"/>
        </w:rPr>
        <w:t xml:space="preserve"> on blockchain security, fraud detection, and digital assets, secured research grants exceeding </w:t>
      </w:r>
      <w:r>
        <w:rPr>
          <w:b/>
          <w:bCs/>
        </w:rPr>
        <w:t xml:space="preserve">CHF 50,000</w:t>
      </w:r>
      <w:r>
        <w:rPr>
          <w:b w:val="false"/>
          <w:bCs w:val="false"/>
        </w:rPr>
        <w:t xml:space="preserve">, and includes </w:t>
      </w:r>
      <w:r>
        <w:rPr>
          <w:b/>
          <w:bCs/>
        </w:rPr>
        <w:t xml:space="preserve">Dr. Hana Sulieman (AUS)</w:t>
      </w:r>
      <w:r>
        <w:rPr>
          <w:b w:val="false"/>
          <w:bCs w:val="false"/>
        </w:rPr>
        <w:t xml:space="preserve"> as co-organizer, demonstrating substantial institutional commitment.</w:t>
      </w:r>
    </w:p>
    <w:p>
      <w:r>
        <w:t xml:space="preserve"/>
      </w:r>
    </w:p>
    <w:p>
      <w:r>
        <w:rPr>
          <w:b/>
          <w:bCs/>
        </w:rPr>
        <w:t xml:space="preserve">Workshop Audiences.</w:t>
      </w:r>
      <w:r>
        <w:rPr>
          <w:b w:val="false"/>
          <w:bCs w:val="false"/>
        </w:rPr>
        <w:t xml:space="preserve"> The workshop disseminates findings to three key audiences. The academic community (</w:t>
      </w:r>
      <w:r>
        <w:rPr>
          <w:b/>
          <w:bCs/>
        </w:rPr>
        <w:t xml:space="preserve">60%</w:t>
      </w:r>
      <w:r>
        <w:rPr>
          <w:b w:val="false"/>
          <w:bCs w:val="false"/>
        </w:rPr>
        <w:t xml:space="preserve">) includes researchers from Swiss and MENA universities receiving AI finance methodologies, frameworks, and funding opportunities through </w:t>
      </w:r>
      <w:r>
        <w:rPr>
          <w:b/>
          <w:bCs/>
        </w:rPr>
        <w:t xml:space="preserve">15-20 paper presentations</w:t>
      </w:r>
      <w:r>
        <w:rPr>
          <w:b w:val="false"/>
          <w:bCs w:val="false"/>
        </w:rPr>
        <w:t xml:space="preserve"> and proceedings. Financial industry representatives (</w:t>
      </w:r>
      <w:r>
        <w:rPr>
          <w:b/>
          <w:bCs/>
        </w:rPr>
        <w:t xml:space="preserve">40%</w:t>
      </w:r>
      <w:r>
        <w:rPr>
          <w:b w:val="false"/>
          <w:bCs w:val="false"/>
        </w:rPr>
        <w:t xml:space="preserve">) include professionals from </w:t>
      </w:r>
      <w:r>
        <w:rPr>
          <w:b/>
          <w:bCs/>
        </w:rPr>
        <w:t xml:space="preserve">DIFC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Emirates NBD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First Abu Dhabi Bank</w:t>
      </w:r>
      <w:r>
        <w:rPr>
          <w:b w:val="false"/>
          <w:bCs w:val="false"/>
        </w:rPr>
        <w:t xml:space="preserve">, and fintech companies gaining insights on AI implementation and compliance through case studies and roundtables. Policy makers including </w:t>
      </w:r>
      <w:r>
        <w:rPr>
          <w:b/>
          <w:bCs/>
        </w:rPr>
        <w:t xml:space="preserve">FINMA</w:t>
      </w:r>
      <w:r>
        <w:rPr>
          <w:b w:val="false"/>
          <w:bCs w:val="false"/>
        </w:rPr>
        <w:t xml:space="preserve"> and UAE regulatory officials access recommendations via white papers and panels on AI governance.</w:t>
      </w:r>
    </w:p>
    <w:p>
      <w:r>
        <w:t xml:space="preserve"/>
      </w:r>
    </w:p>
    <w:p>
      <w:r>
        <w:rPr>
          <w:b/>
          <w:bCs/>
        </w:rPr>
        <w:t xml:space="preserve">Three-Day Structure.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Day 1</w:t>
      </w:r>
      <w:r>
        <w:rPr>
          <w:b w:val="false"/>
          <w:bCs w:val="false"/>
        </w:rPr>
        <w:t xml:space="preserve"> focuses on research frontiers with an international keynote on Large Language Models, </w:t>
      </w:r>
      <w:r>
        <w:rPr>
          <w:b/>
          <w:bCs/>
        </w:rPr>
        <w:t xml:space="preserve">5-7 academic papers</w:t>
      </w:r>
      <w:r>
        <w:rPr>
          <w:b w:val="false"/>
          <w:bCs w:val="false"/>
        </w:rPr>
        <w:t xml:space="preserve">, and a panel on research priorities. </w:t>
      </w:r>
      <w:r>
        <w:rPr>
          <w:b/>
          <w:bCs/>
        </w:rPr>
        <w:t xml:space="preserve">Day 2</w:t>
      </w:r>
      <w:r>
        <w:rPr>
          <w:b w:val="false"/>
          <w:bCs w:val="false"/>
        </w:rPr>
        <w:t xml:space="preserve"> addresses industry applications through a banking executive keynote, </w:t>
      </w:r>
      <w:r>
        <w:rPr>
          <w:b/>
          <w:bCs/>
        </w:rPr>
        <w:t xml:space="preserve">3-4 case study presentations</w:t>
      </w:r>
      <w:r>
        <w:rPr>
          <w:b w:val="false"/>
          <w:bCs w:val="false"/>
        </w:rPr>
        <w:t xml:space="preserve">, an Explainable AI workshop, and implementation roundtables. </w:t>
      </w:r>
      <w:r>
        <w:rPr>
          <w:b/>
          <w:bCs/>
        </w:rPr>
        <w:t xml:space="preserve">Day 3</w:t>
      </w:r>
      <w:r>
        <w:rPr>
          <w:b w:val="false"/>
          <w:bCs w:val="false"/>
        </w:rPr>
        <w:t xml:space="preserve"> includes doctoral training, </w:t>
      </w:r>
      <w:r>
        <w:rPr>
          <w:b/>
          <w:bCs/>
        </w:rPr>
        <w:t xml:space="preserve">4-5 early-career presentations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4 working group formation sessions</w:t>
      </w:r>
      <w:r>
        <w:rPr>
          <w:b w:val="false"/>
          <w:bCs w:val="false"/>
        </w:rPr>
        <w:t xml:space="preserve">, and </w:t>
      </w:r>
      <w:r>
        <w:rPr>
          <w:b/>
          <w:bCs/>
        </w:rPr>
        <w:t xml:space="preserve">AUS-FHGR bilateral agreement signing</w:t>
      </w:r>
      <w:r>
        <w:rPr>
          <w:b w:val="false"/>
          <w:bCs w:val="false"/>
        </w:rPr>
        <w:t xml:space="preserve">. The hybrid format enables global participation through live streaming.</w:t>
      </w:r>
    </w:p>
    <w:p>
      <w:r>
        <w:t xml:space="preserve"/>
      </w:r>
    </w:p>
    <w:p>
      <w:r>
        <w:rPr>
          <w:b/>
          <w:bCs/>
        </w:rPr>
        <w:t xml:space="preserve">Immediate Deliverables.</w:t>
      </w:r>
      <w:r>
        <w:rPr>
          <w:b w:val="false"/>
          <w:bCs w:val="false"/>
        </w:rPr>
        <w:t xml:space="preserve"> Workshop proceedings with </w:t>
      </w:r>
      <w:r>
        <w:rPr>
          <w:b/>
          <w:bCs/>
        </w:rPr>
        <w:t xml:space="preserve">15-20 peer-reviewed papers</w:t>
      </w:r>
      <w:r>
        <w:rPr>
          <w:b w:val="false"/>
          <w:bCs w:val="false"/>
        </w:rPr>
        <w:t xml:space="preserve"> in open access format, a white paper on AI adoption in Swiss-MENA financial sectors, an online repository of presentations and resources, </w:t>
      </w:r>
      <w:r>
        <w:rPr>
          <w:b/>
          <w:bCs/>
        </w:rPr>
        <w:t xml:space="preserve">4 thematic working groups</w:t>
      </w:r>
      <w:r>
        <w:rPr>
          <w:b w:val="false"/>
          <w:bCs w:val="false"/>
        </w:rPr>
        <w:t xml:space="preserve">, and the </w:t>
      </w:r>
      <w:r>
        <w:rPr>
          <w:b/>
          <w:bCs/>
        </w:rPr>
        <w:t xml:space="preserve">AUS-FHGR bilateral research agreement</w:t>
      </w:r>
      <w:r>
        <w:rPr>
          <w:b w:val="false"/>
          <w:bCs w:val="false"/>
        </w:rPr>
        <w:t xml:space="preserve"> formalizing the collaboration framework.</w:t>
      </w:r>
    </w:p>
    <w:p>
      <w:r>
        <w:t xml:space="preserve"/>
      </w:r>
    </w:p>
    <w:p>
      <w:r>
        <w:rPr>
          <w:b/>
          <w:bCs/>
        </w:rPr>
        <w:t xml:space="preserve">Long-term Impact.</w:t>
      </w:r>
      <w:r>
        <w:rPr>
          <w:b w:val="false"/>
          <w:bCs w:val="false"/>
        </w:rPr>
        <w:t xml:space="preserve"> The workshop initiates </w:t>
      </w:r>
      <w:r>
        <w:rPr>
          <w:b/>
          <w:bCs/>
        </w:rPr>
        <w:t xml:space="preserve">3-5 joint research proposals</w:t>
      </w:r>
      <w:r>
        <w:rPr>
          <w:b w:val="false"/>
          <w:bCs w:val="false"/>
        </w:rPr>
        <w:t xml:space="preserve"> for bilateral funding programs, establishes pathways for researcher mobility and joint doctoral supervision, enables knowledge transfer between Swiss precision banking and MENA's dynamic markets, and plans a </w:t>
      </w:r>
      <w:r>
        <w:rPr>
          <w:b/>
          <w:bCs/>
        </w:rPr>
        <w:t xml:space="preserve">2027 follow-up workshop</w:t>
      </w:r>
      <w:r>
        <w:rPr>
          <w:b w:val="false"/>
          <w:bCs w:val="false"/>
        </w:rPr>
        <w:t xml:space="preserve"> in Switzerland.</w:t>
      </w:r>
    </w:p>
    <w:p>
      <w:r>
        <w:t xml:space="preserve"/>
      </w:r>
    </w:p>
    <w:p>
      <w:r>
        <w:rPr>
          <w:b/>
          <w:bCs/>
        </w:rPr>
        <w:t xml:space="preserve">Strategic Significance.</w:t>
      </w:r>
      <w:r>
        <w:rPr>
          <w:b w:val="false"/>
          <w:bCs w:val="false"/>
        </w:rPr>
        <w:t xml:space="preserve"> This initiative addresses the critical need for responsible AI adoption in finance by leveraging complementary strengths: Switzerland's robust regulatory frameworks and financial technology expertise combined with UAE's innovation-friendly environment and evolving digital finance ecosystem. The workshop establishes formal mechanisms for continuous academia-industry dialogue, ensuring research addresses real-world challenges while maintaining scientific rigor and contributing to global best practices in AI governance for financial services.</w:t>
      </w:r>
    </w:p>
    <w:p>
      <w:r>
        <w:t xml:space="preserve"/>
      </w:r>
    </w:p>
    <w:p>
      <w:r>
        <w:rPr>
          <w:b/>
          <w:bCs/>
        </w:rPr>
        <w:t xml:space="preserve">Funding and Partnership.</w:t>
      </w:r>
      <w:r>
        <w:rPr>
          <w:b w:val="false"/>
          <w:bCs w:val="false"/>
        </w:rPr>
        <w:t xml:space="preserve"> The </w:t>
      </w:r>
      <w:r>
        <w:rPr>
          <w:b/>
          <w:bCs/>
        </w:rPr>
        <w:t xml:space="preserve">72% co-funding</w:t>
      </w:r>
      <w:r>
        <w:rPr>
          <w:b w:val="false"/>
          <w:bCs w:val="false"/>
        </w:rPr>
        <w:t xml:space="preserve"> (</w:t>
      </w:r>
      <w:r>
        <w:rPr>
          <w:b/>
          <w:bCs/>
        </w:rPr>
        <w:t xml:space="preserve">CHF 13,000</w:t>
      </w:r>
      <w:r>
        <w:rPr>
          <w:b w:val="false"/>
          <w:bCs w:val="false"/>
        </w:rPr>
        <w:t xml:space="preserve"> of </w:t>
      </w:r>
      <w:r>
        <w:rPr>
          <w:b/>
          <w:bCs/>
        </w:rPr>
        <w:t xml:space="preserve">CHF 18,000</w:t>
      </w:r>
      <w:r>
        <w:rPr>
          <w:b w:val="false"/>
          <w:bCs w:val="false"/>
        </w:rPr>
        <w:t xml:space="preserve"> total) demonstrates exceptional institutional commitment. </w:t>
      </w:r>
      <w:r>
        <w:rPr>
          <w:b/>
          <w:bCs/>
        </w:rPr>
        <w:t xml:space="preserve">AUS</w:t>
      </w:r>
      <w:r>
        <w:rPr>
          <w:b w:val="false"/>
          <w:bCs w:val="false"/>
        </w:rPr>
        <w:t xml:space="preserve"> provides venue, equipment, and staff time valued at </w:t>
      </w:r>
      <w:r>
        <w:rPr>
          <w:b/>
          <w:bCs/>
        </w:rPr>
        <w:t xml:space="preserve">CHF 11,100</w:t>
      </w:r>
      <w:r>
        <w:rPr>
          <w:b w:val="false"/>
          <w:bCs w:val="false"/>
        </w:rPr>
        <w:t xml:space="preserve">. </w:t>
      </w:r>
      <w:r>
        <w:rPr>
          <w:b/>
          <w:bCs/>
        </w:rPr>
        <w:t xml:space="preserve">FHGR</w:t>
      </w:r>
      <w:r>
        <w:rPr>
          <w:b w:val="false"/>
          <w:bCs w:val="false"/>
        </w:rPr>
        <w:t xml:space="preserve"> contributes staff time, marketing, and administrative support valued at </w:t>
      </w:r>
      <w:r>
        <w:rPr>
          <w:b/>
          <w:bCs/>
        </w:rPr>
        <w:t xml:space="preserve">CHF 2,500</w:t>
      </w:r>
      <w:r>
        <w:rPr>
          <w:b w:val="false"/>
          <w:bCs w:val="false"/>
        </w:rPr>
        <w:t xml:space="preserve">. Industry contributors provide keynote presentations and practitioner perspectives. The </w:t>
      </w:r>
      <w:r>
        <w:rPr>
          <w:b/>
          <w:bCs/>
        </w:rPr>
        <w:t xml:space="preserve">CCG support of CHF 5,000</w:t>
      </w:r>
      <w:r>
        <w:rPr>
          <w:b w:val="false"/>
          <w:bCs w:val="false"/>
        </w:rPr>
        <w:t xml:space="preserve"> catalyzes this investment, enabling professional event organization, international speaker participation, and broad dissemination benefiting the Swiss-MENA research community.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2025-10-31T06:30:17.180Z</dcterms:created>
  <dcterms:modified xsi:type="dcterms:W3CDTF">2025-10-31T06:30:17.182Z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