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Format and Organization</w:t>
      </w:r>
    </w:p>
    <w:p>
      <w:r>
        <w:t xml:space="preserve"/>
      </w:r>
    </w:p>
    <w:p>
      <w:r>
        <w:rPr>
          <w:b w:val="false"/>
          <w:bCs w:val="false"/>
        </w:rPr>
        <w:t xml:space="preserve">The three-day academic workshop at </w:t>
      </w:r>
      <w:r>
        <w:rPr>
          <w:b/>
          <w:bCs/>
        </w:rPr>
        <w:t xml:space="preserve">American University of Sharjah</w:t>
      </w:r>
      <w:r>
        <w:rPr>
          <w:b w:val="false"/>
          <w:bCs w:val="false"/>
        </w:rPr>
        <w:t xml:space="preserve"> (</w:t>
      </w:r>
      <w:r>
        <w:rPr>
          <w:b/>
          <w:bCs/>
        </w:rPr>
        <w:t xml:space="preserve">April 21-23, 2026</w:t>
      </w:r>
      <w:r>
        <w:rPr>
          <w:b w:val="false"/>
          <w:bCs w:val="false"/>
        </w:rPr>
        <w:t xml:space="preserve">) combines research presentations, industry applications, and collaboration framework formalization. The hybrid format enables global participation through professional live-streaming, extending impact beyond </w:t>
      </w:r>
      <w:r>
        <w:rPr>
          <w:b/>
          <w:bCs/>
        </w:rPr>
        <w:t xml:space="preserve">80-100 physical attendees</w:t>
      </w:r>
      <w:r>
        <w:rPr>
          <w:b w:val="false"/>
          <w:bCs w:val="false"/>
        </w:rPr>
        <w:t xml:space="preserve">.</w:t>
      </w:r>
    </w:p>
    <w:p>
      <w:r>
        <w:t xml:space="preserve"/>
      </w:r>
    </w:p>
    <w:p>
      <w:r>
        <w:rPr>
          <w:b/>
          <w:bCs/>
        </w:rPr>
        <w:t xml:space="preserve">Leadership and Organization.</w:t>
      </w:r>
      <w:r>
        <w:rPr>
          <w:b w:val="false"/>
          <w:bCs w:val="false"/>
        </w:rPr>
        <w:t xml:space="preserve"> Co-chairs </w:t>
      </w:r>
      <w:r>
        <w:rPr>
          <w:b/>
          <w:bCs/>
        </w:rPr>
        <w:t xml:space="preserve">Prof. Joerg Osterrieder (FHGR)</w:t>
      </w:r>
      <w:r>
        <w:rPr>
          <w:b w:val="false"/>
          <w:bCs w:val="false"/>
        </w:rPr>
        <w:t xml:space="preserve"> and </w:t>
      </w:r>
      <w:r>
        <w:rPr>
          <w:b/>
          <w:bCs/>
        </w:rPr>
        <w:t xml:space="preserve">Prof. Stephen Chan (AUS)</w:t>
      </w:r>
      <w:r>
        <w:rPr>
          <w:b w:val="false"/>
          <w:bCs w:val="false"/>
        </w:rPr>
        <w:t xml:space="preserve"> provide strategic direction, with </w:t>
      </w:r>
      <w:r>
        <w:rPr>
          <w:b/>
          <w:bCs/>
        </w:rPr>
        <w:t xml:space="preserve">Dr. Hana Sulieman (AUS)</w:t>
      </w:r>
      <w:r>
        <w:rPr>
          <w:b w:val="false"/>
          <w:bCs w:val="false"/>
        </w:rPr>
        <w:t xml:space="preserve"> serving as co-organizer. An advisory committee of senior academics and representatives from </w:t>
      </w:r>
      <w:r>
        <w:rPr>
          <w:b/>
          <w:bCs/>
        </w:rPr>
        <w:t xml:space="preserve">DIFC</w:t>
      </w:r>
      <w:r>
        <w:rPr>
          <w:b w:val="false"/>
          <w:bCs w:val="false"/>
        </w:rPr>
        <w:t xml:space="preserve">, </w:t>
      </w:r>
      <w:r>
        <w:rPr>
          <w:b/>
          <w:bCs/>
        </w:rPr>
        <w:t xml:space="preserve">Emirates NBD</w:t>
      </w:r>
      <w:r>
        <w:rPr>
          <w:b w:val="false"/>
          <w:bCs w:val="false"/>
        </w:rPr>
        <w:t xml:space="preserve">, and </w:t>
      </w:r>
      <w:r>
        <w:rPr>
          <w:b/>
          <w:bCs/>
        </w:rPr>
        <w:t xml:space="preserve">First Abu Dhabi Bank</w:t>
      </w:r>
      <w:r>
        <w:rPr>
          <w:b w:val="false"/>
          <w:bCs w:val="false"/>
        </w:rPr>
        <w:t xml:space="preserve"> provides guidance on program content and industry relevance.</w:t>
      </w:r>
    </w:p>
    <w:p>
      <w:r>
        <w:t xml:space="preserve"/>
      </w:r>
    </w:p>
    <w:p>
      <w:r>
        <w:rPr>
          <w:b/>
          <w:bCs/>
        </w:rPr>
        <w:t xml:space="preserve">Day 1: Research Frontiers (April 21).</w:t>
      </w:r>
      <w:r>
        <w:rPr>
          <w:b w:val="false"/>
          <w:bCs w:val="false"/>
        </w:rPr>
        <w:t xml:space="preserve"> The opening day establishes the academic foundation with an international keynote on "Large Language Models in Financial Services," followed by two research sessions presenting </w:t>
      </w:r>
      <w:r>
        <w:rPr>
          <w:b/>
          <w:bCs/>
        </w:rPr>
        <w:t xml:space="preserve">3-4 peer-reviewed papers</w:t>
      </w:r>
      <w:r>
        <w:rPr>
          <w:b w:val="false"/>
          <w:bCs w:val="false"/>
        </w:rPr>
        <w:t xml:space="preserve"> each on AI methods for financial markets and blockchain security/fraud detection. A moderated panel on "Research Priorities in AI Finance" identifies future directions. The day concludes with a welcome reception facilitating networking among academic researchers, doctoral students, and R&amp;D professionals.</w:t>
      </w:r>
    </w:p>
    <w:p>
      <w:r>
        <w:t xml:space="preserve"/>
      </w:r>
    </w:p>
    <w:p>
      <w:r>
        <w:rPr>
          <w:b/>
          <w:bCs/>
        </w:rPr>
        <w:t xml:space="preserve">Day 2: Industry Applications (April 22).</w:t>
      </w:r>
      <w:r>
        <w:rPr>
          <w:b w:val="false"/>
          <w:bCs w:val="false"/>
        </w:rPr>
        <w:t xml:space="preserve"> The second day bridges research and practice through a banking executive keynote on "Digital Transformation in Gulf Banking," </w:t>
      </w:r>
      <w:r>
        <w:rPr>
          <w:b/>
          <w:bCs/>
        </w:rPr>
        <w:t xml:space="preserve">3-4 industry case study presentations</w:t>
      </w:r>
      <w:r>
        <w:rPr>
          <w:b w:val="false"/>
          <w:bCs w:val="false"/>
        </w:rPr>
        <w:t xml:space="preserve"> from participating banks and fintech companies, an interactive workshop on Explainable AI for Regulatory Compliance, and an industry roundtable titled "From Research to Implementation." This day targets banking executives, fintech entrepreneurs, regulators, and technology managers.</w:t>
      </w:r>
    </w:p>
    <w:p>
      <w:r>
        <w:t xml:space="preserve"/>
      </w:r>
    </w:p>
    <w:p>
      <w:r>
        <w:rPr>
          <w:b/>
          <w:bCs/>
        </w:rPr>
        <w:t xml:space="preserve">Day 3: Capacity Building and Collaboration (April 23).</w:t>
      </w:r>
      <w:r>
        <w:rPr>
          <w:b w:val="false"/>
          <w:bCs w:val="false"/>
        </w:rPr>
        <w:t xml:space="preserve"> The final day opens with doctoral training on "Advanced ML Techniques for Finance" and </w:t>
      </w:r>
      <w:r>
        <w:rPr>
          <w:b/>
          <w:bCs/>
        </w:rPr>
        <w:t xml:space="preserve">4-5 early-career research presentations</w:t>
      </w:r>
      <w:r>
        <w:rPr>
          <w:b w:val="false"/>
          <w:bCs w:val="false"/>
        </w:rPr>
        <w:t xml:space="preserve">. The afternoon features parallel working group formation covering </w:t>
      </w:r>
      <w:r>
        <w:rPr>
          <w:b/>
          <w:bCs/>
        </w:rPr>
        <w:t xml:space="preserve">Large Language Models</w:t>
      </w:r>
      <w:r>
        <w:rPr>
          <w:b w:val="false"/>
          <w:bCs w:val="false"/>
        </w:rPr>
        <w:t xml:space="preserve">, </w:t>
      </w:r>
      <w:r>
        <w:rPr>
          <w:b/>
          <w:bCs/>
        </w:rPr>
        <w:t xml:space="preserve">blockchain</w:t>
      </w:r>
      <w:r>
        <w:rPr>
          <w:b w:val="false"/>
          <w:bCs w:val="false"/>
        </w:rPr>
        <w:t xml:space="preserve">, </w:t>
      </w:r>
      <w:r>
        <w:rPr>
          <w:b/>
          <w:bCs/>
        </w:rPr>
        <w:t xml:space="preserve">risk management</w:t>
      </w:r>
      <w:r>
        <w:rPr>
          <w:b w:val="false"/>
          <w:bCs w:val="false"/>
        </w:rPr>
        <w:t xml:space="preserve">, and </w:t>
      </w:r>
      <w:r>
        <w:rPr>
          <w:b/>
          <w:bCs/>
        </w:rPr>
        <w:t xml:space="preserve">financial inclusion</w:t>
      </w:r>
      <w:r>
        <w:rPr>
          <w:b w:val="false"/>
          <w:bCs w:val="false"/>
        </w:rPr>
        <w:t xml:space="preserve">, followed by signing of the </w:t>
      </w:r>
      <w:r>
        <w:rPr>
          <w:b/>
          <w:bCs/>
        </w:rPr>
        <w:t xml:space="preserve">AUS-FHGR bilateral research agreement</w:t>
      </w:r>
      <w:r>
        <w:rPr>
          <w:b w:val="false"/>
          <w:bCs w:val="false"/>
        </w:rPr>
        <w:t xml:space="preserve"> and a farewell dinner.</w:t>
      </w:r>
    </w:p>
    <w:p>
      <w:r>
        <w:t xml:space="preserve"/>
      </w:r>
    </w:p>
    <w:p>
      <w:r>
        <w:rPr>
          <w:b/>
          <w:bCs/>
        </w:rPr>
        <w:t xml:space="preserve">Session Formats.</w:t>
      </w:r>
      <w:r>
        <w:rPr>
          <w:b w:val="false"/>
          <w:bCs w:val="false"/>
        </w:rPr>
        <w:t xml:space="preserve"> Paper presentations follow a </w:t>
      </w:r>
      <w:r>
        <w:rPr>
          <w:b/>
          <w:bCs/>
        </w:rPr>
        <w:t xml:space="preserve">20-minute talk plus 10-minute Q&amp;A</w:t>
      </w:r>
      <w:r>
        <w:rPr>
          <w:b w:val="false"/>
          <w:bCs w:val="false"/>
        </w:rPr>
        <w:t xml:space="preserve"> structure, totaling </w:t>
      </w:r>
      <w:r>
        <w:rPr>
          <w:b/>
          <w:bCs/>
        </w:rPr>
        <w:t xml:space="preserve">15-20 papers</w:t>
      </w:r>
      <w:r>
        <w:rPr>
          <w:b w:val="false"/>
          <w:bCs w:val="false"/>
        </w:rPr>
        <w:t xml:space="preserve">. Interactive formats include panels with </w:t>
      </w:r>
      <w:r>
        <w:rPr>
          <w:b/>
          <w:bCs/>
        </w:rPr>
        <w:t xml:space="preserve">4-5 experts</w:t>
      </w:r>
      <w:r>
        <w:rPr>
          <w:b w:val="false"/>
          <w:bCs w:val="false"/>
        </w:rPr>
        <w:t xml:space="preserve">, facilitated roundtables, and hands-on workshops. Hybrid delivery features professional streaming, virtual Q&amp;A, session recording, and online networking spaces.</w:t>
      </w:r>
    </w:p>
    <w:p>
      <w:r>
        <w:t xml:space="preserve"/>
      </w:r>
    </w:p>
    <w:p>
      <w:r>
        <w:rPr>
          <w:b/>
          <w:bCs/>
        </w:rPr>
        <w:t xml:space="preserve">Participant Recruitment.</w:t>
      </w:r>
      <w:r>
        <w:rPr>
          <w:b w:val="false"/>
          <w:bCs w:val="false"/>
        </w:rPr>
        <w:t xml:space="preserve"> Academic recruitment targets </w:t>
      </w:r>
      <w:r>
        <w:rPr>
          <w:b/>
          <w:bCs/>
        </w:rPr>
        <w:t xml:space="preserve">50-60 attendees</w:t>
      </w:r>
      <w:r>
        <w:rPr>
          <w:b w:val="false"/>
          <w:bCs w:val="false"/>
        </w:rPr>
        <w:t xml:space="preserve"> through </w:t>
      </w:r>
      <w:r>
        <w:rPr>
          <w:b/>
          <w:bCs/>
        </w:rPr>
        <w:t xml:space="preserve">FHGR and AUS networks</w:t>
      </w:r>
      <w:r>
        <w:rPr>
          <w:b w:val="false"/>
          <w:bCs w:val="false"/>
        </w:rPr>
        <w:t xml:space="preserve">, calls for papers, and travel grants for early-career researchers. Industry recruitment aims for </w:t>
      </w:r>
      <w:r>
        <w:rPr>
          <w:b/>
          <w:bCs/>
        </w:rPr>
        <w:t xml:space="preserve">30-40 participants</w:t>
      </w:r>
      <w:r>
        <w:rPr>
          <w:b w:val="false"/>
          <w:bCs w:val="false"/>
        </w:rPr>
        <w:t xml:space="preserve"> through </w:t>
      </w:r>
      <w:r>
        <w:rPr>
          <w:b/>
          <w:bCs/>
        </w:rPr>
        <w:t xml:space="preserve">DIFC Fintech Hive</w:t>
      </w:r>
      <w:r>
        <w:rPr>
          <w:b w:val="false"/>
          <w:bCs w:val="false"/>
        </w:rPr>
        <w:t xml:space="preserve"> partnership, engagement with </w:t>
      </w:r>
      <w:r>
        <w:rPr>
          <w:b/>
          <w:bCs/>
        </w:rPr>
        <w:t xml:space="preserve">Emirates NBD</w:t>
      </w:r>
      <w:r>
        <w:rPr>
          <w:b w:val="false"/>
          <w:bCs w:val="false"/>
        </w:rPr>
        <w:t xml:space="preserve"> and </w:t>
      </w:r>
      <w:r>
        <w:rPr>
          <w:b/>
          <w:bCs/>
        </w:rPr>
        <w:t xml:space="preserve">First Abu Dhabi Bank</w:t>
      </w:r>
      <w:r>
        <w:rPr>
          <w:b w:val="false"/>
          <w:bCs w:val="false"/>
        </w:rPr>
        <w:t xml:space="preserve">, and </w:t>
      </w:r>
      <w:r>
        <w:rPr>
          <w:b/>
          <w:bCs/>
        </w:rPr>
        <w:t xml:space="preserve">Swiss Fintech Hub</w:t>
      </w:r>
      <w:r>
        <w:rPr>
          <w:b w:val="false"/>
          <w:bCs w:val="false"/>
        </w:rPr>
        <w:t xml:space="preserve"> outreach. Registration via online platform maintains a </w:t>
      </w:r>
      <w:r>
        <w:rPr>
          <w:b/>
          <w:bCs/>
        </w:rPr>
        <w:t xml:space="preserve">60/40 academic/industry balance</w:t>
      </w:r>
      <w:r>
        <w:rPr>
          <w:b w:val="false"/>
          <w:bCs w:val="false"/>
        </w:rPr>
        <w:t xml:space="preserve">. Diversity priorities ensure </w:t>
      </w:r>
      <w:r>
        <w:rPr>
          <w:b/>
          <w:bCs/>
        </w:rPr>
        <w:t xml:space="preserve">minimum 40% female speakers</w:t>
      </w:r>
      <w:r>
        <w:rPr>
          <w:b w:val="false"/>
          <w:bCs w:val="false"/>
        </w:rPr>
        <w:t xml:space="preserve">, geographic representation across Swiss cantons and </w:t>
      </w:r>
      <w:r>
        <w:rPr>
          <w:b/>
          <w:bCs/>
        </w:rPr>
        <w:t xml:space="preserve">UAE, Saudi Arabia, Egypt, Jordan, and Lebanon</w:t>
      </w:r>
      <w:r>
        <w:rPr>
          <w:b w:val="false"/>
          <w:bCs w:val="false"/>
        </w:rPr>
        <w:t xml:space="preserve">, and career stage inclusion through doctoral sessions and mentorship programs.</w:t>
      </w:r>
    </w:p>
    <w:p>
      <w:r>
        <w:t xml:space="preserve"/>
      </w:r>
    </w:p>
    <w:p>
      <w:r>
        <w:rPr>
          <w:b/>
          <w:bCs/>
        </w:rPr>
        <w:t xml:space="preserve">Post-Workshop Engagement.</w:t>
      </w:r>
      <w:r>
        <w:rPr>
          <w:b w:val="false"/>
          <w:bCs w:val="false"/>
        </w:rPr>
        <w:t xml:space="preserve"> Sustained engagement through a collaboration platform providing document repositories, discussion forums, and working group tools. Follow-up includes monthly working group meetings, quarterly webinars, annual progress reports, and planning for a </w:t>
      </w:r>
      <w:r>
        <w:rPr>
          <w:b/>
          <w:bCs/>
        </w:rPr>
        <w:t xml:space="preserve">2027 workshop</w:t>
      </w:r>
      <w:r>
        <w:rPr>
          <w:b w:val="false"/>
          <w:bCs w:val="false"/>
        </w:rPr>
        <w:t xml:space="preserve"> in Switzerland. This ensures maximum knowledge transfer and sustainable bilateral collaboration.</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2025-10-31T06:30:17.234Z</dcterms:created>
  <dcterms:modified xsi:type="dcterms:W3CDTF">2025-10-31T06:30:17.234Z</dcterms:modified>
</cp:coreProperties>
</file>

<file path=docProps/custom.xml><?xml version="1.0" encoding="utf-8"?>
<Properties xmlns="http://schemas.openxmlformats.org/officeDocument/2006/custom-properties" xmlns:vt="http://schemas.openxmlformats.org/officeDocument/2006/docPropsVTypes"/>
</file>