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Overview and Context</w:t>
      </w:r>
    </w:p>
    <w:p>
      <w:pPr>
        <w:pStyle w:val="Heading1"/>
      </w:pPr>
      <w:r>
        <w:t xml:space="preserve">Launching the First Swiss-MENA AI Finance Research Network</w:t>
      </w:r>
    </w:p>
    <w:p>
      <w:r>
        <w:t xml:space="preserve">This three-day international workshop at the American University of Sharjah (April 21-23, 2026) marks a pivotal moment in Swiss-MENA research collaboration: the formal launch of the first dedicated AI Finance Research Network bridging Switzerland and the Middle East. Building on a robust 7-year partnership between Prof. Joerg Osterrieder (University of Applied Sciences of the Grisons, Switzerland) and Prof. Stephen Chan (American University of Sharjah, UAE), this workshop transforms proven bilateral success into a sustainable multilateral research ecosystem.</w:t>
      </w:r>
    </w:p>
    <w:p>
      <w:pPr>
        <w:pStyle w:val="Heading1"/>
      </w:pPr>
      <w:r>
        <w:t xml:space="preserve">Activity Type and Context</w:t>
      </w:r>
    </w:p>
    <w:p>
      <w:r>
        <w:rPr>
          <w:b/>
          <w:bCs/>
        </w:rPr>
        <w:t xml:space="preserve">Workshop Format: </w:t>
      </w:r>
      <w:r>
        <w:t xml:space="preserve">Three-day intensive program combining academic presentations, industry case studies, doctoral training, and strategic network planning, delivered in hybrid format to maximize global participation.</w:t>
      </w:r>
    </w:p>
    <w:p>
      <w:r>
        <w:rPr>
          <w:b/>
          <w:bCs/>
        </w:rPr>
        <w:t xml:space="preserve">Disciplines: </w:t>
      </w:r>
      <w:r>
        <w:t xml:space="preserve">Computer Science/Artificial Intelligence, Finance/Economics, Mathematics/Statistics - an interdisciplinary approach essential for addressing the complexity of AI applications in modern finance.</w:t>
      </w:r>
    </w:p>
    <w:p>
      <w:r>
        <w:rPr>
          <w:b/>
          <w:bCs/>
        </w:rPr>
        <w:t xml:space="preserve">Location: </w:t>
      </w:r>
      <w:r>
        <w:t xml:space="preserve">American University of Sharjah, UAE - strategically positioned in one of the world's most dynamic financial innovation hubs, providing ideal access to both regional academic excellence and industry leadership.</w:t>
      </w:r>
    </w:p>
    <w:p>
      <w:pPr>
        <w:pStyle w:val="Heading1"/>
      </w:pPr>
      <w:r>
        <w:t xml:space="preserve">Strong Foundation of Collaboration</w:t>
      </w:r>
    </w:p>
    <w:p>
      <w:r>
        <w:t xml:space="preserve">The workshop builds upon an exceptionally productive research partnership that has yielded significant outputs: a comprehensive guide on blockchain security challenges and fraud prevention, advanced methods for detecting fraud in blockchain networks (currently under review), and two substantial studies on NFTs and digital assets in the Metaverse. This collaboration has successfully secured multiple research grants, demonstrating international recognition of the partnership's value and potential. The extended research collaboration over 7 years at AUS have established deep mutual understanding and complementary expertise that form the foundation for network expansion.</w:t>
      </w:r>
    </w:p>
    <w:p>
      <w:pPr>
        <w:pStyle w:val="Heading1"/>
      </w:pPr>
      <w:r>
        <w:t xml:space="preserve">Workshop Content and Thematic Focus</w:t>
      </w:r>
    </w:p>
    <w:p>
      <w:r>
        <w:t xml:space="preserve">The program addresses three critical areas where AI is revolutionizing digital finance:</w:t>
      </w:r>
    </w:p>
    <w:p>
      <w:r>
        <w:rPr>
          <w:b/>
          <w:bCs/>
        </w:rPr>
        <w:t xml:space="preserve">Large Language Models in Finance: </w:t>
      </w:r>
      <w:r>
        <w:t xml:space="preserve">Exploring practical applications of LLMs for financial analysis, risk assessment, and regulatory reporting, with emphasis on implementation challenges and opportunities specific to Swiss precision banking and MENA's rapidly evolving markets.</w:t>
      </w:r>
    </w:p>
    <w:p>
      <w:r>
        <w:rPr>
          <w:b/>
          <w:bCs/>
        </w:rPr>
        <w:t xml:space="preserve">Explainable AI for Regulatory Compliance: </w:t>
      </w:r>
      <w:r>
        <w:t xml:space="preserve">Developing transparent, interpretable AI systems that satisfy both Swiss Financial Market Supervisory Authority (FINMA) requirements and UAE regulatory frameworks, particularly relevant for institutions operating across jurisdictions.</w:t>
      </w:r>
    </w:p>
    <w:p>
      <w:r>
        <w:rPr>
          <w:b/>
          <w:bCs/>
        </w:rPr>
        <w:t xml:space="preserve">Machine Learning for Fraud Detection and Risk Management: </w:t>
      </w:r>
      <w:r>
        <w:t xml:space="preserve">Building on the principal investigators' published research, showcasing advanced techniques for identifying fraudulent activities and managing risk in increasingly complex digital financial ecosystems.</w:t>
      </w:r>
    </w:p>
    <w:p>
      <w:r>
        <w:t xml:space="preserve">The three-day structure maximizes knowledge exchange and network building:</w:t>
      </w:r>
    </w:p>
    <w:p>
      <w:r>
        <w:t xml:space="preserve">- Day 1 focuses on academic foundations, featuring keynote presentations and research papers</w:t>
      </w:r>
    </w:p>
    <w:p>
      <w:r>
        <w:t xml:space="preserve">- Day 2 bridges to industry applications with case studies from DIFC, Emirates NBD, and First Abu Dhabi Bank</w:t>
      </w:r>
    </w:p>
    <w:p>
      <w:r>
        <w:t xml:space="preserve">- Day 3 launches the network with doctoral training, working group formation, and MoU signing ceremony</w:t>
      </w:r>
    </w:p>
    <w:p>
      <w:pPr>
        <w:pStyle w:val="Heading1"/>
      </w:pPr>
      <w:r>
        <w:t xml:space="preserve">Target Audience and Strategic Engagement</w:t>
      </w:r>
    </w:p>
    <w:p>
      <w:r>
        <w:t xml:space="preserve">The workshop targets 80-100 carefully selected participants: 60% from academic institutions across Switzerland, UAE, and the broader MENA region, and 40% from the financial industry including banks, fintech companies, and regulatory bodies. This strategic mix ensures meaningful dialogue between research and practice, facilitating knowledge transfer and identifying real-world challenges for academic investigation.</w:t>
      </w:r>
    </w:p>
    <w:p>
      <w:r>
        <w:t xml:space="preserve">Key stakeholder engagement includes senior representatives from Dubai International Financial Centre (DIFC), major UAE banks including Emirates NBD and First Abu Dhabi Bank, Swiss financial technology companies, regulatory officials from both regions, and doctoral students from the MSCA Industrial Doctoral Network. This diverse participation ensures comprehensive perspectives on AI adoption in finance.</w:t>
      </w:r>
    </w:p>
    <w:p>
      <w:pPr>
        <w:pStyle w:val="Heading1"/>
      </w:pPr>
      <w:r>
        <w:t xml:space="preserve">Expected Outcomes and Sustainable Impact</w:t>
      </w:r>
    </w:p>
    <w:p>
      <w:r>
        <w:t xml:space="preserve">The workshop will produce concrete deliverables that extend impact beyond the event:</w:t>
      </w:r>
    </w:p>
    <w:p>
      <w:r>
        <w:rPr>
          <w:b/>
          <w:bCs/>
        </w:rPr>
        <w:t xml:space="preserve">Formal Network Establishment: </w:t>
      </w:r>
      <w:r>
        <w:t xml:space="preserve">The signing of a Memorandum of Understanding will officially launch the Swiss-MENA AI Finance Research Network, creating institutional frameworks for sustained collaboration.</w:t>
      </w:r>
    </w:p>
    <w:p>
      <w:r>
        <w:rPr>
          <w:b/>
          <w:bCs/>
        </w:rPr>
        <w:t xml:space="preserve">Strategic Research Roadmap: </w:t>
      </w:r>
      <w:r>
        <w:t xml:space="preserve">Development of a comprehensive 5-year research agenda identifying priority areas, funding opportunities, and collaboration mechanisms, providing clear direction for network activities.</w:t>
      </w:r>
    </w:p>
    <w:p>
      <w:r>
        <w:rPr>
          <w:b/>
          <w:bCs/>
        </w:rPr>
        <w:t xml:space="preserve">Knowledge Dissemination: </w:t>
      </w:r>
      <w:r>
        <w:t xml:space="preserve">Workshop proceedings published in open access format, a white paper on AI adoption in Swiss-MENA financial sectors targeting policymakers and industry leaders, and an online repository of presentations and resources ensuring continued accessibility.</w:t>
      </w:r>
    </w:p>
    <w:p>
      <w:r>
        <w:rPr>
          <w:b/>
          <w:bCs/>
        </w:rPr>
        <w:t xml:space="preserve">Publication Pipeline: </w:t>
      </w:r>
      <w:r>
        <w:t xml:space="preserve">The workshop will catalyze joint publications, special journal issues, and collaborative grant applications, creating tangible research outputs that advance the field.</w:t>
      </w:r>
    </w:p>
    <w:p>
      <w:pPr>
        <w:pStyle w:val="Heading1"/>
      </w:pPr>
      <w:r>
        <w:t xml:space="preserve">Strategic Significance and Innovation</w:t>
      </w:r>
    </w:p>
    <w:p>
      <w:r>
        <w:t xml:space="preserve">This workshop represents a first-of-its-kind initiative linking two globally significant financial centers through AI research collaboration. Switzerland's renowned precision in financial services and robust regulatory frameworks complement the UAE's dynamic growth and innovation-friendly environment. Both regions are actively developing AI strategies for their financial sectors, making this collaboration timely and strategically vital.</w:t>
      </w:r>
    </w:p>
    <w:p>
      <w:r>
        <w:t xml:space="preserve">The network addresses critical gaps in current research landscape by fostering dialogue between different regulatory approaches, bridging academic research with industry implementation, and creating pathways for knowledge transfer between established and emerging markets. By establishing formal collaboration mechanisms, the workshop lays groundwork for bilateral research programs, joint doctoral supervision, and industry-academia partnerships that will shape the future of AI in finance.</w:t>
      </w:r>
    </w:p>
    <w:p>
      <w:r>
        <w:t xml:space="preserve">The sustainable impact extends beyond immediate outputs, positioning both regions at the forefront of responsible AI adoption in finance while contributing to global best practices and standards development.</w:t>
      </w:r>
    </w:p>
    <w:p>
      <w:pPr>
        <w:spacing w:before="240"/>
      </w:pPr>
      <w:r>
        <w:rPr>
          <w:i/>
          <w:iCs/>
          <w:color w:val="666666"/>
        </w:rPr>
        <w:t xml:space="preserve">Character count: 4,996 (including spaces)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32"/>
      <w:szCs w:val="32"/>
    </w:rPr>
  </w:style>
  <w:style w:type="paragraph" w:styleId="Heading1">
    <w:name w:val="Heading 1"/>
    <w:basedOn w:val="Normal"/>
    <w:next w:val="Normal"/>
    <w:pPr>
      <w:spacing w:before="240" w:after="120"/>
      <w:outlineLvl w:val="0"/>
    </w:pPr>
    <w:rPr>
      <w:rFonts w:ascii="Arial" w:cs="Arial" w:eastAsia="Arial" w:hAnsi="Arial"/>
      <w:b/>
      <w:bCs/>
      <w:color w:val="000000"/>
      <w:sz w:val="28"/>
      <w:szCs w:val="28"/>
    </w:rPr>
  </w:style>
  <w:style w:type="paragraph" w:styleId="Heading2">
    <w:name w:val="Heading 2"/>
    <w:basedOn w:val="Normal"/>
    <w:next w:val="Normal"/>
    <w:pPr>
      <w:spacing w:before="120" w:after="1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2025-10-30T18:39:22.870Z</dcterms:created>
  <dcterms:modified xsi:type="dcterms:W3CDTF">2025-10-30T18:39:22.871Z</dcterms:modified>
</cp:coreProperties>
</file>

<file path=docProps/custom.xml><?xml version="1.0" encoding="utf-8"?>
<Properties xmlns="http://schemas.openxmlformats.org/officeDocument/2006/custom-properties" xmlns:vt="http://schemas.openxmlformats.org/officeDocument/2006/docPropsVTypes"/>
</file>