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Timeline, Milestones, and Risk Assessment</w:t>
      </w:r>
    </w:p>
    <w:p>
      <w:pPr>
        <w:pStyle w:val="Heading1"/>
      </w:pPr>
      <w:r>
        <w:t xml:space="preserve">Project Timeline and Implementation Phases</w:t>
      </w:r>
    </w:p>
    <w:p>
      <w:r>
        <w:t xml:space="preserve">The workshop implementation follows a carefully structured timeline spanning 8 months from application submission to final reporting, organized into three distinct phases ensuring systematic preparation, flawless execution, and sustainable outcomes.</w:t>
      </w:r>
    </w:p>
    <w:p>
      <w:pPr>
        <w:pStyle w:val="Heading2"/>
      </w:pPr>
      <w:r>
        <w:t xml:space="preserve">Phase 1: Pre-Workshop Preparation (December 2024 - March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000"/>
        <w:gridCol w:w="3500"/>
        <w:gridCol w:w="2000"/>
        <w:gridCol w:w="2500"/>
      </w:tblGrid>
      <w:tr>
        <w:trPr>
          <w:tblHeader/>
        </w:trPr>
        <w:tc>
          <w:tcPr>
            <w:tcBorders>
              <w:top w:val="single" w:color="CCCCCC" w:sz="1"/>
              <w:left w:val="single" w:color="CCCCCC" w:sz="1"/>
              <w:bottom w:val="single" w:color="CCCCCC" w:sz="1"/>
              <w:right w:val="single" w:color="CCCCCC" w:sz="1"/>
            </w:tcBorders>
            <w:shd w:fill="E5E5E5" w:val="clear"/>
          </w:tcPr>
          <w:p>
            <w:r>
              <w:rPr>
                <w:b/>
                <w:bCs/>
                <w:sz w:val="20"/>
                <w:szCs w:val="20"/>
              </w:rPr>
              <w:t xml:space="preserve">Month</w:t>
            </w:r>
          </w:p>
        </w:tc>
        <w:tc>
          <w:tcPr>
            <w:tcBorders>
              <w:top w:val="single" w:color="CCCCCC" w:sz="1"/>
              <w:left w:val="single" w:color="CCCCCC" w:sz="1"/>
              <w:bottom w:val="single" w:color="CCCCCC" w:sz="1"/>
              <w:right w:val="single" w:color="CCCCCC" w:sz="1"/>
            </w:tcBorders>
            <w:shd w:fill="E5E5E5" w:val="clear"/>
          </w:tcPr>
          <w:p>
            <w:r>
              <w:rPr>
                <w:b/>
                <w:bCs/>
                <w:sz w:val="20"/>
                <w:szCs w:val="20"/>
              </w:rPr>
              <w:t xml:space="preserve">Key Activities</w:t>
            </w:r>
          </w:p>
        </w:tc>
        <w:tc>
          <w:tcPr>
            <w:tcBorders>
              <w:top w:val="single" w:color="CCCCCC" w:sz="1"/>
              <w:left w:val="single" w:color="CCCCCC" w:sz="1"/>
              <w:bottom w:val="single" w:color="CCCCCC" w:sz="1"/>
              <w:right w:val="single" w:color="CCCCCC" w:sz="1"/>
            </w:tcBorders>
            <w:shd w:fill="E5E5E5" w:val="clear"/>
          </w:tcPr>
          <w:p>
            <w:r>
              <w:rPr>
                <w:b/>
                <w:bCs/>
                <w:sz w:val="20"/>
                <w:szCs w:val="20"/>
              </w:rPr>
              <w:t xml:space="preserve">Responsible</w:t>
            </w:r>
          </w:p>
        </w:tc>
        <w:tc>
          <w:tcPr>
            <w:tcBorders>
              <w:top w:val="single" w:color="CCCCCC" w:sz="1"/>
              <w:left w:val="single" w:color="CCCCCC" w:sz="1"/>
              <w:bottom w:val="single" w:color="CCCCCC" w:sz="1"/>
              <w:right w:val="single" w:color="CCCCCC" w:sz="1"/>
            </w:tcBorders>
            <w:shd w:fill="E5E5E5" w:val="clear"/>
          </w:tcPr>
          <w:p>
            <w:r>
              <w:rPr>
                <w:b/>
                <w:bCs/>
                <w:sz w:val="20"/>
                <w:szCs w:val="20"/>
              </w:rPr>
              <w:t xml:space="preserve">Deliverables</w:t>
            </w:r>
          </w:p>
        </w:tc>
      </w:tr>
      <w:tr>
        <w:tc>
          <w:tcPr>
            <w:tcBorders>
              <w:top w:val="single" w:color="CCCCCC" w:sz="1"/>
              <w:left w:val="single" w:color="CCCCCC" w:sz="1"/>
              <w:bottom w:val="single" w:color="CCCCCC" w:sz="1"/>
              <w:right w:val="single" w:color="CCCCCC" w:sz="1"/>
            </w:tcBorders>
          </w:tcPr>
          <w:p>
            <w:r>
              <w:rPr>
                <w:b/>
                <w:bCs/>
                <w:sz w:val="20"/>
                <w:szCs w:val="20"/>
              </w:rPr>
              <w:t xml:space="preserve">Dec 2024</w:t>
            </w:r>
          </w:p>
        </w:tc>
        <w:tc>
          <w:tcPr>
            <w:tcBorders>
              <w:top w:val="single" w:color="CCCCCC" w:sz="1"/>
              <w:left w:val="single" w:color="CCCCCC" w:sz="1"/>
              <w:bottom w:val="single" w:color="CCCCCC" w:sz="1"/>
              <w:right w:val="single" w:color="CCCCCC" w:sz="1"/>
            </w:tcBorders>
          </w:tcPr>
          <w:p>
            <w:r>
              <w:rPr>
                <w:sz w:val="20"/>
                <w:szCs w:val="20"/>
              </w:rPr>
              <w:t xml:space="preserve">Submit CCG application; Initial planning meeting; Establish organizing committee</w:t>
            </w:r>
          </w:p>
        </w:tc>
        <w:tc>
          <w:tcPr>
            <w:tcBorders>
              <w:top w:val="single" w:color="CCCCCC" w:sz="1"/>
              <w:left w:val="single" w:color="CCCCCC" w:sz="1"/>
              <w:bottom w:val="single" w:color="CCCCCC" w:sz="1"/>
              <w:right w:val="single" w:color="CCCCCC" w:sz="1"/>
            </w:tcBorders>
          </w:tcPr>
          <w:p>
            <w:r>
              <w:rPr>
                <w:sz w:val="20"/>
                <w:szCs w:val="20"/>
              </w:rPr>
              <w:t xml:space="preserve">Osterrieder/Chan</w:t>
            </w:r>
          </w:p>
        </w:tc>
        <w:tc>
          <w:tcPr>
            <w:tcBorders>
              <w:top w:val="single" w:color="CCCCCC" w:sz="1"/>
              <w:left w:val="single" w:color="CCCCCC" w:sz="1"/>
              <w:bottom w:val="single" w:color="CCCCCC" w:sz="1"/>
              <w:right w:val="single" w:color="CCCCCC" w:sz="1"/>
            </w:tcBorders>
          </w:tcPr>
          <w:p>
            <w:r>
              <w:rPr>
                <w:sz w:val="20"/>
                <w:szCs w:val="20"/>
              </w:rPr>
              <w:t xml:space="preserve">Application submitted; Committee formed</w:t>
            </w:r>
          </w:p>
        </w:tc>
      </w:tr>
      <w:tr>
        <w:tc>
          <w:tcPr>
            <w:tcBorders>
              <w:top w:val="single" w:color="CCCCCC" w:sz="1"/>
              <w:left w:val="single" w:color="CCCCCC" w:sz="1"/>
              <w:bottom w:val="single" w:color="CCCCCC" w:sz="1"/>
              <w:right w:val="single" w:color="CCCCCC" w:sz="1"/>
            </w:tcBorders>
          </w:tcPr>
          <w:p>
            <w:r>
              <w:rPr>
                <w:b/>
                <w:bCs/>
                <w:sz w:val="20"/>
                <w:szCs w:val="20"/>
              </w:rPr>
              <w:t xml:space="preserve">Feb 2025</w:t>
            </w:r>
          </w:p>
        </w:tc>
        <w:tc>
          <w:tcPr>
            <w:tcBorders>
              <w:top w:val="single" w:color="CCCCCC" w:sz="1"/>
              <w:left w:val="single" w:color="CCCCCC" w:sz="1"/>
              <w:bottom w:val="single" w:color="CCCCCC" w:sz="1"/>
              <w:right w:val="single" w:color="CCCCCC" w:sz="1"/>
            </w:tcBorders>
          </w:tcPr>
          <w:p>
            <w:r>
              <w:rPr>
                <w:sz w:val="20"/>
                <w:szCs w:val="20"/>
              </w:rPr>
              <w:t xml:space="preserve">CCG approval (expected); Launch website; Issue call for papers; Begin speaker invitations</w:t>
            </w:r>
          </w:p>
        </w:tc>
        <w:tc>
          <w:tcPr>
            <w:tcBorders>
              <w:top w:val="single" w:color="CCCCCC" w:sz="1"/>
              <w:left w:val="single" w:color="CCCCCC" w:sz="1"/>
              <w:bottom w:val="single" w:color="CCCCCC" w:sz="1"/>
              <w:right w:val="single" w:color="CCCCCC" w:sz="1"/>
            </w:tcBorders>
          </w:tcPr>
          <w:p>
            <w:r>
              <w:rPr>
                <w:sz w:val="20"/>
                <w:szCs w:val="20"/>
              </w:rPr>
              <w:t xml:space="preserve">FHGR lead</w:t>
            </w:r>
          </w:p>
        </w:tc>
        <w:tc>
          <w:tcPr>
            <w:tcBorders>
              <w:top w:val="single" w:color="CCCCCC" w:sz="1"/>
              <w:left w:val="single" w:color="CCCCCC" w:sz="1"/>
              <w:bottom w:val="single" w:color="CCCCCC" w:sz="1"/>
              <w:right w:val="single" w:color="CCCCCC" w:sz="1"/>
            </w:tcBorders>
          </w:tcPr>
          <w:p>
            <w:r>
              <w:rPr>
                <w:sz w:val="20"/>
                <w:szCs w:val="20"/>
              </w:rPr>
              <w:t xml:space="preserve">Live website; Call distributed</w:t>
            </w:r>
          </w:p>
        </w:tc>
      </w:tr>
      <w:tr>
        <w:tc>
          <w:tcPr>
            <w:tcBorders>
              <w:top w:val="single" w:color="CCCCCC" w:sz="1"/>
              <w:left w:val="single" w:color="CCCCCC" w:sz="1"/>
              <w:bottom w:val="single" w:color="CCCCCC" w:sz="1"/>
              <w:right w:val="single" w:color="CCCCCC" w:sz="1"/>
            </w:tcBorders>
          </w:tcPr>
          <w:p>
            <w:r>
              <w:rPr>
                <w:b/>
                <w:bCs/>
                <w:sz w:val="20"/>
                <w:szCs w:val="20"/>
              </w:rPr>
              <w:t xml:space="preserve">Sep 2025</w:t>
            </w:r>
          </w:p>
        </w:tc>
        <w:tc>
          <w:tcPr>
            <w:tcBorders>
              <w:top w:val="single" w:color="CCCCCC" w:sz="1"/>
              <w:left w:val="single" w:color="CCCCCC" w:sz="1"/>
              <w:bottom w:val="single" w:color="CCCCCC" w:sz="1"/>
              <w:right w:val="single" w:color="CCCCCC" w:sz="1"/>
            </w:tcBorders>
          </w:tcPr>
          <w:p>
            <w:r>
              <w:rPr>
                <w:sz w:val="20"/>
                <w:szCs w:val="20"/>
              </w:rPr>
              <w:t xml:space="preserve">Paper review process; Speaker confirmation deadline; Venue detailed planning</w:t>
            </w:r>
          </w:p>
        </w:tc>
        <w:tc>
          <w:tcPr>
            <w:tcBorders>
              <w:top w:val="single" w:color="CCCCCC" w:sz="1"/>
              <w:left w:val="single" w:color="CCCCCC" w:sz="1"/>
              <w:bottom w:val="single" w:color="CCCCCC" w:sz="1"/>
              <w:right w:val="single" w:color="CCCCCC" w:sz="1"/>
            </w:tcBorders>
          </w:tcPr>
          <w:p>
            <w:r>
              <w:rPr>
                <w:sz w:val="20"/>
                <w:szCs w:val="20"/>
              </w:rPr>
              <w:t xml:space="preserve">Chan/AUS</w:t>
            </w:r>
          </w:p>
        </w:tc>
        <w:tc>
          <w:tcPr>
            <w:tcBorders>
              <w:top w:val="single" w:color="CCCCCC" w:sz="1"/>
              <w:left w:val="single" w:color="CCCCCC" w:sz="1"/>
              <w:bottom w:val="single" w:color="CCCCCC" w:sz="1"/>
              <w:right w:val="single" w:color="CCCCCC" w:sz="1"/>
            </w:tcBorders>
          </w:tcPr>
          <w:p>
            <w:r>
              <w:rPr>
                <w:sz w:val="20"/>
                <w:szCs w:val="20"/>
              </w:rPr>
              <w:t xml:space="preserve">Reviews complete</w:t>
            </w:r>
          </w:p>
        </w:tc>
      </w:tr>
      <w:tr>
        <w:tc>
          <w:tcPr>
            <w:tcBorders>
              <w:top w:val="single" w:color="CCCCCC" w:sz="1"/>
              <w:left w:val="single" w:color="CCCCCC" w:sz="1"/>
              <w:bottom w:val="single" w:color="CCCCCC" w:sz="1"/>
              <w:right w:val="single" w:color="CCCCCC" w:sz="1"/>
            </w:tcBorders>
          </w:tcPr>
          <w:p>
            <w:r>
              <w:rPr>
                <w:b/>
                <w:bCs/>
                <w:sz w:val="20"/>
                <w:szCs w:val="20"/>
              </w:rPr>
              <w:t xml:space="preserve">Mar 2026</w:t>
            </w:r>
          </w:p>
        </w:tc>
        <w:tc>
          <w:tcPr>
            <w:tcBorders>
              <w:top w:val="single" w:color="CCCCCC" w:sz="1"/>
              <w:left w:val="single" w:color="CCCCCC" w:sz="1"/>
              <w:bottom w:val="single" w:color="CCCCCC" w:sz="1"/>
              <w:right w:val="single" w:color="CCCCCC" w:sz="1"/>
            </w:tcBorders>
          </w:tcPr>
          <w:p>
            <w:r>
              <w:rPr>
                <w:b/>
                <w:bCs/>
                <w:sz w:val="20"/>
                <w:szCs w:val="20"/>
              </w:rPr>
              <w:t xml:space="preserve">Milestone: All speakers confirmed; Materials design; Proceedings preparation begins</w:t>
            </w:r>
          </w:p>
        </w:tc>
        <w:tc>
          <w:tcPr>
            <w:tcBorders>
              <w:top w:val="single" w:color="CCCCCC" w:sz="1"/>
              <w:left w:val="single" w:color="CCCCCC" w:sz="1"/>
              <w:bottom w:val="single" w:color="CCCCCC" w:sz="1"/>
              <w:right w:val="single" w:color="CCCCCC" w:sz="1"/>
            </w:tcBorders>
          </w:tcPr>
          <w:p>
            <w:r>
              <w:rPr>
                <w:sz w:val="20"/>
                <w:szCs w:val="20"/>
              </w:rPr>
              <w:t xml:space="preserve">Both teams</w:t>
            </w:r>
          </w:p>
        </w:tc>
        <w:tc>
          <w:tcPr>
            <w:tcBorders>
              <w:top w:val="single" w:color="CCCCCC" w:sz="1"/>
              <w:left w:val="single" w:color="CCCCCC" w:sz="1"/>
              <w:bottom w:val="single" w:color="CCCCCC" w:sz="1"/>
              <w:right w:val="single" w:color="CCCCCC" w:sz="1"/>
            </w:tcBorders>
          </w:tcPr>
          <w:p>
            <w:r>
              <w:rPr>
                <w:sz w:val="20"/>
                <w:szCs w:val="20"/>
              </w:rPr>
              <w:t xml:space="preserve">Speaker roster complete</w:t>
            </w:r>
          </w:p>
        </w:tc>
      </w:tr>
    </w:tbl>
    <w:p>
      <w:pPr>
        <w:pStyle w:val="Heading2"/>
      </w:pPr>
      <w:r>
        <w:t xml:space="preserve">Phase 2: Workshop Execution (April 2026)</w:t>
      </w:r>
    </w:p>
    <w:p>
      <w:r>
        <w:t xml:space="preserve">April 1-7: Final participant confirmations; Materials printing; Technical infrastructure testing</w:t>
      </w:r>
    </w:p>
    <w:p>
      <w:r>
        <w:t xml:space="preserve">April 8-14: Hybrid platform final testing; Streaming setup verification; Recording equipment check</w:t>
      </w:r>
    </w:p>
    <w:p>
      <w:r>
        <w:rPr>
          <w:b/>
          <w:bCs/>
        </w:rPr>
        <w:t xml:space="preserve">April 15-20: Milestone - 80 participants registered; </w:t>
      </w:r>
      <w:r>
        <w:t xml:space="preserve">Opening ceremony rehearsal; MoU signing preparation; Final logistics check</w:t>
      </w:r>
    </w:p>
    <w:p>
      <w:r>
        <w:t xml:space="preserve">April 21: Day 1 execution - Opening, keynotes, research sessions, welcome reception</w:t>
      </w:r>
    </w:p>
    <w:p>
      <w:r>
        <w:t xml:space="preserve">April 22: Day 2 execution - Industry sessions, panels, roundtables</w:t>
      </w:r>
    </w:p>
    <w:p>
      <w:r>
        <w:rPr>
          <w:b/>
          <w:bCs/>
        </w:rPr>
        <w:t xml:space="preserve">April 23: Day 3 execution - Milestone: MoU signing ceremony; </w:t>
      </w:r>
      <w:r>
        <w:t xml:space="preserve">Network launch; Working groups formation</w:t>
      </w:r>
    </w:p>
    <w:p>
      <w:pPr>
        <w:pStyle w:val="Heading2"/>
      </w:pPr>
      <w:r>
        <w:t xml:space="preserve">Phase 3: Post-Workshop Activities (May - July 2026)</w:t>
      </w:r>
    </w:p>
    <w:p>
      <w:r>
        <w:t xml:space="preserve">May 2026: Participant feedback collection; Initial impact assessment; Proceedings compilation; First network virtual meeting</w:t>
      </w:r>
    </w:p>
    <w:p>
      <w:r>
        <w:t xml:space="preserve">June 2026: CCG activity report submission; Financial report preparation; Proceedings finalization and publication; Media coverage documentation</w:t>
      </w:r>
    </w:p>
    <w:p>
      <w:r>
        <w:t xml:space="preserve">July 2026: Network platform launch; Working group activation; 3-month impact assessment; Bilateral funding proposal development</w:t>
      </w:r>
    </w:p>
    <w:p>
      <w:pPr>
        <w:pStyle w:val="Heading1"/>
      </w:pPr>
      <w:r>
        <w:t xml:space="preserve">Key Milestones and Success Indicators</w:t>
      </w:r>
    </w:p>
    <w:p>
      <w:r>
        <w:rPr>
          <w:b/>
          <w:bCs/>
        </w:rPr>
        <w:t xml:space="preserve">March 2026 - Speaker Confirmation: </w:t>
      </w:r>
      <w:r>
        <w:t xml:space="preserve">All three keynote speakers and session chairs confirmed, ensuring program quality and drawing power. This milestone triggers final marketing push and validates workshop credibility.</w:t>
      </w:r>
    </w:p>
    <w:p>
      <w:r>
        <w:rPr>
          <w:b/>
          <w:bCs/>
        </w:rPr>
        <w:t xml:space="preserve">April 15, 2026 - Registration Target: </w:t>
      </w:r>
      <w:r>
        <w:t xml:space="preserve">Achievement of 80 registered participants with appropriate academic-industry mix (60/40) confirms market interest and ensures critical mass for networking and knowledge exchange.</w:t>
      </w:r>
    </w:p>
    <w:p>
      <w:r>
        <w:rPr>
          <w:b/>
          <w:bCs/>
        </w:rPr>
        <w:t xml:space="preserve">April 23, 2026 - Network Launch: </w:t>
      </w:r>
      <w:r>
        <w:t xml:space="preserve">Formal MoU signing by 10+ institutions during closing ceremony, establishing the Swiss-MENA AI Finance Research Network as a sustainable collaboration framework beyond the workshop.</w:t>
      </w:r>
    </w:p>
    <w:p>
      <w:r>
        <w:t xml:space="preserve">Success metrics tracked throughout include weekly registration numbers from January 2026, partner institution engagement levels measured by confirmed participants and speakers, and media coverage through press mentions and social media reach, providing real-time feedback on workshop momentum and enabling timely adjustments.</w:t>
      </w:r>
    </w:p>
    <w:p>
      <w:pPr>
        <w:pStyle w:val="Heading1"/>
      </w:pPr>
      <w:r>
        <w:t xml:space="preserve">Risk Assessment and Mitigation Strategies</w:t>
      </w:r>
    </w:p>
    <w:p>
      <w:pPr>
        <w:pStyle w:val="Heading2"/>
      </w:pPr>
      <w:r>
        <w:t xml:space="preserve">Risk 1: Low Participation</w:t>
      </w:r>
    </w:p>
    <w:p>
      <w:r>
        <w:rPr>
          <w:b/>
          <w:bCs/>
        </w:rPr>
        <w:t xml:space="preserve">Probability: </w:t>
      </w:r>
      <w:r>
        <w:t xml:space="preserve">Medium | </w:t>
      </w:r>
      <w:r>
        <w:rPr>
          <w:b/>
          <w:bCs/>
        </w:rPr>
        <w:t xml:space="preserve">Impact: </w:t>
      </w:r>
      <w:r>
        <w:t xml:space="preserve">High</w:t>
      </w:r>
    </w:p>
    <w:p>
      <w:r>
        <w:t xml:space="preserve">Insufficient registration could undermine networking objectives and financial viability. Early warning indicators include registration below 40 by February 2026 or limited industry engagement by March 2026.</w:t>
      </w:r>
    </w:p>
    <w:p>
      <w:r>
        <w:rPr>
          <w:b/>
          <w:bCs/>
        </w:rPr>
        <w:t xml:space="preserve">Mitigation Strategy: </w:t>
      </w:r>
      <w:r>
        <w:t xml:space="preserve">Partner institution mobilization ensures baseline participation, with each core partner (FHGR, AUS, MSCA network) committing to minimum 10 participants. Strategic partnerships with DIFC and major banks secure industry attendance. Hybrid participation option expands reach beyond physical constraints. If registration lags, implement targeted outreach to specific departments and enhanced social media campaign.</w:t>
      </w:r>
    </w:p>
    <w:p>
      <w:pPr>
        <w:pStyle w:val="Heading2"/>
      </w:pPr>
      <w:r>
        <w:t xml:space="preserve">Risk 2: Speaker Cancellations</w:t>
      </w:r>
    </w:p>
    <w:p>
      <w:r>
        <w:rPr>
          <w:b/>
          <w:bCs/>
        </w:rPr>
        <w:t xml:space="preserve">Probability: </w:t>
      </w:r>
      <w:r>
        <w:t xml:space="preserve">Medium | </w:t>
      </w:r>
      <w:r>
        <w:rPr>
          <w:b/>
          <w:bCs/>
        </w:rPr>
        <w:t xml:space="preserve">Impact: </w:t>
      </w:r>
      <w:r>
        <w:t xml:space="preserve">Medium-High</w:t>
      </w:r>
    </w:p>
    <w:p>
      <w:r>
        <w:t xml:space="preserve">Keynote speaker withdrawal could diminish workshop prestige and program coherence, particularly if occurring close to event date.</w:t>
      </w:r>
    </w:p>
    <w:p>
      <w:r>
        <w:rPr>
          <w:b/>
          <w:bCs/>
        </w:rPr>
        <w:t xml:space="preserve">Mitigation Strategy: </w:t>
      </w:r>
      <w:r>
        <w:t xml:space="preserve">Early confirmation requirement by March 2026 provides buffer for alternatives. Backup speakers identified for each keynote slot, prioritizing UAE-based experts to eliminate travel risks. Virtual presentation capability ensures speakers can participate remotely if travel becomes impossible. Local alternatives from Emirates NBD, FAB, and DIFC provide credible substitutes leveraging existing relationships.</w:t>
      </w:r>
    </w:p>
    <w:p>
      <w:pPr>
        <w:pStyle w:val="Heading2"/>
      </w:pPr>
      <w:r>
        <w:t xml:space="preserve">Risk 3: Budget Overrun</w:t>
      </w:r>
    </w:p>
    <w:p>
      <w:r>
        <w:rPr>
          <w:b/>
          <w:bCs/>
        </w:rPr>
        <w:t xml:space="preserve">Probability: </w:t>
      </w:r>
      <w:r>
        <w:t xml:space="preserve">Low | </w:t>
      </w:r>
      <w:r>
        <w:rPr>
          <w:b/>
          <w:bCs/>
        </w:rPr>
        <w:t xml:space="preserve">Impact: </w:t>
      </w:r>
      <w:r>
        <w:t xml:space="preserve">Medium</w:t>
      </w:r>
    </w:p>
    <w:p>
      <w:r>
        <w:t xml:space="preserve">Unexpected costs or exchange rate fluctuations could strain financial resources, potentially requiring scope reduction.</w:t>
      </w:r>
    </w:p>
    <w:p>
      <w:r>
        <w:rPr>
          <w:b/>
          <w:bCs/>
        </w:rPr>
        <w:t xml:space="preserve">Mitigation Strategy: </w:t>
      </w:r>
      <w:r>
        <w:t xml:space="preserve">Conservative budgeting with 10% implicit contingency across categories. Detailed monthly expense tracking from February 2026. Scalable elements (catering, materials) can be adjusted without compromising core objectives. Registration fees provide buffer against minor overruns. Strong co-funding commitments from partners provide additional flexibility.</w:t>
      </w:r>
    </w:p>
    <w:p>
      <w:pPr>
        <w:pStyle w:val="Heading2"/>
      </w:pPr>
      <w:r>
        <w:t xml:space="preserve">Secondary Risk Considerations</w:t>
      </w:r>
    </w:p>
    <w:p>
      <w:r>
        <w:rPr>
          <w:b/>
          <w:bCs/>
        </w:rPr>
        <w:t xml:space="preserve">Technical Failures: </w:t>
      </w:r>
      <w:r>
        <w:t xml:space="preserve">Hybrid platform malfunction could exclude virtual participants. Mitigated through extensive testing in April, backup streaming service, and local recording ensuring content availability post-event.</w:t>
      </w:r>
    </w:p>
    <w:p>
      <w:r>
        <w:rPr>
          <w:b/>
          <w:bCs/>
        </w:rPr>
        <w:t xml:space="preserve">Regional Tensions: </w:t>
      </w:r>
      <w:r>
        <w:t xml:space="preserve">Geopolitical developments could affect travel or participation. Mitigated through hybrid format ensuring continuity, diverse geographic participation reducing single-country dependency, and flexible program allowing virtual keynote delivery.</w:t>
      </w:r>
    </w:p>
    <w:p>
      <w:r>
        <w:rPr>
          <w:b/>
          <w:bCs/>
        </w:rPr>
        <w:t xml:space="preserve">Quality Concerns: </w:t>
      </w:r>
      <w:r>
        <w:t xml:space="preserve">Insufficient quality paper submissions could weaken academic credibility. Mitigated through rigorous review process, invited papers from established researchers, and poster session providing additional presentation opportunities.</w:t>
      </w:r>
    </w:p>
    <w:p>
      <w:pPr>
        <w:pStyle w:val="Heading1"/>
      </w:pPr>
      <w:r>
        <w:t xml:space="preserve">Critical Success Factors</w:t>
      </w:r>
    </w:p>
    <w:p>
      <w:r>
        <w:t xml:space="preserve">Timeline execution depends on several critical factors maintained throughout: consistent bi-weekly coordination meetings between Osterrieder and Chan ensuring aligned progress, clear communication channels with all stakeholders through dedicated project management platform, proactive risk monitoring with monthly review meetings, and flexible response capability to adjust tactics while maintaining strategic objectives.</w:t>
      </w:r>
    </w:p>
    <w:p>
      <w:r>
        <w:t xml:space="preserve">The comprehensive preparation phase (December-March) establishes foundation for success, with particular attention to early speaker confirmation and registration momentum. The intensive final month preparation ensures operational excellence, while post-workshop activities cement long-term impact through network activation and documented outcomes.</w:t>
      </w:r>
    </w:p>
    <w:p>
      <w:r>
        <w:t xml:space="preserve">This structured approach with clear milestones, comprehensive risk mitigation, and success metrics ensures the workshop achieves its ambitious objectives while maintaining resilience against potential challenges.</w:t>
      </w:r>
    </w:p>
    <w:p>
      <w:pPr>
        <w:spacing w:before="240"/>
      </w:pPr>
      <w:r>
        <w:rPr>
          <w:i/>
          <w:iCs/>
          <w:color w:val="666666"/>
        </w:rPr>
        <w:t xml:space="preserve">Character count: 4,992 (including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pPr>
      <w:spacing w:before="240" w:after="120"/>
      <w:outlineLvl w:val="0"/>
    </w:pPr>
    <w:rPr>
      <w:rFonts w:ascii="Arial" w:cs="Arial" w:eastAsia="Arial" w:hAnsi="Arial"/>
      <w:b/>
      <w:bCs/>
      <w:color w:val="000000"/>
      <w:sz w:val="28"/>
      <w:szCs w:val="28"/>
    </w:rPr>
  </w:style>
  <w:style w:type="paragraph" w:styleId="Heading2">
    <w:name w:val="Heading 2"/>
    <w:basedOn w:val="Normal"/>
    <w:pPr>
      <w:spacing w:before="120" w:after="120"/>
      <w:outlineLvl w:val="1"/>
    </w:pPr>
    <w:rPr>
      <w:rFonts w:ascii="Arial" w:cs="Arial" w:eastAsia="Arial" w:hAnsi="Arial"/>
      <w:b/>
      <w:bCs/>
      <w:color w:val="000000"/>
      <w:sz w:val="24"/>
      <w:szCs w:val="24"/>
    </w:rPr>
  </w:style>
  <w:style w:type="paragraph" w:styleId="Heading3">
    <w:name w:val="Heading 3"/>
    <w:basedOn w:val="Normal"/>
    <w:pPr>
      <w:spacing w:before="120" w:after="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2025-10-30T17:44:03.651Z</dcterms:created>
  <dcterms:modified xsi:type="dcterms:W3CDTF">2025-10-30T17:44:03.656Z</dcterms:modified>
</cp:coreProperties>
</file>

<file path=docProps/custom.xml><?xml version="1.0" encoding="utf-8"?>
<Properties xmlns="http://schemas.openxmlformats.org/officeDocument/2006/custom-properties" xmlns:vt="http://schemas.openxmlformats.org/officeDocument/2006/docPropsVTypes"/>
</file>