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Kenya Public Health Surveillance RAG Assistant — Progress Report</w:t>
      </w:r>
    </w:p>
    <w:p>
      <w:r>
        <w:rPr>
          <w:i/>
        </w:rPr>
        <w:t>A grounded chatbot over Kenya's three official disease-surveillance documents. Built as a FastAPI RAG service with a CPU-hosted LLM, designed for later embedding into the UHAI dashboard.</w:t>
      </w:r>
    </w:p>
    <w:p>
      <w:pPr>
        <w:pStyle w:val="Heading1"/>
      </w:pPr>
      <w:r>
        <w:t>1. Scope and Source Documents</w:t>
      </w:r>
    </w:p>
    <w:p>
      <w:r>
        <w:rPr>
          <w:b w:val="0"/>
        </w:rPr>
        <w:t>The system is grounded exclusively in three official documents — nothing else is in the knowledge base:</w:t>
      </w:r>
    </w:p>
    <w:p>
      <w:pPr>
        <w:pStyle w:val="ListBullet"/>
      </w:pPr>
      <w:r>
        <w:t>IDSR Technical Guidelines for Kenya, 3rd Edition (MoH, May 2022) — 600 pages</w:t>
      </w:r>
    </w:p>
    <w:p>
      <w:pPr>
        <w:pStyle w:val="ListBullet"/>
      </w:pPr>
      <w:r>
        <w:t>Decision-Making Tool for Public Health Emergencies, DMT-PHE (KNPHI, 2025) — 77 pages</w:t>
      </w:r>
    </w:p>
    <w:p>
      <w:pPr>
        <w:pStyle w:val="ListBullet"/>
      </w:pPr>
      <w:r>
        <w:t>Digital Public Health Surveillance Architecture and Roadmap (KNPHI, 2026–2030) — 83 pages</w:t>
      </w:r>
    </w:p>
    <w:p>
      <w:pPr>
        <w:pStyle w:val="Heading1"/>
      </w:pPr>
      <w:r>
        <w:t>2. What Has Been Built</w:t>
      </w:r>
    </w:p>
    <w:p>
      <w:r>
        <w:rPr>
          <w:b w:val="0"/>
        </w:rPr>
        <w:t>Architecture: PDFs → page-anchored chunking (pypdf) → 3,045 chunks → all-MiniLM-L6-v2 embeddings → FAISS cosine index → retrieval reranking → grounded LLM answer → FastAPI /chat + chat UI.</w:t>
      </w:r>
    </w:p>
    <w:p>
      <w:pPr>
        <w:pStyle w:val="ListBullet"/>
      </w:pPr>
      <w:r>
        <w:t>Page-anchored ingestion: every chunk carries source document + page number, enabling trustworthy citations.</w:t>
      </w:r>
    </w:p>
    <w:p>
      <w:pPr>
        <w:pStyle w:val="ListBullet"/>
      </w:pPr>
      <w:r>
        <w:t>Hybrid retrieval: semantic similarity (FAISS) reranked by lexical overlap, intent-aware boosting (signs/symptoms/case-definition language near the disease name), and a form/template penalty so data-entry annexes don't crowd out clinical guidance.</w:t>
      </w:r>
    </w:p>
    <w:p>
      <w:pPr>
        <w:pStyle w:val="ListBullet"/>
      </w:pPr>
      <w:r>
        <w:t>Two answer modes: an LLM mode (qwen2, 7B, CPU via llama.cpp llama-server, OpenAI-compatible API) with a strict grounded system prompt, plus an extractive fallback returning verbatim passages if the LLM is unreachable — the system can never fabricate guidance.</w:t>
      </w:r>
    </w:p>
    <w:p>
      <w:pPr>
        <w:pStyle w:val="ListBullet"/>
      </w:pPr>
      <w:r>
        <w:t>Greeting handling: casual inputs (hi, hello, habari...) get a welcome reply explaining capabilities, with no retrieval.</w:t>
      </w:r>
    </w:p>
    <w:p>
      <w:pPr>
        <w:pStyle w:val="ListBullet"/>
      </w:pPr>
      <w:r>
        <w:t>MIN_SCORE floor: low-relevance questions get an honest 'not found in the documents' reply.</w:t>
      </w:r>
    </w:p>
    <w:p>
      <w:pPr>
        <w:pStyle w:val="ListBullet"/>
      </w:pPr>
      <w:r>
        <w:t>Minimal blue-themed chat UI served at / ; REST API at /chat; Swagger docs at /docs; health check at /health.</w:t>
      </w:r>
    </w:p>
    <w:p>
      <w:pPr>
        <w:pStyle w:val="ListBullet"/>
      </w:pPr>
      <w:r>
        <w:t>run.sh / stop.sh one-command scripts for local operation.</w:t>
      </w:r>
    </w:p>
    <w:p>
      <w:pPr>
        <w:pStyle w:val="ListBullet"/>
      </w:pPr>
      <w:r>
        <w:t>Verified outputs: Ebola case definition, cholera signs &amp; symptoms, national escalation criteria, health-worker reporting steps — all accurate and grounded.</w:t>
      </w:r>
    </w:p>
    <w:p>
      <w:pPr>
        <w:pStyle w:val="Heading1"/>
      </w:pPr>
      <w:r>
        <w:t>3. Challenges and How They Were Resolved</w:t>
      </w:r>
    </w:p>
    <w:p>
      <w:pPr>
        <w:pStyle w:val="Heading2"/>
      </w:pPr>
      <w:r>
        <w:t>3.1 Document-side challenges</w:t>
      </w:r>
    </w:p>
    <w:p>
      <w:pPr>
        <w:pStyle w:val="ListBullet"/>
      </w:pPr>
      <w:r>
        <w:t>Scale and density: the IDSR guideline is 600 pages with case-definition tables, annexes and forms mixed together — naive chunking drowned clinical guidance in templates. Resolved with intent-aware reranking and a form/template penalty.</w:t>
      </w:r>
    </w:p>
    <w:p>
      <w:pPr>
        <w:pStyle w:val="ListBullet"/>
      </w:pPr>
      <w:r>
        <w:t>Extraction noise: embedded fonts (MyriadPro, Montserrat, CFF Type1) produced font-parsing warnings and stray surrogate characters that broke JSON encoding. Resolved by installing fontTools and stripping surrogate codepoints during cleaning.</w:t>
      </w:r>
    </w:p>
    <w:p>
      <w:pPr>
        <w:pStyle w:val="ListBullet"/>
      </w:pPr>
      <w:r>
        <w:t>Overlapping concepts across documents: 'threshold' and 'escalation' appear in all three docs with different meanings (IDSR alert thresholds vs DMT-PHE escalation levels vs roadmap analytics). Resolved by tagging every chunk with its source document so answers stay attributable.</w:t>
      </w:r>
    </w:p>
    <w:p>
      <w:pPr>
        <w:pStyle w:val="ListBullet"/>
      </w:pPr>
      <w:r>
        <w:t>Tabular data: disease tables in IDSR extract poorly as linear text (column interleaving). Resolved partially via focused-window extraction; a remaining known limitation (see §5).</w:t>
      </w:r>
    </w:p>
    <w:p>
      <w:pPr>
        <w:pStyle w:val="Heading2"/>
      </w:pPr>
      <w:r>
        <w:t>3.2 Code/infrastructure challenges</w:t>
      </w:r>
    </w:p>
    <w:p>
      <w:pPr>
        <w:pStyle w:val="ListBullet"/>
      </w:pPr>
      <w:r>
        <w:t>CUDA bloat: pip initially pulled ~2.5GB of NVIDIA CUDA wheels for torch on a CPU-only machine. Resolved by installing torch from the CPU-only wheel index and uninstalling the nvidia-* packages.</w:t>
      </w:r>
    </w:p>
    <w:p>
      <w:pPr>
        <w:pStyle w:val="ListBullet"/>
      </w:pPr>
      <w:r>
        <w:t>Broken Ollama: the installed Ollama (0.40.3, source build) is missing its llama-server backend binary, so model serving failed. Resolved by serving the same qwen2 GGUF blob (already downloaded by Ollama) through the llama.cpp llama-server binary bundled with Android Studio — an OpenAI-compatible API on port 8081, no new downloads required.</w:t>
      </w:r>
    </w:p>
    <w:p>
      <w:pPr>
        <w:pStyle w:val="ListBullet"/>
      </w:pPr>
      <w:r>
        <w:t>Retrieval drift: 'signs and symptoms of cholera' initially returned dehydration-treatment protocols instead of the case definition. Resolved with lexical reranking, entity-proximity intent boosts and focused answer windows — the answer now returns clinical description + case definitions.</w:t>
      </w:r>
    </w:p>
    <w:p>
      <w:pPr>
        <w:pStyle w:val="ListBullet"/>
      </w:pPr>
      <w:r>
        <w:t>Shell self-termination: pkill patterns matched the agent's own shell command line during restarts. Resolved with narrower matching and process listing guards.</w:t>
      </w:r>
    </w:p>
    <w:p>
      <w:pPr>
        <w:pStyle w:val="Heading1"/>
      </w:pPr>
      <w:r>
        <w:t>4. Dashboard Embedding Options</w:t>
      </w:r>
    </w:p>
    <w:p>
      <w:r>
        <w:rPr>
          <w:b w:val="0"/>
        </w:rPr>
        <w:t>Four integration paths for the UHAI dashboard, fastest to deepest:</w:t>
      </w:r>
    </w:p>
    <w:p>
      <w:pPr>
        <w:pStyle w:val="ListBullet"/>
      </w:pPr>
      <w:r>
        <w:t>REST API embed (recommended): dashboard backend calls POST /chat; returns answer, mode, citations, disclaimer. Clean separation of concerns.</w:t>
      </w:r>
    </w:p>
    <w:p>
      <w:pPr>
        <w:pStyle w:val="ListBullet"/>
      </w:pPr>
      <w:r>
        <w:t>Iframe widget: embed the existing UI (/) as a dashboard panel — zero frontend work, good for demos.</w:t>
      </w:r>
    </w:p>
    <w:p>
      <w:pPr>
        <w:pStyle w:val="ListBullet"/>
      </w:pPr>
      <w:r>
        <w:t>Embeddable JS widget: a &lt;script&gt; snippet calling /chat (requires enabling CORS middleware — a one-line change).</w:t>
      </w:r>
    </w:p>
    <w:p>
      <w:pPr>
        <w:pStyle w:val="ListBullet"/>
      </w:pPr>
      <w:r>
        <w:t>Library integration: dashboard imports app/ modules directly (deepest coupling, only if they want to own the stack).</w:t>
      </w:r>
    </w:p>
    <w:p>
      <w:pPr>
        <w:pStyle w:val="Heading1"/>
      </w:pPr>
      <w:r>
        <w:t>5. What Remains / Next Steps</w:t>
      </w:r>
    </w:p>
    <w:p>
      <w:pPr>
        <w:pStyle w:val="ListBullet"/>
      </w:pPr>
      <w:r>
        <w:t>Response speed &amp; latency: the single biggest remaining task. Planned approaches:</w:t>
      </w:r>
    </w:p>
    <w:p>
      <w:pPr>
        <w:pStyle w:val="ListBullet"/>
      </w:pPr>
      <w:r>
        <w:t xml:space="preserve">   – Smaller/faster model: swap qwen2-7B for a 1.5–3B instruct model (qwen2.5-1.5B/3B, Llama-3.2-1B/3B) — expect 3–5× faster token generation on CPU.</w:t>
      </w:r>
    </w:p>
    <w:p>
      <w:pPr>
        <w:pStyle w:val="ListBullet"/>
      </w:pPr>
      <w:r>
        <w:t xml:space="preserve">   – Persistent embeddings: cache chunk embeddings in store/embeddings.npy so server startup loads instantly instead of re-encoding for ~90s.</w:t>
      </w:r>
    </w:p>
    <w:p>
      <w:pPr>
        <w:pStyle w:val="ListBullet"/>
      </w:pPr>
      <w:r>
        <w:t xml:space="preserve">   – Context trimming: pass fewer/shorter excerpts to the LLM (top-3 focused windows) to cut prompt-processing time.</w:t>
      </w:r>
    </w:p>
    <w:p>
      <w:pPr>
        <w:pStyle w:val="ListBullet"/>
      </w:pPr>
      <w:r>
        <w:t xml:space="preserve">   – Streaming responses: stream tokens to the UI so answers appear progressively instead of waiting for full generation.</w:t>
      </w:r>
    </w:p>
    <w:p>
      <w:pPr>
        <w:pStyle w:val="ListBullet"/>
      </w:pPr>
      <w:r>
        <w:t xml:space="preserve">   – Keep-alive / pre-warming: keep the model loaded and send a warmup request at startup so first user query isn't slow.</w:t>
      </w:r>
    </w:p>
    <w:p>
      <w:pPr>
        <w:pStyle w:val="ListBullet"/>
      </w:pPr>
      <w:r>
        <w:t xml:space="preserve">   – KV-cache reuse &amp; prompt caching on llama-server for repeated context prefixes.</w:t>
      </w:r>
    </w:p>
    <w:p>
      <w:pPr>
        <w:pStyle w:val="ListBullet"/>
      </w:pPr>
      <w:r>
        <w:t xml:space="preserve">   – Quantization tuning: test Q4_K_M vs Q4_0 vs Q3 quant variants for the best CPU speed/quality trade-off.</w:t>
      </w:r>
    </w:p>
    <w:p>
      <w:pPr>
        <w:pStyle w:val="ListBullet"/>
      </w:pPr>
      <w:r>
        <w:t>Evaluation harness: build a gold Q&amp;A set (question → expected document/page) to measure retrieval recall and answer faithfulness before and after fine-tuning.</w:t>
      </w:r>
    </w:p>
    <w:p>
      <w:pPr>
        <w:pStyle w:val="ListBullet"/>
      </w:pPr>
      <w:r>
        <w:t>Fine-tuning: domain fine-tune of the embedding model (and optionally the LLM) on surveillance Q&amp;A pairs to sharpen retrieval and answer style.</w:t>
      </w:r>
    </w:p>
    <w:p>
      <w:pPr>
        <w:pStyle w:val="ListBullet"/>
      </w:pPr>
      <w:r>
        <w:t>Table-aware extraction: handle IDSR case-definition tables properly (currently partially garbled by PDF column interleaving).</w:t>
      </w:r>
    </w:p>
    <w:p>
      <w:pPr>
        <w:pStyle w:val="ListBullet"/>
      </w:pPr>
      <w:r>
        <w:t>Ollama repair (optional): finish the official Ollama install so it replaces the llama-server workaround for easier model management (ollama pull/run).</w:t>
      </w:r>
    </w:p>
    <w:p>
      <w:pPr>
        <w:pStyle w:val="ListBullet"/>
      </w:pPr>
      <w:r>
        <w:t>UHAI dashboard integration: enable CORS, pick an embed path (Section 4), authenticate the endpoint if exposed beyond localhost.</w:t>
      </w:r>
    </w:p>
    <w:p>
      <w:pPr>
        <w:pStyle w:val="ListBullet"/>
      </w:pPr>
      <w:r>
        <w:t>Conversation memory: short multi-turn context so follow-ups like 'and its incubation period?' resolve the last disease mentioned.</w:t>
      </w:r>
    </w:p>
    <w:p>
      <w:pPr>
        <w:pStyle w:val="ListBullet"/>
      </w:pPr>
      <w:r>
        <w:t>Deployment hardening: systemd units for auto-restart, request logging, and a proper disclaimer review with the MoH stakeholders.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