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209E0" w:rsidRDefault="00000000">
      <w:pPr>
        <w:spacing w:after="240" w:line="240" w:lineRule="auto"/>
        <w:rPr>
          <w:rFonts w:ascii="Times New Roman" w:eastAsia="Times New Roman" w:hAnsi="Times New Roman"/>
          <w:sz w:val="24"/>
          <w:szCs w:val="24"/>
        </w:rPr>
      </w:pPr>
      <w:r>
        <w:rPr>
          <w:rFonts w:cs="Calibri"/>
          <w:b/>
          <w:color w:val="000000"/>
          <w:sz w:val="24"/>
          <w:szCs w:val="24"/>
          <w:u w:val="single"/>
        </w:rPr>
        <w:t>Polysemicolon; Novice Programmers and Java Keywords</w:t>
      </w:r>
      <w:r>
        <w:rPr>
          <w:rFonts w:cs="Calibri"/>
          <w:b/>
          <w:color w:val="000000"/>
          <w:sz w:val="24"/>
          <w:szCs w:val="24"/>
        </w:rPr>
        <w:t xml:space="preserve"> </w:t>
      </w:r>
      <w:r>
        <w:rPr>
          <w:rFonts w:cs="Calibri"/>
          <w:i/>
          <w:color w:val="000000"/>
          <w:sz w:val="24"/>
          <w:szCs w:val="24"/>
        </w:rPr>
        <w:t>(Briana Bettin)</w:t>
      </w:r>
    </w:p>
    <w:p w14:paraId="00000002"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Abstract</w:t>
      </w:r>
    </w:p>
    <w:p w14:paraId="00000003"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Industry standard programming languages often leverage the English language for reserved keywords – words interpreted as specific execution commands for the compiled program. The Java programming language is no exception to using English reserved keywords, and is used widely in industrial and educational settings.</w:t>
      </w:r>
    </w:p>
    <w:p w14:paraId="00000004"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The expert-novice programmer divide exemplifies an intriguing middle-ground for navigating metaphor and highlighting polysemic interpretations of keywords. For experts, keywords become “dead metaphor” (drawn from </w:t>
      </w:r>
      <w:r>
        <w:rPr>
          <w:sz w:val="24"/>
          <w:szCs w:val="24"/>
        </w:rPr>
        <w:t>“</w:t>
      </w:r>
      <w:sdt>
        <w:sdtPr>
          <w:tag w:val="goog_rdk_0"/>
          <w:id w:val="217647159"/>
        </w:sdtPr>
        <w:sdtContent>
          <w:commentRangeStart w:id="0"/>
        </w:sdtContent>
      </w:sdt>
      <w:sdt>
        <w:sdtPr>
          <w:tag w:val="goog_rdk_1"/>
          <w:id w:val="1785611950"/>
        </w:sdtPr>
        <w:sdtContent>
          <w:commentRangeStart w:id="1"/>
        </w:sdtContent>
      </w:sdt>
      <w:r>
        <w:rPr>
          <w:rFonts w:cs="Calibri"/>
          <w:color w:val="000000"/>
          <w:sz w:val="24"/>
          <w:szCs w:val="24"/>
        </w:rPr>
        <w:t>career of metaphor</w:t>
      </w:r>
      <w:commentRangeEnd w:id="0"/>
      <w:r>
        <w:commentReference w:id="0"/>
      </w:r>
      <w:commentRangeEnd w:id="1"/>
      <w:r>
        <w:commentReference w:id="1"/>
      </w:r>
      <w:r>
        <w:rPr>
          <w:sz w:val="24"/>
          <w:szCs w:val="24"/>
        </w:rPr>
        <w:t>”</w:t>
      </w:r>
      <w:r>
        <w:rPr>
          <w:rFonts w:cs="Calibri"/>
          <w:color w:val="000000"/>
          <w:sz w:val="24"/>
          <w:szCs w:val="24"/>
        </w:rPr>
        <w:t xml:space="preserve"> theory). That is, the expert sees the keyword – often the entire grammatical construct with it – and derives programmatic meaning near instantly. For the expert, there is rare consideration of alternative English-language interpretations. Novices however, in attempting to first navigate programming, may use these English keywords as familiar landmarks in unfamiliar terrain. Amidst a sea of semicolons, single letter variables, and math operators, they may gravitate to familiar words such as “if” or “while” to derive meaning. </w:t>
      </w:r>
    </w:p>
    <w:p w14:paraId="00000005"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Attempts by novices to create meaning using these English definitions can, however, result in potential misconceptions. The word “for” as a preposition has over a dozen distinct definitions. Which definition should a novice programmer use to achieve understanding in learning to program, and what misconceptions may they develop through alternatives to the “correct” choice? For some keywords, there may be no completely “correct” definition. While this ambiguity can create a myriad of interpretations for critical code studies, it can provide pitfalls for those first learning to program.</w:t>
      </w:r>
      <w:r>
        <w:rPr>
          <w:rFonts w:ascii="Times New Roman" w:eastAsia="Times New Roman" w:hAnsi="Times New Roman"/>
          <w:sz w:val="24"/>
          <w:szCs w:val="24"/>
        </w:rPr>
        <w:t xml:space="preserve"> </w:t>
      </w:r>
      <w:r>
        <w:rPr>
          <w:rFonts w:cs="Calibri"/>
          <w:color w:val="000000"/>
          <w:sz w:val="24"/>
          <w:szCs w:val="24"/>
        </w:rPr>
        <w:t>This essay samples several keyword interpretations that novice programmers may derive from the Java language’s keywords and how polysemous meaning may affect their interpretation. Through observation of students in their CS1 class, the author began exploring how polysemy, linguistics, and metaphoric interpretations may affect understanding in beginner courses. These students are largely native English speakers, highlighting that understanding rifts exist even for native and colloquial speakers.</w:t>
      </w:r>
    </w:p>
    <w:p w14:paraId="00000006"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Code snippets are explored with both compiled keyword meanings and potential understood meanings. This provides insight into pathways for student reasoning and navigation in the programming landscape. The myriad of potential conclusions or definitions are contrasted against the compiler’s singular interpretation, and how the polysemic potential of natural language falls to singular dead metaphor in experts. This stark difference between natural linguistics, critical code analysis, and compiled code meaning highlights contrasts between programming and natural languages, in addition to highlight paradigm shifts that may occur in pursuit of expertise. </w:t>
      </w:r>
    </w:p>
    <w:p w14:paraId="00000007"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This essay investigates the interplay of linguistics and syntax within novice mental models alongside considerations and conclusions that can be drawn from keyword polysemy.  </w:t>
      </w:r>
    </w:p>
    <w:p w14:paraId="00000008" w14:textId="77777777" w:rsidR="001209E0" w:rsidRDefault="001209E0">
      <w:pPr>
        <w:spacing w:after="0" w:line="240" w:lineRule="auto"/>
        <w:rPr>
          <w:rFonts w:ascii="Times New Roman" w:eastAsia="Times New Roman" w:hAnsi="Times New Roman"/>
          <w:sz w:val="24"/>
          <w:szCs w:val="24"/>
        </w:rPr>
      </w:pPr>
    </w:p>
    <w:p w14:paraId="00000009"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lastRenderedPageBreak/>
        <w:t>1 – Strangers in a Strange Land: Novices at the Terminal</w:t>
      </w:r>
    </w:p>
    <w:p w14:paraId="0000000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Learning to program a computer is not an easy task: we wave goodbye to the shores of our analog realm, immersed in pools of strict digital logic. Novice programmers often struggle to navigate this new terrain:  with strange symbols punctuating supposed sentences, and perplexing rules governing the effects of their efforts. When considering the complexity of the novice’s first voyage into programming, it is little wonder that syntactic keywords which appear as “real words," can become beacons they affix their interpretations to. </w:t>
      </w:r>
    </w:p>
    <w:p w14:paraId="0000000B"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1.1 Building Beacons: Core Concepts in this Essay’s Exploration</w:t>
      </w:r>
    </w:p>
    <w:p w14:paraId="0000000C"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Before setting out, let us place a grounding keyword beacon for this essay. The term “polysemy” suggests “the coexistence of many possible meanings for a word or phrase." n this essay, polysemy refers to the concept of multiple interpretations used while reasoning is at the forefront.</w:t>
      </w:r>
    </w:p>
    <w:p w14:paraId="0000000D"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Polysemy naturally cohabitates with ambiguity: with many paths of interpretation before us, which one will we choose? A word, a phrase, an idea, or a creative work may have many meanings, exemplifying polysemy. This space for interpretation, for meaning-making, is central to critical analysis and human creative endeavors. The beauty of ambiguity, however, comes from a deep enough understanding to recognize and explore this ambiguity. The interpretation of polysemy in critical code studies requires one to be able to recognize a multitude of meanings within the text – to “walk each path” and consider its destination.</w:t>
      </w:r>
    </w:p>
    <w:p w14:paraId="0000000E"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This potential gives polysemy its poetic power, as seen in critical readings and literature interpretations throughout human history. In pedagogical contexts, however, polysemy can create tension. The intense novelty of learning new skills and information can place pragmatic limits on our ability to appreciate polysemy. When learning </w:t>
      </w:r>
      <w:r>
        <w:rPr>
          <w:rFonts w:cs="Calibri"/>
          <w:i/>
          <w:color w:val="000000"/>
          <w:sz w:val="24"/>
          <w:szCs w:val="24"/>
        </w:rPr>
        <w:t>how</w:t>
      </w:r>
      <w:r>
        <w:rPr>
          <w:rFonts w:cs="Calibri"/>
          <w:color w:val="000000"/>
          <w:sz w:val="24"/>
          <w:szCs w:val="24"/>
        </w:rPr>
        <w:t xml:space="preserve"> to do a task (reading or writing, for example) we focus on skill development and tool mastery. Many pathways become an obstacle in this context: we cannot appreciate “walking paths of meaning” when we are still achieving a baseline of the ground beneath our feet. </w:t>
      </w:r>
    </w:p>
    <w:p w14:paraId="0000000F"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Before we can craft new meaning – exploring complexity and abstraction, inviting novelty – we must first understand how to wield what might be termed “original” or “intended” meanings. We subvert and transcend through meaning making only through knowledge of existing expectations and interpretations. As Critical Code Studies notes, “As with all texts, the discovery and creation of meaning grow out of the act of reading and interpretation” (Marino, 2020) – but this act of meaning making requires the skill of reading and the ability to interpret what we have read to be present first. Through this work’s usage of the term, polysemy may appear to be a negative to be “eradicated." This is not the intention: it is a foundation of critical code studies and to creative analysis and exploration of code. However, critical code studies rests on foundations of meaning-making </w:t>
      </w:r>
      <w:r>
        <w:rPr>
          <w:rFonts w:cs="Calibri"/>
          <w:i/>
          <w:color w:val="000000"/>
          <w:sz w:val="24"/>
          <w:szCs w:val="24"/>
        </w:rPr>
        <w:t>about and with code</w:t>
      </w:r>
      <w:r>
        <w:rPr>
          <w:rFonts w:cs="Calibri"/>
          <w:color w:val="000000"/>
          <w:sz w:val="24"/>
          <w:szCs w:val="24"/>
        </w:rPr>
        <w:t>, which may consequently require“exploring pathways." </w:t>
      </w:r>
    </w:p>
    <w:p w14:paraId="00000010"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lastRenderedPageBreak/>
        <w:t>This challenge for novices learning to program is the crux of this paper.. Novices often must first “resolve” on some level inherent polysemy in code – “choose a correct path” – in order to conceptually understand programming. Once the task of programming is understood, they may return and explore critically, recognizing and appreciating the multitude of polysemic paths. </w:t>
      </w:r>
    </w:p>
    <w:p w14:paraId="00000011"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This essay explores specifically how the polysemy inherent in programming language design through the use of English keywords can affect novice efforts to “make sense” of coding as a practice. For instructors of novice programmers, language designers seeking to create scaffolding for novice programmers to ease the barrier to entry, or for those seeking to understand how novice programmers may interpret code throughout the process of learning it, the question is how might this ambiguity be “resolved.” </w:t>
      </w:r>
    </w:p>
    <w:p w14:paraId="00000012"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 difficulties in polysemy “resolution” for novice learners should not be conflated with critical analysis and interpretation. Where inherent polysemy can create challenges on the path to learning, it creates potential and poetry by seeing code as a complex cultural text in the hands of experts.</w:t>
      </w:r>
    </w:p>
    <w:p w14:paraId="00000013"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1.2 Mental Maps: How Do We Rationalize and Reason? </w:t>
      </w:r>
    </w:p>
    <w:p w14:paraId="00000014"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To better understand novice programmer engagement with syntactic keywords, it is vital to consider the consistent perils they overcome while exploring learning to code. Our investigation here of the novice’s journey begins with the concept of working memory and chunks in order to build our theoretical framework on cognitive limits. Expansion on these topics and their correlation to novice programming comprehension can be found in the author’s dissertation (Bettin, 2020). </w:t>
      </w:r>
    </w:p>
    <w:p w14:paraId="00000015"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Neuro, cognitive, and learning sciences present evidence helping us better understand novice programmers and the difficulty navigating digital landscapes. Novices develop mental models of their environments, including the task of programming. Mental models vary in size, complexity, and interconnectivity, but the summation of these models and their connections form the cognitive basis of how we understand the world around us (Norman, 1983; Glynn, 1994). </w:t>
      </w:r>
    </w:p>
    <w:p w14:paraId="00000016"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Learning to program can require developing many models. These may range from “how a loop executes” to “how the computer interprets programming instructions," as well as connecting to other models, such as “interpreting real world and word problems to solve using code." Humans can possess multiple models of a single idea: interconnected models comprising a theme (such as the interconnected “programming models” shown prior), fragmented or partial models, and even distinctly different toggling models surrounding the same idea to view a problem from new perspectives (Norman, 1983; de Kleer and Brown, 1993; Linder, 1993). Modeling is a foundational theory in human cognition, making it foundational to understanding the process of learning to code.</w:t>
      </w:r>
    </w:p>
    <w:p w14:paraId="00000017"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Our mental models help us reason about the world and organize the vast quantity of information in our minds. A complex problem becomes easier to solve when we recognize </w:t>
      </w:r>
      <w:r>
        <w:rPr>
          <w:rFonts w:cs="Calibri"/>
          <w:color w:val="000000"/>
          <w:sz w:val="24"/>
          <w:szCs w:val="24"/>
        </w:rPr>
        <w:lastRenderedPageBreak/>
        <w:t xml:space="preserve">component parts and their operational relationships. Understanding of those components is built upon pre-existing mental models, which we use to reason about concepts like potential action, reaction, and utility. When presented with problems so novel that we are forced to reason intensely on each individual piece, our success in reasoning suffers (Anderson and Jeffries, 1985; Muller et al 2007; Vainio and Sajaniemi, 2007). In neuroscience, this lowered reasoning capability is largely correlated to working memory – the area of our brain devoted to active problem reasoning. This area is fast at reasoning about and retrieving relevant information but limited in the “space” it has for this information. Folk science (in this case informed by neuroscientific theory) suggests considering memory as 7 “plus or minus 2” chunks (Miller, 1956). For a novice learning to program, the whole problem space is a novel area, and each moving part can require distinct attention. </w:t>
      </w:r>
    </w:p>
    <w:p w14:paraId="00000018"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“Chunks” in working memory is useful for understanding the difficult task novice programmers face. Mental model consolidation and organization helps to reduce the number of “chunks” taken up in working memory, creating more space for ideas and reasoning processes. If one is asked to remember the numbers “4 8 15 16 23 42," this would typically take up six imagined “chunks” of memory to actively maintain these disjoint pieces of information. However, if a fan of the TV show LOST is asked to recall “The Numbers” (Liber, Abrams, and Lindeloff, 2004) they might easily retrieve this information as one model, even after significant time has passed from the remembrance task being given. </w:t>
      </w:r>
    </w:p>
    <w:p w14:paraId="00000019"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Mental models aid in meaning attribution through such consolidation, making complex ideas and connections easier to access and retrieve. This leaves more working memory for active reasoning tasks, like using those numbers to do calculations and recall any necessary steps. Anyone who has repeated a phone number under their breath, or counted out loud only to start over after a distraction, has first-hand experience with working memory’s limitations. We only have so many “chunks” to devote to the problem at hand, and when we cannot or have not developed a mental model for the problem space yet, our ability to complete the task suffers as we struggle to juggle information and reasoning with limited chunks (Anderson and Jeffries, 1985; Muller et al 2007; Vainio and Sajaniemi, 2007). </w:t>
      </w:r>
    </w:p>
    <w:p w14:paraId="0000001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For the novice programmer, the nature of being a novice makes nearly every aspect of the programming task new: they are indeed strangers in a strange land. Individual lines of code are not even chunks – they are made up of chunks! Each element in that line is a separate glyph they must reason about. To understand this further, let us contrast the novice with the expert (or at least, more senior) programmer. </w:t>
      </w:r>
    </w:p>
    <w:p w14:paraId="0000001B"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2 – Exploring Expertise:  Chunking and the Career of Coding Metaphor</w:t>
      </w:r>
    </w:p>
    <w:p w14:paraId="0000001C"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Where the novice sees each element as novel and distinct, experts see abstracted meaning. </w:t>
      </w:r>
      <w:r>
        <w:rPr>
          <w:rFonts w:cs="Calibri"/>
          <w:color w:val="000000"/>
          <w:sz w:val="24"/>
          <w:szCs w:val="24"/>
        </w:rPr>
        <w:br/>
        <w:t>Quickly glance at this Java example snippet:</w:t>
      </w:r>
    </w:p>
    <w:p w14:paraId="0000001D" w14:textId="77777777" w:rsidR="001209E0" w:rsidRDefault="00000000">
      <w:pPr>
        <w:spacing w:before="240" w:after="240" w:line="240" w:lineRule="auto"/>
        <w:rPr>
          <w:rFonts w:ascii="Times New Roman" w:eastAsia="Times New Roman" w:hAnsi="Times New Roman"/>
          <w:sz w:val="24"/>
          <w:szCs w:val="24"/>
        </w:rPr>
      </w:pPr>
      <w:r w:rsidRPr="00C1775A">
        <w:rPr>
          <w:rFonts w:ascii="Consolas" w:eastAsia="Consolas" w:hAnsi="Consolas" w:cs="Consolas"/>
          <w:color w:val="000000"/>
          <w:sz w:val="24"/>
          <w:szCs w:val="24"/>
          <w:highlight w:val="yellow"/>
        </w:rPr>
        <w:lastRenderedPageBreak/>
        <w:t>for(int i = 0; i &lt; 10; i++){</w:t>
      </w:r>
      <w:r w:rsidRPr="00C1775A">
        <w:rPr>
          <w:rFonts w:ascii="Consolas" w:eastAsia="Consolas" w:hAnsi="Consolas" w:cs="Consolas"/>
          <w:color w:val="000000"/>
          <w:sz w:val="24"/>
          <w:szCs w:val="24"/>
          <w:highlight w:val="yellow"/>
        </w:rPr>
        <w:br/>
        <w:t xml:space="preserve">         System.out.println(i * i);</w:t>
      </w:r>
      <w:r w:rsidRPr="00C1775A">
        <w:rPr>
          <w:rFonts w:ascii="Consolas" w:eastAsia="Consolas" w:hAnsi="Consolas" w:cs="Consolas"/>
          <w:color w:val="000000"/>
          <w:sz w:val="24"/>
          <w:szCs w:val="24"/>
          <w:highlight w:val="yellow"/>
        </w:rPr>
        <w:br/>
        <w:t>}</w:t>
      </w:r>
      <w:r>
        <w:rPr>
          <w:rFonts w:ascii="Consolas" w:eastAsia="Consolas" w:hAnsi="Consolas" w:cs="Consolas"/>
          <w:color w:val="000000"/>
          <w:sz w:val="24"/>
          <w:szCs w:val="24"/>
        </w:rPr>
        <w:t> </w:t>
      </w:r>
    </w:p>
    <w:p w14:paraId="0000001E"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If you have programmed before, what does the above mean to you? </w:t>
      </w:r>
    </w:p>
    <w:p w14:paraId="0000001F"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Depending on your level of confidence or cursory glance speed, you may indicate something high-level such as “it's a loop” or “it repeats and prints something." Perhaps you got more specific: “it prints the squares of the iterated values," “it’s a loop that runs ten times," or “the code prints the square of all values between 0 and 9." You may have had confusion at first if you have programmed in another language which uses the keyword “for” that is not Java, but you likely still arrived at an iteration-based conclusion. Regardless of how you interpreted the snippet (though how one communicates their interpretation is a viable critical code exploration in itself), your mental model of programming informs that quickly reasoned abstraction: repetition is happening in relation to numeric values. </w:t>
      </w:r>
    </w:p>
    <w:p w14:paraId="00000020"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For the novice, there are several potential barriers to that abstraction. Where experts simply see “a for loop” as a single chunk, the novice is still reasoning about “what a for loop is." Let us imagine for a moment working memory “chunks” as an array in Java – a finitely sized grouping of elements. We will set our working memory array to a length of seven elements and attempt to represent the contents. This is of course a naive representation of our mental processes, but can help us understand the reasoning divide. The expert’s working memory in reviewing the snippet might currently be represented as:</w:t>
      </w:r>
    </w:p>
    <w:tbl>
      <w:tblPr>
        <w:tblStyle w:val="a1"/>
        <w:tblW w:w="3454" w:type="dxa"/>
        <w:tblInd w:w="-100" w:type="dxa"/>
        <w:tblLayout w:type="fixed"/>
        <w:tblLook w:val="0400" w:firstRow="0" w:lastRow="0" w:firstColumn="0" w:lastColumn="0" w:noHBand="0" w:noVBand="1"/>
      </w:tblPr>
      <w:tblGrid>
        <w:gridCol w:w="880"/>
        <w:gridCol w:w="1474"/>
        <w:gridCol w:w="220"/>
        <w:gridCol w:w="220"/>
        <w:gridCol w:w="220"/>
        <w:gridCol w:w="220"/>
        <w:gridCol w:w="220"/>
      </w:tblGrid>
      <w:tr w:rsidR="001209E0" w14:paraId="52CF985A" w14:textId="77777777">
        <w:tc>
          <w:tcPr>
            <w:tcW w:w="9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1"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For loop</w:t>
            </w:r>
          </w:p>
        </w:tc>
        <w:tc>
          <w:tcPr>
            <w:tcW w:w="15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2"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Loop body logic</w:t>
            </w:r>
          </w:p>
        </w:tc>
        <w:tc>
          <w:tcPr>
            <w:tcW w:w="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3" w14:textId="77777777" w:rsidR="001209E0" w:rsidRDefault="001209E0">
            <w:pPr>
              <w:spacing w:after="0" w:line="240" w:lineRule="auto"/>
              <w:rPr>
                <w:rFonts w:ascii="Times New Roman" w:eastAsia="Times New Roman" w:hAnsi="Times New Roman"/>
                <w:sz w:val="24"/>
                <w:szCs w:val="24"/>
              </w:rPr>
            </w:pPr>
          </w:p>
        </w:tc>
        <w:tc>
          <w:tcPr>
            <w:tcW w:w="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4" w14:textId="77777777" w:rsidR="001209E0" w:rsidRDefault="001209E0">
            <w:pPr>
              <w:spacing w:after="0" w:line="240" w:lineRule="auto"/>
              <w:rPr>
                <w:rFonts w:ascii="Times New Roman" w:eastAsia="Times New Roman" w:hAnsi="Times New Roman"/>
                <w:sz w:val="24"/>
                <w:szCs w:val="24"/>
              </w:rPr>
            </w:pPr>
          </w:p>
        </w:tc>
        <w:tc>
          <w:tcPr>
            <w:tcW w:w="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5" w14:textId="77777777" w:rsidR="001209E0" w:rsidRDefault="001209E0">
            <w:pPr>
              <w:spacing w:after="0" w:line="240" w:lineRule="auto"/>
              <w:rPr>
                <w:rFonts w:ascii="Times New Roman" w:eastAsia="Times New Roman" w:hAnsi="Times New Roman"/>
                <w:sz w:val="24"/>
                <w:szCs w:val="24"/>
              </w:rPr>
            </w:pPr>
          </w:p>
        </w:tc>
        <w:tc>
          <w:tcPr>
            <w:tcW w:w="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6" w14:textId="77777777" w:rsidR="001209E0" w:rsidRDefault="001209E0">
            <w:pPr>
              <w:spacing w:after="0" w:line="240" w:lineRule="auto"/>
              <w:rPr>
                <w:rFonts w:ascii="Times New Roman" w:eastAsia="Times New Roman" w:hAnsi="Times New Roman"/>
                <w:sz w:val="24"/>
                <w:szCs w:val="24"/>
              </w:rPr>
            </w:pPr>
          </w:p>
        </w:tc>
        <w:tc>
          <w:tcPr>
            <w:tcW w:w="2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7" w14:textId="77777777" w:rsidR="001209E0" w:rsidRDefault="001209E0">
            <w:pPr>
              <w:spacing w:after="0" w:line="240" w:lineRule="auto"/>
              <w:rPr>
                <w:rFonts w:ascii="Times New Roman" w:eastAsia="Times New Roman" w:hAnsi="Times New Roman"/>
                <w:sz w:val="24"/>
                <w:szCs w:val="24"/>
              </w:rPr>
            </w:pPr>
          </w:p>
        </w:tc>
      </w:tr>
    </w:tbl>
    <w:p w14:paraId="00000028"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 xml:space="preserve">Figure 1: </w:t>
      </w:r>
      <w:r>
        <w:rPr>
          <w:rFonts w:cs="Calibri"/>
          <w:color w:val="000000"/>
          <w:sz w:val="24"/>
          <w:szCs w:val="24"/>
        </w:rPr>
        <w:t>Diagram representing potential “chunks” used in expert programmer comprehension of the for-loop code snippet</w:t>
      </w:r>
    </w:p>
    <w:p w14:paraId="00000029"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There is plenty of space for reasoning and “reconsolidating/collapsing” ideas. An expert may use a chunk to consider the “iteration pattern” and reason about the executions iterating variable i does, before reconsolidating that information back into the “for loop” chunk to “free up space” again. Experts often do such reconsolidation without recognizing any significant mental processing has even occurred!</w:t>
      </w:r>
    </w:p>
    <w:p w14:paraId="0000002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On the other hand, the novice is still developing their model of what a loop is. Their working memory looks much different. They reason about each component piece, trying to recall distinct sets of instructions and rules for each piece to ascribe meaning to the whole. For example:</w:t>
      </w:r>
    </w:p>
    <w:tbl>
      <w:tblPr>
        <w:tblStyle w:val="a2"/>
        <w:tblW w:w="9340" w:type="dxa"/>
        <w:tblInd w:w="-100" w:type="dxa"/>
        <w:tblLayout w:type="fixed"/>
        <w:tblLook w:val="0400" w:firstRow="0" w:lastRow="0" w:firstColumn="0" w:lastColumn="0" w:noHBand="0" w:noVBand="1"/>
      </w:tblPr>
      <w:tblGrid>
        <w:gridCol w:w="847"/>
        <w:gridCol w:w="1571"/>
        <w:gridCol w:w="1615"/>
        <w:gridCol w:w="1067"/>
        <w:gridCol w:w="1786"/>
        <w:gridCol w:w="1232"/>
        <w:gridCol w:w="1222"/>
      </w:tblGrid>
      <w:tr w:rsidR="001209E0" w14:paraId="0114A11F" w14:textId="77777777">
        <w:tc>
          <w:tcPr>
            <w:tcW w:w="84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B"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lastRenderedPageBreak/>
              <w:t>for keyword</w:t>
            </w:r>
          </w:p>
        </w:tc>
        <w:tc>
          <w:tcPr>
            <w:tcW w:w="157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C"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three semicolon separated elements in parentheses after keyword</w:t>
            </w:r>
          </w:p>
        </w:tc>
        <w:tc>
          <w:tcPr>
            <w:tcW w:w="1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D"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Variable i is used across parenthetical elements</w:t>
            </w:r>
          </w:p>
        </w:tc>
        <w:tc>
          <w:tcPr>
            <w:tcW w:w="10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E"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i is compared to the value 10</w:t>
            </w:r>
          </w:p>
        </w:tc>
        <w:tc>
          <w:tcPr>
            <w:tcW w:w="178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2F"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i and order of three parenthetical elements somehow relates to keyword</w:t>
            </w:r>
          </w:p>
        </w:tc>
        <w:tc>
          <w:tcPr>
            <w:tcW w:w="123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30"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Statement with println in curly brackets</w:t>
            </w:r>
          </w:p>
        </w:tc>
        <w:tc>
          <w:tcPr>
            <w:tcW w:w="122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000031" w14:textId="77777777" w:rsidR="001209E0" w:rsidRDefault="00000000">
            <w:pPr>
              <w:spacing w:after="0" w:line="240" w:lineRule="auto"/>
              <w:rPr>
                <w:rFonts w:ascii="Times New Roman" w:eastAsia="Times New Roman" w:hAnsi="Times New Roman"/>
                <w:sz w:val="24"/>
                <w:szCs w:val="24"/>
              </w:rPr>
            </w:pPr>
            <w:r>
              <w:rPr>
                <w:rFonts w:ascii="Consolas" w:eastAsia="Consolas" w:hAnsi="Consolas" w:cs="Consolas"/>
                <w:color w:val="000000"/>
                <w:sz w:val="24"/>
                <w:szCs w:val="24"/>
              </w:rPr>
              <w:t>Code in curly brackets somehow relates to keyword</w:t>
            </w:r>
          </w:p>
        </w:tc>
      </w:tr>
    </w:tbl>
    <w:p w14:paraId="00000032"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 xml:space="preserve">Figure 2: </w:t>
      </w:r>
      <w:r>
        <w:rPr>
          <w:rFonts w:cs="Calibri"/>
          <w:color w:val="000000"/>
          <w:sz w:val="24"/>
          <w:szCs w:val="24"/>
        </w:rPr>
        <w:t>Diagram representing potential “chunks” used in novice programmer comprehension of the for-loop snippet.</w:t>
      </w:r>
    </w:p>
    <w:p w14:paraId="00000033"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 novice’s seven “chunks” are easily taken up in this example just assessing components of the for-loop structure. They must then also reason about potential vocabulary words, orders of operations, and use each element simultaneously in working memory to ascribe meaning to the entire snippet in order to understand it. The novice is also likely still assimilating prior topics, requiring additional resources to recall ideas still being formed in mental models, such as variables or conditional comparison behavior. This overload of working memory causes forgetting, mistakes, and slowed reasoning as one attempts to make the problem space more manageable. </w:t>
      </w:r>
    </w:p>
    <w:p w14:paraId="00000034"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But </w:t>
      </w:r>
      <w:r>
        <w:rPr>
          <w:rFonts w:cs="Calibri"/>
          <w:i/>
          <w:color w:val="000000"/>
          <w:sz w:val="24"/>
          <w:szCs w:val="24"/>
        </w:rPr>
        <w:t>why</w:t>
      </w:r>
      <w:r>
        <w:rPr>
          <w:rFonts w:cs="Calibri"/>
          <w:color w:val="000000"/>
          <w:sz w:val="24"/>
          <w:szCs w:val="24"/>
        </w:rPr>
        <w:t xml:space="preserve"> do novices and experts reason so differently? Career of metaphor (Gentner and Bowdle, 2008) offers potential insight. Career of metaphor suggests metaphoric interpretation undergoes four distinct phases: novel, conventional, frozen, and dead. “Novel” metaphor is entirely new; we must actively work to create connections and attribute meaning. As metaphor becomes “conventional," the concept and its metaphoric meaning is considered alongside other ascribed meanings, normalizing the concept’s metaphoric associations. “Frozen” metaphors are stuck in an intriguing historical state: their meaning is primarily metaphoric, but the rationale underlying this metaphoric meaning is easily known and reasoned about. “Dead” metaphors become purely associated with metaphoric meaning, with their historic roots largely unknown or not considered in reasoning. </w:t>
      </w:r>
    </w:p>
    <w:p w14:paraId="00000035"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The original paper introduces career of metaphor’s progression using the term “blockbuster” (Gentner and Bowdle, 2008). Here, I use the concept of the “save” function on a computer. “Save” being associated with a semiotic representation of a floppy disk was novel, requiring consideration to associate the action and result (“clicking this button saves information to the object that looks like this”). As the metaphor became conventionalized, one did not need to “develop” the line of reasoning between why the floppy disk was a metaphor for “Save” – it became implicit. As save functionality moved toward CD-ROM, USB, and other forms, the icon of the floppy disk remained: exemplifying a “frozen” metaphor. Many folks could still easily recall the original connection, but the iconography was entirely metaphoric. Finally, Generation Z onward saw the floppy disk as a dead metaphor, associating it only with/as the save icon. The </w:t>
      </w:r>
      <w:r>
        <w:rPr>
          <w:rFonts w:cs="Calibri"/>
          <w:color w:val="000000"/>
          <w:sz w:val="24"/>
          <w:szCs w:val="24"/>
        </w:rPr>
        <w:lastRenderedPageBreak/>
        <w:t>metaphoric roots were not relevant to understanding the representation: the floppy disk “is” the save icon. </w:t>
      </w:r>
    </w:p>
    <w:p w14:paraId="00000036" w14:textId="77777777" w:rsidR="001209E0" w:rsidRDefault="00000000">
      <w:pPr>
        <w:spacing w:before="240" w:after="240" w:line="240" w:lineRule="auto"/>
        <w:rPr>
          <w:rFonts w:ascii="Times New Roman" w:eastAsia="Times New Roman" w:hAnsi="Times New Roman"/>
          <w:sz w:val="24"/>
          <w:szCs w:val="24"/>
        </w:rPr>
      </w:pPr>
      <w:r>
        <w:rPr>
          <w:rFonts w:cs="Calibri"/>
          <w:noProof/>
          <w:color w:val="000000"/>
          <w:sz w:val="24"/>
          <w:szCs w:val="24"/>
        </w:rPr>
        <w:drawing>
          <wp:inline distT="0" distB="0" distL="0" distR="0" wp14:anchorId="3F44E8C1" wp14:editId="51A21CDD">
            <wp:extent cx="5943600" cy="32289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943600" cy="3228975"/>
                    </a:xfrm>
                    <a:prstGeom prst="rect">
                      <a:avLst/>
                    </a:prstGeom>
                    <a:ln/>
                  </pic:spPr>
                </pic:pic>
              </a:graphicData>
            </a:graphic>
          </wp:inline>
        </w:drawing>
      </w:r>
      <w:r>
        <w:rPr>
          <w:rFonts w:cs="Calibri"/>
          <w:b/>
          <w:color w:val="000000"/>
          <w:sz w:val="24"/>
          <w:szCs w:val="24"/>
        </w:rPr>
        <w:t>Figure 3:</w:t>
      </w:r>
      <w:r>
        <w:rPr>
          <w:rFonts w:cs="Calibri"/>
          <w:color w:val="000000"/>
          <w:sz w:val="24"/>
          <w:szCs w:val="24"/>
        </w:rPr>
        <w:t xml:space="preserve"> Diagram showcasing career of metaphor through the “save” functionality on a computer. From author’s dissertation (Bettin, 2020)</w:t>
      </w:r>
    </w:p>
    <w:p w14:paraId="00000037" w14:textId="77777777" w:rsidR="001209E0" w:rsidRDefault="00000000">
      <w:pPr>
        <w:spacing w:before="240" w:after="240" w:line="240" w:lineRule="auto"/>
        <w:rPr>
          <w:rFonts w:cs="Calibri"/>
          <w:color w:val="000000"/>
          <w:sz w:val="24"/>
          <w:szCs w:val="24"/>
        </w:rPr>
      </w:pPr>
      <w:r>
        <w:rPr>
          <w:rFonts w:cs="Calibri"/>
          <w:color w:val="000000"/>
          <w:sz w:val="24"/>
          <w:szCs w:val="24"/>
        </w:rPr>
        <w:t xml:space="preserve">Career of metaphor and expert coder behaviors suggest that code concepts and patterns become frozen to dead-or-nearly-dead metaphor through repeated application and interpretation. Concepts are novel as novices: one must create considerations and associations, developing mental models of the idea. Through conventionalization and freezing, component parts collapse into a semiotic metaphor of the code concept. Mental models then crystalize to an intuitive and implicit, near-reactionary understanding of the meaning, giving no indication of the building and meaning-making process along the way. The metaphor dies: it is </w:t>
      </w:r>
      <w:r>
        <w:rPr>
          <w:rFonts w:cs="Calibri"/>
          <w:i/>
          <w:color w:val="000000"/>
          <w:sz w:val="24"/>
          <w:szCs w:val="24"/>
          <w:u w:val="single"/>
        </w:rPr>
        <w:t>just</w:t>
      </w:r>
      <w:r>
        <w:rPr>
          <w:rFonts w:cs="Calibri"/>
          <w:color w:val="000000"/>
          <w:sz w:val="24"/>
          <w:szCs w:val="24"/>
        </w:rPr>
        <w:t xml:space="preserve"> a for loop, after all. </w:t>
      </w:r>
    </w:p>
    <w:p w14:paraId="00000038"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It is worth noting that “dead metaphor” does not denote that one cannot engage in critical studies or analysis to revive and “remix." When indicating an expert believes “it’s just a for loop," this denotes the ways in which expert mental models “rechunk” a for loop as a singular element in order to better process the larger code problem they are working with. One who engages in critical studies is inherently committing to deeper analysis (and thus, more working memory devoted) to each portion, “reviving” the pieces in mind in order to tinker, play, and critically consider their meaning. One could parallel this difference as rote memorization of a poem and critical analysis of its contents. While one who has memorized a poem may be capable of critically analyzing it, they are not </w:t>
      </w:r>
      <w:r>
        <w:rPr>
          <w:rFonts w:cs="Calibri"/>
          <w:i/>
          <w:color w:val="000000"/>
          <w:sz w:val="24"/>
          <w:szCs w:val="24"/>
        </w:rPr>
        <w:t>inherently</w:t>
      </w:r>
      <w:r>
        <w:rPr>
          <w:rFonts w:cs="Calibri"/>
          <w:color w:val="000000"/>
          <w:sz w:val="24"/>
          <w:szCs w:val="24"/>
        </w:rPr>
        <w:t xml:space="preserve"> engaging in that analysis each time they repeat it. However, their knowledge of the subject matter is in part what affords them the ability to critically analyze it. The same can be said for the expert: dead metaphor does not </w:t>
      </w:r>
      <w:r>
        <w:rPr>
          <w:rFonts w:cs="Calibri"/>
          <w:color w:val="000000"/>
          <w:sz w:val="24"/>
          <w:szCs w:val="24"/>
        </w:rPr>
        <w:lastRenderedPageBreak/>
        <w:t xml:space="preserve">inherently mean the expert cannot critically study code, but rather, in their “rote” daily activities, it may not be necessary, and in those times, the code concepts remain dead metaphor. </w:t>
      </w:r>
    </w:p>
    <w:p w14:paraId="00000039"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3 – Landmarks in Learning: Keywords as Wayfinding</w:t>
      </w:r>
    </w:p>
    <w:p w14:paraId="0000003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Novices navigating the complex coding environment and attempting to develop mental models and schema are likely to engage in wayfinding behaviors to make sense of what they see. The wayfinding process can help orientation in the strange programming landscape through seeking recognized concepts. For many novices, one of the most salient wayfinders are English language keywords. These elements are ascribed special meaning, associated with some specific functionality in the programming language. </w:t>
      </w:r>
    </w:p>
    <w:p w14:paraId="0000003B"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Gaps in “fitting” existing English words with strict programmatic intentions can create pitfalls for novice programmers. As they seek out familiar elements in the unfamiliar territory of programming, these recognized words are tangible waypoints. However, they are expected to have one overarching intended meaning for problem-solving, but possess myriad interpretations novices could arrive at. </w:t>
      </w:r>
    </w:p>
    <w:p w14:paraId="0000003C"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These multitude of interpretations may create confusion about how code works. Programming is “a problem of mapping one culture onto another" (Arawjo, 2020), and sociocultural learning is “a gradual appropriation of aspects of a specific culture” (Haglund, 2013). When learning to program, novices reason not only about topics, but about norms and representations of a new discipline, working to incorporate them into their mental models. </w:t>
      </w:r>
    </w:p>
    <w:p w14:paraId="0000003D"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Novices making novel metaphor connections to conventionalize programmatic understanding may derive incorrect interpretations through the process, especially among words which are already deeply polysemic. If keyword usage in programming and common parlance differ, novices must develop an entirely new polysemic meaning and undergo the career of metaphor process (Gentner and Bowdle, 2008).  Programming syntax precision compared to human language can easily necessitate polysemous meaning for terms strictly based in “coding meaning" (Krishnamurthi  and Fisler, 2019). The keyword often serves here as a seemingly viable mid-step, creating programmatic meaning for that word by considering “the English use in a code context." With English use understood, this can facilitate meaning-making in order to reduce cognitive load. This behavior is by design: keywords were chosen because of this potential transfer and relevance. </w:t>
      </w:r>
    </w:p>
    <w:p w14:paraId="0000003E"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These existing definitions, however, can imply new or distinct meanings to novice programmers which result in confusion while learning. Evidence for linguistic considerations in programming language structure was shown in an empirical study which requested participants identify the word they most associated with a behavior description. Perceived intuitiveness of syntax words observably differed between programmers and non-programmers, and specific terms such as “repeat” were more intuitive across populations (Stefik and Siebert, 2013). Such lexicon issues also exist with words such as “document” and “save," which behave as polysemic metaphor by </w:t>
      </w:r>
      <w:r>
        <w:rPr>
          <w:rFonts w:cs="Calibri"/>
          <w:color w:val="000000"/>
          <w:sz w:val="24"/>
          <w:szCs w:val="24"/>
        </w:rPr>
        <w:lastRenderedPageBreak/>
        <w:t>connecting to analog equivalents, but typically have a stricter meaning in technology contexts (Forišek and Steinová, 2012). Linguistic factors extend beyond the scope of syntax: they are embedded in the design of technological vocabulary itself.</w:t>
      </w:r>
    </w:p>
    <w:p w14:paraId="0000003F"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Through teaching novice computer science students, I have seen polysemic perils confuse students still learning the programmatic paths before them. The power of words making ideas tangible is a near-magical aspect of coding, but can be in conflict with the narrow definitions these words hold to the compiler in programming. Investigating these alternative meanings that may carry over provides an interesting linguistic challenge for learners, programming instructors, and language developers.</w:t>
      </w:r>
    </w:p>
    <w:p w14:paraId="00000040" w14:textId="7EECCFDB"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3.</w:t>
      </w:r>
      <w:r w:rsidR="0026301D">
        <w:rPr>
          <w:rFonts w:cs="Calibri"/>
          <w:b/>
          <w:color w:val="000000"/>
          <w:sz w:val="24"/>
          <w:szCs w:val="24"/>
        </w:rPr>
        <w:t xml:space="preserve">1 </w:t>
      </w:r>
      <w:r>
        <w:rPr>
          <w:rFonts w:cs="Calibri"/>
          <w:b/>
          <w:color w:val="000000"/>
          <w:sz w:val="24"/>
          <w:szCs w:val="24"/>
        </w:rPr>
        <w:t>Navigating Nuances: The Folly of ‘For’</w:t>
      </w:r>
    </w:p>
    <w:p w14:paraId="00000041"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 keyword “for” is inherently difficult due to its definition being highly context dependent to its usage. To explore polysemy and its potential implications with regard to learners, “for” is in a league of its own. Isolated, the word “for” as a wayfinding tool is largely unhelpful due to its plethora of meanings – all of which are context-dependent. Working with a student, one might attempt to explain this code snippet:</w:t>
      </w:r>
    </w:p>
    <w:p w14:paraId="00000042" w14:textId="77777777" w:rsidR="001209E0" w:rsidRDefault="00000000">
      <w:pPr>
        <w:spacing w:before="240" w:after="240" w:line="240" w:lineRule="auto"/>
        <w:rPr>
          <w:rFonts w:ascii="Times New Roman" w:eastAsia="Times New Roman" w:hAnsi="Times New Roman"/>
          <w:sz w:val="24"/>
          <w:szCs w:val="24"/>
        </w:rPr>
      </w:pPr>
      <w:r>
        <w:rPr>
          <w:rFonts w:ascii="Consolas" w:eastAsia="Consolas" w:hAnsi="Consolas" w:cs="Consolas"/>
          <w:color w:val="000000"/>
          <w:sz w:val="24"/>
          <w:szCs w:val="24"/>
        </w:rPr>
        <w:t>for(int i = 0; i &lt; 10; i++){</w:t>
      </w:r>
      <w:r>
        <w:rPr>
          <w:rFonts w:ascii="Consolas" w:eastAsia="Consolas" w:hAnsi="Consolas" w:cs="Consolas"/>
          <w:color w:val="000000"/>
          <w:sz w:val="24"/>
          <w:szCs w:val="24"/>
        </w:rPr>
        <w:br/>
        <w:t xml:space="preserve">         System.out.println(i * i);</w:t>
      </w:r>
      <w:r>
        <w:rPr>
          <w:rFonts w:ascii="Consolas" w:eastAsia="Consolas" w:hAnsi="Consolas" w:cs="Consolas"/>
          <w:color w:val="000000"/>
          <w:sz w:val="24"/>
          <w:szCs w:val="24"/>
        </w:rPr>
        <w:br/>
        <w:t>} </w:t>
      </w:r>
    </w:p>
    <w:p w14:paraId="00000043"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To mean this: </w:t>
      </w:r>
    </w:p>
    <w:p w14:paraId="00000044" w14:textId="77777777" w:rsidR="001209E0" w:rsidRDefault="00000000">
      <w:pPr>
        <w:spacing w:before="240" w:after="240" w:line="240" w:lineRule="auto"/>
        <w:rPr>
          <w:rFonts w:ascii="Times New Roman" w:eastAsia="Times New Roman" w:hAnsi="Times New Roman"/>
          <w:i/>
          <w:sz w:val="24"/>
          <w:szCs w:val="24"/>
        </w:rPr>
      </w:pPr>
      <w:r>
        <w:rPr>
          <w:rFonts w:cs="Calibri"/>
          <w:i/>
          <w:color w:val="000000"/>
          <w:sz w:val="24"/>
          <w:szCs w:val="24"/>
        </w:rPr>
        <w:t>“Starting with an integer i that is equal to zero, continue repeating the code inside the curly brackets while i is less than 10. Each time a repetition is over, increase i by 1 before evaluating if i is still less than 10 again. The inside code calculates and prints out i times i. This repeating loop starts at 0 and continues while i is less than 10, with i increasing by 1 each time. That means this loop is going to print out the values of all whole numbers from 0 to 9 squared.” </w:t>
      </w:r>
    </w:p>
    <w:p w14:paraId="00000045" w14:textId="77777777" w:rsidR="001209E0" w:rsidRDefault="00000000">
      <w:pPr>
        <w:spacing w:before="240" w:after="240" w:line="240" w:lineRule="auto"/>
        <w:rPr>
          <w:rFonts w:cs="Calibri"/>
          <w:color w:val="000000"/>
          <w:sz w:val="24"/>
          <w:szCs w:val="24"/>
        </w:rPr>
      </w:pPr>
      <w:r>
        <w:rPr>
          <w:rFonts w:cs="Calibri"/>
          <w:color w:val="000000"/>
          <w:sz w:val="24"/>
          <w:szCs w:val="24"/>
        </w:rPr>
        <w:t xml:space="preserve">Notice that in this description the word 'for' was never used. When one pauses beyond rote syntax to ask: </w:t>
      </w:r>
      <w:r>
        <w:rPr>
          <w:rFonts w:cs="Calibri"/>
          <w:i/>
          <w:color w:val="000000"/>
          <w:sz w:val="24"/>
          <w:szCs w:val="24"/>
        </w:rPr>
        <w:t>“where is the for in the for-loop?,"</w:t>
      </w:r>
      <w:r>
        <w:rPr>
          <w:rFonts w:cs="Calibri"/>
          <w:color w:val="000000"/>
          <w:sz w:val="24"/>
          <w:szCs w:val="24"/>
        </w:rPr>
        <w:t xml:space="preserve"> this keyword can easily begin to feel shoehorned in. We might say: “for i starting at 0, while i is less than 10...” but this does not provide any new or more specific meaning. The keyword 'for' is lost in the weeds of additional, frankly strange-looking syntax. This strange syntax and unhelpful keyword can lead students to believe a for-loop must be “fundamentally different” than other loop types. Pedagogically, it is not: the looping condition is identical to a “while” loop condition. The use of “for” does not suggest this, nor does it provide any context on the additional syntax provided in this loop structure.</w:t>
      </w:r>
    </w:p>
    <w:p w14:paraId="00000046" w14:textId="77777777" w:rsidR="001209E0" w:rsidRDefault="00000000">
      <w:pPr>
        <w:spacing w:before="240" w:after="240" w:line="240" w:lineRule="auto"/>
        <w:rPr>
          <w:rFonts w:cs="Calibri"/>
          <w:color w:val="000000"/>
          <w:sz w:val="24"/>
          <w:szCs w:val="24"/>
        </w:rPr>
      </w:pPr>
      <w:r>
        <w:rPr>
          <w:rFonts w:cs="Calibri"/>
          <w:color w:val="000000"/>
          <w:sz w:val="24"/>
          <w:szCs w:val="24"/>
        </w:rPr>
        <w:t>Historically, the use of the “for” keyword was introduced in ALGOL in 1958 (Wikipedia, 2022). Prior, “do” was the closest keyword match. The origin of “for” uses different syntax than we see in Java and many other languages today:</w:t>
      </w:r>
    </w:p>
    <w:p w14:paraId="00000047" w14:textId="77777777"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lastRenderedPageBreak/>
        <w:t>FOR i = 0 (3) 99 BEGIN</w:t>
      </w:r>
      <w:r>
        <w:rPr>
          <w:rFonts w:ascii="Consolas" w:eastAsia="Consolas" w:hAnsi="Consolas" w:cs="Consolas"/>
          <w:color w:val="000000"/>
          <w:sz w:val="24"/>
          <w:szCs w:val="24"/>
        </w:rPr>
        <w:br/>
        <w:t>PRINT (FL) = i END</w:t>
      </w:r>
    </w:p>
    <w:p w14:paraId="00000048"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Would print out in ALGOL each value of “i” starting at 0, changing by 3 each time, and ending at 99. In this context, we might read it as: “</w:t>
      </w:r>
      <w:r>
        <w:rPr>
          <w:rFonts w:cs="Calibri"/>
          <w:i/>
          <w:color w:val="000000"/>
          <w:sz w:val="24"/>
          <w:szCs w:val="24"/>
        </w:rPr>
        <w:t>for</w:t>
      </w:r>
      <w:r>
        <w:rPr>
          <w:rFonts w:cs="Calibri"/>
          <w:color w:val="000000"/>
          <w:sz w:val="24"/>
          <w:szCs w:val="24"/>
        </w:rPr>
        <w:t xml:space="preserve"> i starting at 0, incrementing by 3 and stopping at 99, print out i." This historical context may shed some light on the keyword’s origins, but does little to help a novice looking at the modern Java syntax make sense of the word choice today. Even in trying to map the pieces, the ordering and function of elements has morphed as well: what was once (base, step, end) is now (base, continue, step). </w:t>
      </w:r>
    </w:p>
    <w:p w14:paraId="00000049"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Merriam-Webster's dictionary provides two entries and eleven total definitions of “for” (Merriam-Webster, 2020). Ten of these definitions apply to “for” as preposition and one is a conjunctive version (this is excluding any prefix or suffix-based definitions). This alone highlights the fluid, polysemic nature of “for” in natural language. Programming's use of “for” to create understanding for novices captures none of that, often leading to confusion as to “what it means” in the programming context. With “for” being a context dependent word in English, only to become an independent syntactic keyword in languages like Java, it is no wonder novice meaning-making gets lost in translation.</w:t>
      </w:r>
    </w:p>
    <w:p w14:paraId="0000004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Uses of the word “for” in other modern programming languages – and even in other concepts within Java – may only add to novice confusion. A “for each” loop (also called an enhanced for loop) is another Java loop structure with a different syntactic pattern:</w:t>
      </w:r>
    </w:p>
    <w:p w14:paraId="0000004B" w14:textId="77777777" w:rsidR="001209E0" w:rsidRDefault="00000000">
      <w:pPr>
        <w:spacing w:before="240" w:after="240" w:line="240" w:lineRule="auto"/>
        <w:rPr>
          <w:rFonts w:ascii="Times New Roman" w:eastAsia="Times New Roman" w:hAnsi="Times New Roman"/>
          <w:sz w:val="24"/>
          <w:szCs w:val="24"/>
        </w:rPr>
      </w:pPr>
      <w:r>
        <w:rPr>
          <w:rFonts w:ascii="Consolas" w:eastAsia="Consolas" w:hAnsi="Consolas" w:cs="Consolas"/>
          <w:color w:val="000000"/>
          <w:sz w:val="24"/>
          <w:szCs w:val="24"/>
        </w:rPr>
        <w:t>int[ ] a = {0, 1, 2, 3, 4, 5, 6, 7, 8, 9};</w:t>
      </w:r>
      <w:r>
        <w:rPr>
          <w:rFonts w:ascii="Consolas" w:eastAsia="Consolas" w:hAnsi="Consolas" w:cs="Consolas"/>
          <w:color w:val="000000"/>
          <w:sz w:val="24"/>
          <w:szCs w:val="24"/>
        </w:rPr>
        <w:br/>
        <w:t>for (int i : a) {</w:t>
      </w:r>
      <w:r>
        <w:rPr>
          <w:rFonts w:ascii="Consolas" w:eastAsia="Consolas" w:hAnsi="Consolas" w:cs="Consolas"/>
          <w:color w:val="000000"/>
          <w:sz w:val="24"/>
          <w:szCs w:val="24"/>
        </w:rPr>
        <w:br/>
        <w:t>    System.out.println(i*i);</w:t>
      </w:r>
      <w:r>
        <w:rPr>
          <w:rFonts w:ascii="Consolas" w:eastAsia="Consolas" w:hAnsi="Consolas" w:cs="Consolas"/>
          <w:color w:val="000000"/>
          <w:sz w:val="24"/>
          <w:szCs w:val="24"/>
        </w:rPr>
        <w:br/>
        <w:t>}</w:t>
      </w:r>
    </w:p>
    <w:p w14:paraId="0000004C"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The above snippet uses the variable i not as an iterating numeric value, but as a variable taking on the </w:t>
      </w:r>
      <w:r>
        <w:rPr>
          <w:rFonts w:cs="Calibri"/>
          <w:i/>
          <w:color w:val="000000"/>
          <w:sz w:val="24"/>
          <w:szCs w:val="24"/>
        </w:rPr>
        <w:t>value of each element</w:t>
      </w:r>
      <w:r>
        <w:rPr>
          <w:rFonts w:cs="Calibri"/>
          <w:color w:val="000000"/>
          <w:sz w:val="24"/>
          <w:szCs w:val="24"/>
        </w:rPr>
        <w:t xml:space="preserve"> in an iterable set. With a created array of integer values named “a” prior to the “for-each” loop containing the values i “took on” in the original for-loop, the “for-each” loop presents the same keyword with new grammar as polysemic within the language itself. The “for each” loop uses the same word to indicate instead “for each element in a, let i represent that element, and do the actions within the loop body." </w:t>
      </w:r>
    </w:p>
    <w:p w14:paraId="0000004D"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The “for each” loop is somewhat clarifying in that it “does some action (FOR) each thing," but obfuscates even more what the word “for” as a keyword means, especially in the original example. Novices cannot be blamed for wondering if “for” is always an abbreviation of “for each” and thus arriving at misconceptions.  </w:t>
      </w:r>
    </w:p>
    <w:p w14:paraId="0000004E"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Exposure to additional programming languages can create murkier waters for understanding “for."  The MATLAB language’s “for” loops use an iterating numeric variable like Java’s, but are syntactically more similar to Java’s “for each” loop. This can easily draw confusion as two distinct concepts in Java are “blended” in MATLAB. In Snap! (a block based graphical programming language), one block states the action “say for x seconds." Here we see the </w:t>
      </w:r>
      <w:r>
        <w:rPr>
          <w:rFonts w:cs="Calibri"/>
          <w:color w:val="000000"/>
          <w:sz w:val="24"/>
          <w:szCs w:val="24"/>
        </w:rPr>
        <w:lastRenderedPageBreak/>
        <w:t>syntactic keyword from Java – “for” – used as part of a natural language command description! The use of “for” is not the same here: this block describes a duration of real-world time, not programmer-controlled iteration. While it may seem trivial, students first learning to program may relate these prior experiences when encountering keywords across courses. They may arrive at unique and seemingly improbable reasoning through polysemic blends of wayfinding and known meanings. </w:t>
      </w:r>
    </w:p>
    <w:p w14:paraId="0000004F"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The “for” keyword highlights some of the rote expectations in learning programming and why it can be difficult to understand what novices do not understand. Expert programmers, through repetition, ingrain the strict representation of “what a for loop does” and “how to set up a for loop." Experts internalize sentences like the one above, automatically associating them to the representative code. Deeper investigation reveals that those interpretations are not inherent – in fact, those mappings can be incredibly difficult. The nuance of meanings within this word betrays its confusing nature. The ease with which experts map keyword “meaning” outside of any syntactic evidence is a learned skill, masking some of the difficulty English language presents in syntax. In fact, this rote memorization and dead metaphoric relation can even cause inability to recognize how this lexicon could pose obstacles at all.  </w:t>
      </w:r>
    </w:p>
    <w:p w14:paraId="00000050" w14:textId="3654360D"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3.</w:t>
      </w:r>
      <w:r w:rsidR="0026301D">
        <w:rPr>
          <w:rFonts w:cs="Calibri"/>
          <w:b/>
          <w:color w:val="000000"/>
          <w:sz w:val="24"/>
          <w:szCs w:val="24"/>
        </w:rPr>
        <w:t>2</w:t>
      </w:r>
      <w:r>
        <w:rPr>
          <w:rFonts w:cs="Calibri"/>
          <w:b/>
          <w:color w:val="000000"/>
          <w:sz w:val="24"/>
          <w:szCs w:val="24"/>
        </w:rPr>
        <w:t xml:space="preserve"> Charting the Terrain: What’s This? </w:t>
      </w:r>
    </w:p>
    <w:p w14:paraId="00000051"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 keyword “this” in Java refers to the implicit parameter -- the object calling an instance method, “this object." For example, a Dog class:</w:t>
      </w:r>
    </w:p>
    <w:p w14:paraId="00000052" w14:textId="77777777" w:rsidR="001209E0" w:rsidRDefault="00000000">
      <w:pPr>
        <w:spacing w:before="240" w:after="240" w:line="240" w:lineRule="auto"/>
        <w:rPr>
          <w:rFonts w:ascii="Times New Roman" w:eastAsia="Times New Roman" w:hAnsi="Times New Roman"/>
          <w:sz w:val="24"/>
          <w:szCs w:val="24"/>
        </w:rPr>
      </w:pPr>
      <w:r>
        <w:rPr>
          <w:rFonts w:ascii="Consolas" w:eastAsia="Consolas" w:hAnsi="Consolas" w:cs="Consolas"/>
          <w:color w:val="000000"/>
          <w:sz w:val="24"/>
          <w:szCs w:val="24"/>
        </w:rPr>
        <w:t>public class Dog { }</w:t>
      </w:r>
    </w:p>
    <w:p w14:paraId="00000053"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Might be used to create Dog object variables in a program. The Dog class defines all the properties and behaviors of Dog objects. I may wish to have the particular Dog object, which is referencing the class, do an action or access as a variable. If the Dog class defines some “play” behavior, I may wish to have “</w:t>
      </w:r>
      <w:r>
        <w:rPr>
          <w:rFonts w:cs="Calibri"/>
          <w:b/>
          <w:color w:val="000000"/>
          <w:sz w:val="24"/>
          <w:szCs w:val="24"/>
        </w:rPr>
        <w:t>the Dog that is playing</w:t>
      </w:r>
      <w:r>
        <w:rPr>
          <w:rFonts w:cs="Calibri"/>
          <w:color w:val="000000"/>
          <w:sz w:val="24"/>
          <w:szCs w:val="24"/>
        </w:rPr>
        <w:t xml:space="preserve">” wag its tail. Within the play behavior, one could write: </w:t>
      </w:r>
      <w:r>
        <w:rPr>
          <w:rFonts w:cs="Calibri"/>
          <w:color w:val="000000"/>
          <w:sz w:val="24"/>
          <w:szCs w:val="24"/>
        </w:rPr>
        <w:br/>
      </w:r>
      <w:r>
        <w:rPr>
          <w:rFonts w:ascii="Arial" w:eastAsia="Arial" w:hAnsi="Arial" w:cs="Arial"/>
          <w:color w:val="000000"/>
          <w:sz w:val="24"/>
          <w:szCs w:val="24"/>
        </w:rPr>
        <w:br/>
      </w:r>
      <w:r>
        <w:rPr>
          <w:rFonts w:ascii="Consolas" w:eastAsia="Consolas" w:hAnsi="Consolas" w:cs="Consolas"/>
          <w:color w:val="000000"/>
          <w:sz w:val="24"/>
          <w:szCs w:val="24"/>
        </w:rPr>
        <w:t>this.wagTail();</w:t>
      </w:r>
    </w:p>
    <w:p w14:paraId="00000054"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So when any dog object uses the play behavior, “that dog” will wag its tail.</w:t>
      </w:r>
    </w:p>
    <w:p w14:paraId="00000055" w14:textId="77777777" w:rsidR="001209E0" w:rsidRDefault="00000000">
      <w:pPr>
        <w:spacing w:before="240" w:after="240" w:line="240" w:lineRule="auto"/>
        <w:rPr>
          <w:rFonts w:ascii="Times New Roman" w:eastAsia="Times New Roman" w:hAnsi="Times New Roman"/>
          <w:sz w:val="24"/>
          <w:szCs w:val="24"/>
        </w:rPr>
      </w:pPr>
      <w:r>
        <w:rPr>
          <w:rFonts w:ascii="Consolas" w:eastAsia="Consolas" w:hAnsi="Consolas" w:cs="Consolas"/>
          <w:color w:val="000000"/>
          <w:sz w:val="24"/>
          <w:szCs w:val="24"/>
        </w:rPr>
        <w:t xml:space="preserve">Dog jake = new Dog(); </w:t>
      </w:r>
      <w:r>
        <w:rPr>
          <w:rFonts w:ascii="Consolas" w:eastAsia="Consolas" w:hAnsi="Consolas" w:cs="Consolas"/>
          <w:color w:val="000000"/>
          <w:sz w:val="24"/>
          <w:szCs w:val="24"/>
        </w:rPr>
        <w:br/>
        <w:t>jake.play();</w:t>
      </w:r>
    </w:p>
    <w:p w14:paraId="00000056"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 above creates a new Dog variable based on the class named “jake," and has “jake” execute the play behavior (method). When “jake” does the play action, the Dog class as a template is referenced for “how to do this action." The Dog class has no idea what any variable may be named – programmers are able to name variables at their discretion. The “this” keyword thus serves as a mirror reflecting “the object that called the method” – in our case, “this” translates to “jake." </w:t>
      </w:r>
    </w:p>
    <w:p w14:paraId="00000057" w14:textId="77777777" w:rsidR="001209E0" w:rsidRDefault="00000000">
      <w:pPr>
        <w:spacing w:before="240" w:after="240" w:line="240" w:lineRule="auto"/>
        <w:rPr>
          <w:rFonts w:cs="Calibri"/>
          <w:color w:val="000000"/>
          <w:sz w:val="24"/>
          <w:szCs w:val="24"/>
        </w:rPr>
      </w:pPr>
      <w:r>
        <w:rPr>
          <w:rFonts w:cs="Calibri"/>
          <w:color w:val="000000"/>
          <w:sz w:val="24"/>
          <w:szCs w:val="24"/>
        </w:rPr>
        <w:lastRenderedPageBreak/>
        <w:t>For novices, the keyword “this” and its function can be a source of confusion. Utilizing “this” requires an understanding of object-oriented paradigm, which can be a major shift from traditional ways of programming. Not only are students working to assimilate meanings and models of various code concepts, but entire ways of thinking about “how code is written” and “what code does” can be upended through object-oriented paradigms.</w:t>
      </w:r>
    </w:p>
    <w:p w14:paraId="00000058" w14:textId="77777777"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public Dog(String breed){</w:t>
      </w:r>
      <w:r>
        <w:rPr>
          <w:rFonts w:ascii="Consolas" w:eastAsia="Consolas" w:hAnsi="Consolas" w:cs="Consolas"/>
          <w:color w:val="000000"/>
          <w:sz w:val="24"/>
          <w:szCs w:val="24"/>
        </w:rPr>
        <w:br/>
        <w:t xml:space="preserve">  this.breed = breed;</w:t>
      </w:r>
      <w:r>
        <w:rPr>
          <w:rFonts w:ascii="Consolas" w:eastAsia="Consolas" w:hAnsi="Consolas" w:cs="Consolas"/>
          <w:color w:val="000000"/>
          <w:sz w:val="24"/>
          <w:szCs w:val="24"/>
        </w:rPr>
        <w:br/>
        <w:t>}</w:t>
      </w:r>
    </w:p>
    <w:p w14:paraId="00000059" w14:textId="77777777" w:rsidR="001209E0" w:rsidRDefault="00000000">
      <w:pPr>
        <w:spacing w:before="240" w:after="240" w:line="240" w:lineRule="auto"/>
        <w:rPr>
          <w:rFonts w:cs="Calibri"/>
          <w:color w:val="000000"/>
          <w:sz w:val="24"/>
          <w:szCs w:val="24"/>
        </w:rPr>
      </w:pPr>
      <w:r>
        <w:rPr>
          <w:rFonts w:cs="Calibri"/>
          <w:color w:val="000000"/>
          <w:sz w:val="24"/>
          <w:szCs w:val="24"/>
        </w:rPr>
        <w:t>In the above example, the “this” keyword allows a demarcation to distinguish between two variables of the same name. “this” refers to “This object” – the object calling the constructor here in order to create a Dog object. Were I to reference creating an object by indicating:</w:t>
      </w:r>
    </w:p>
    <w:p w14:paraId="0000005A" w14:textId="77777777"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Dog ziggy = new Dog(“Doberman”);</w:t>
      </w:r>
    </w:p>
    <w:p w14:paraId="0000005B" w14:textId="77777777" w:rsidR="001209E0" w:rsidRDefault="00000000">
      <w:pPr>
        <w:spacing w:before="240" w:after="240" w:line="240" w:lineRule="auto"/>
        <w:rPr>
          <w:rFonts w:cs="Calibri"/>
          <w:color w:val="000000"/>
          <w:sz w:val="24"/>
          <w:szCs w:val="24"/>
        </w:rPr>
      </w:pPr>
      <w:r>
        <w:rPr>
          <w:rFonts w:cs="Calibri"/>
          <w:color w:val="000000"/>
          <w:sz w:val="24"/>
          <w:szCs w:val="24"/>
        </w:rPr>
        <w:t>“this” would refer to “ziggy” – this object, the object calling the constructor. Thus, the code above can use the same variable name (breed) to refer to two different concepts – the value passed to the constructor, and an instance variable of the object. “this.breed” says THIS dog object’s “breed” variable, “ziggy’s variable”</w:t>
      </w:r>
      <w:r>
        <w:rPr>
          <w:sz w:val="24"/>
          <w:szCs w:val="24"/>
        </w:rPr>
        <w:t>. The use “this”prior to the variable name is here</w:t>
      </w:r>
      <w:r>
        <w:rPr>
          <w:rFonts w:cs="Calibri"/>
          <w:color w:val="000000"/>
          <w:sz w:val="24"/>
          <w:szCs w:val="24"/>
        </w:rPr>
        <w:t xml:space="preserve"> </w:t>
      </w:r>
      <w:r>
        <w:rPr>
          <w:sz w:val="24"/>
          <w:szCs w:val="24"/>
        </w:rPr>
        <w:t>indicating use of an “</w:t>
      </w:r>
      <w:sdt>
        <w:sdtPr>
          <w:tag w:val="goog_rdk_2"/>
          <w:id w:val="518744897"/>
        </w:sdtPr>
        <w:sdtContent>
          <w:commentRangeStart w:id="2"/>
        </w:sdtContent>
      </w:sdt>
      <w:sdt>
        <w:sdtPr>
          <w:tag w:val="goog_rdk_3"/>
          <w:id w:val="126829887"/>
        </w:sdtPr>
        <w:sdtContent>
          <w:commentRangeStart w:id="3"/>
        </w:sdtContent>
      </w:sdt>
      <w:r>
        <w:rPr>
          <w:rFonts w:cs="Calibri"/>
          <w:color w:val="000000"/>
          <w:sz w:val="24"/>
          <w:szCs w:val="24"/>
        </w:rPr>
        <w:t>instance variable</w:t>
      </w:r>
      <w:commentRangeEnd w:id="2"/>
      <w:r>
        <w:commentReference w:id="2"/>
      </w:r>
      <w:commentRangeEnd w:id="3"/>
      <w:r>
        <w:commentReference w:id="3"/>
      </w:r>
      <w:r>
        <w:rPr>
          <w:sz w:val="24"/>
          <w:szCs w:val="24"/>
        </w:rPr>
        <w:t>” - a variable belonging to a particular instance of the class (which is an object)</w:t>
      </w:r>
      <w:r>
        <w:rPr>
          <w:rFonts w:cs="Calibri"/>
          <w:color w:val="000000"/>
          <w:sz w:val="24"/>
          <w:szCs w:val="24"/>
        </w:rPr>
        <w:t>. This syntax would mean the Dog class would contain the following declaration:</w:t>
      </w:r>
    </w:p>
    <w:p w14:paraId="0000005C" w14:textId="77777777"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 xml:space="preserve">private String breed; </w:t>
      </w:r>
    </w:p>
    <w:p w14:paraId="0000005D" w14:textId="77777777" w:rsidR="001209E0" w:rsidRDefault="00000000">
      <w:pPr>
        <w:spacing w:before="240" w:after="240" w:line="240" w:lineRule="auto"/>
        <w:rPr>
          <w:rFonts w:cs="Calibri"/>
          <w:color w:val="000000"/>
          <w:sz w:val="24"/>
          <w:szCs w:val="24"/>
        </w:rPr>
      </w:pPr>
      <w:r>
        <w:rPr>
          <w:rFonts w:cs="Calibri"/>
          <w:color w:val="000000"/>
          <w:sz w:val="24"/>
          <w:szCs w:val="24"/>
        </w:rPr>
        <w:t xml:space="preserve">But the class’s private variable is a distinct variable from “String breed” noted in the constructor parameter list – despite having the same name. The implication here is that “this.breed = breed” allows one to indicate “the Dog object calling this constructor’s breed variable should be set equal to the breed variable in the parameter list." In our case, “Doberman” was passed as argument to the parameter, and so ziggy’s private breed variable would be set equal to “Doberman." </w:t>
      </w:r>
    </w:p>
    <w:p w14:paraId="0000005E" w14:textId="77777777" w:rsidR="001209E0" w:rsidRDefault="00000000">
      <w:pPr>
        <w:spacing w:before="240" w:after="240" w:line="240" w:lineRule="auto"/>
        <w:rPr>
          <w:rFonts w:cs="Calibri"/>
          <w:color w:val="000000"/>
          <w:sz w:val="24"/>
          <w:szCs w:val="24"/>
        </w:rPr>
      </w:pPr>
      <w:r>
        <w:rPr>
          <w:rFonts w:cs="Calibri"/>
          <w:color w:val="000000"/>
          <w:sz w:val="24"/>
          <w:szCs w:val="24"/>
        </w:rPr>
        <w:t xml:space="preserve">It can be difficult for novices to understand what “this” is, because “this” has the potential to be any object! Tying to polysemic confusion, “this” typically refers to an entity “close at hand or being indicated or experienced” (Merriam-Webster, 2021). Novice programmers often write code to solve a specific problem, yet the “this” keyword requires grappling with potential futures and objects which may not exist yet. When considered from the extensible program design angle, “this” in programming is almost at odds with its vocabulary definition. Novices know the name of variables “close at hand” in their program – they created them. </w:t>
      </w:r>
      <w:r>
        <w:rPr>
          <w:rFonts w:cs="Calibri"/>
          <w:i/>
          <w:color w:val="000000"/>
          <w:sz w:val="24"/>
          <w:szCs w:val="24"/>
        </w:rPr>
        <w:t>“Why not just call them by name? What is the point of “this”?”</w:t>
      </w:r>
      <w:r>
        <w:rPr>
          <w:rFonts w:cs="Calibri"/>
          <w:color w:val="000000"/>
          <w:sz w:val="24"/>
          <w:szCs w:val="24"/>
        </w:rPr>
        <w:t xml:space="preserve"> These questions encapsulate difficulty with an object-oriented paradigm shift, one the “this” keyword’s polysemy does not initially help novices mitigate, given their proximity to their own code files.</w:t>
      </w:r>
    </w:p>
    <w:p w14:paraId="0000005F" w14:textId="77777777" w:rsidR="001209E0" w:rsidRDefault="00000000">
      <w:pPr>
        <w:spacing w:before="240" w:after="240" w:line="240" w:lineRule="auto"/>
        <w:rPr>
          <w:rFonts w:cs="Calibri"/>
          <w:color w:val="000000"/>
          <w:sz w:val="24"/>
          <w:szCs w:val="24"/>
        </w:rPr>
      </w:pPr>
      <w:r>
        <w:rPr>
          <w:rFonts w:cs="Calibri"/>
          <w:color w:val="000000"/>
          <w:sz w:val="24"/>
          <w:szCs w:val="24"/>
        </w:rPr>
        <w:lastRenderedPageBreak/>
        <w:t>Novice programmers, in not understanding extensible design yet, may attempt the following in writing their classes:</w:t>
      </w:r>
    </w:p>
    <w:p w14:paraId="00000060" w14:textId="77777777"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public Dog(String breed){</w:t>
      </w:r>
      <w:r>
        <w:rPr>
          <w:rFonts w:ascii="Consolas" w:eastAsia="Consolas" w:hAnsi="Consolas" w:cs="Consolas"/>
          <w:color w:val="000000"/>
          <w:sz w:val="24"/>
          <w:szCs w:val="24"/>
        </w:rPr>
        <w:br/>
        <w:t xml:space="preserve">    ziggy.setBreed(breed);  </w:t>
      </w:r>
      <w:r>
        <w:rPr>
          <w:rFonts w:ascii="Consolas" w:eastAsia="Consolas" w:hAnsi="Consolas" w:cs="Consolas"/>
          <w:color w:val="000000"/>
          <w:sz w:val="24"/>
          <w:szCs w:val="24"/>
        </w:rPr>
        <w:br/>
        <w:t>}</w:t>
      </w:r>
    </w:p>
    <w:p w14:paraId="00000061" w14:textId="77777777" w:rsidR="001209E0" w:rsidRDefault="00000000">
      <w:pPr>
        <w:spacing w:before="240" w:after="240" w:line="240" w:lineRule="auto"/>
        <w:rPr>
          <w:rFonts w:cs="Calibri"/>
          <w:color w:val="000000"/>
          <w:sz w:val="24"/>
          <w:szCs w:val="24"/>
        </w:rPr>
      </w:pPr>
      <w:r>
        <w:rPr>
          <w:rFonts w:cs="Calibri"/>
          <w:color w:val="000000"/>
          <w:sz w:val="24"/>
          <w:szCs w:val="24"/>
        </w:rPr>
        <w:t>In the above example, the novice is attempting to use the variable name they know (“ziggy”) in place of “this." However, this makes the constructor only ever modify ziggy, despite a constructor being called in order to construct new Dog objects. Thus if the student then writes:</w:t>
      </w:r>
    </w:p>
    <w:p w14:paraId="00000062" w14:textId="77777777"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 xml:space="preserve">Dog wishbone = new Dog(“Jack Russell Terrier”); </w:t>
      </w:r>
    </w:p>
    <w:p w14:paraId="00000063" w14:textId="77777777" w:rsidR="001209E0" w:rsidRDefault="00000000">
      <w:pPr>
        <w:spacing w:before="240" w:after="240" w:line="240" w:lineRule="auto"/>
        <w:rPr>
          <w:rFonts w:cs="Calibri"/>
          <w:color w:val="000000"/>
          <w:sz w:val="24"/>
          <w:szCs w:val="24"/>
        </w:rPr>
      </w:pPr>
      <w:r>
        <w:rPr>
          <w:rFonts w:cs="Calibri"/>
          <w:color w:val="000000"/>
          <w:sz w:val="24"/>
          <w:szCs w:val="24"/>
        </w:rPr>
        <w:t>When the constructor is called to create “wishbone," “ziggy” will be modified to be a Jack Russell terrier, and no variables will be set for wishbone. Further, this code will only function without error if the students are in fact creating their Dog objects in the Dog class itself. Consider when  Dogs are created in a “DogPark” class for example that exists in the same project:</w:t>
      </w:r>
    </w:p>
    <w:p w14:paraId="1EAB22F4" w14:textId="77777777" w:rsidR="00B16467"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public class DogPark(){</w:t>
      </w:r>
      <w:r>
        <w:rPr>
          <w:rFonts w:ascii="Consolas" w:eastAsia="Consolas" w:hAnsi="Consolas" w:cs="Consolas"/>
          <w:color w:val="000000"/>
          <w:sz w:val="24"/>
          <w:szCs w:val="24"/>
        </w:rPr>
        <w:br/>
        <w:t xml:space="preserve">    public static void main(String[] args){</w:t>
      </w:r>
      <w:r>
        <w:rPr>
          <w:rFonts w:ascii="Consolas" w:eastAsia="Consolas" w:hAnsi="Consolas" w:cs="Consolas"/>
          <w:color w:val="000000"/>
          <w:sz w:val="24"/>
          <w:szCs w:val="24"/>
        </w:rPr>
        <w:br/>
        <w:t xml:space="preserve">         Dog ziggy = </w:t>
      </w:r>
    </w:p>
    <w:p w14:paraId="1A7A890D" w14:textId="77777777" w:rsidR="00B16467"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new Dog(“Doberman”);</w:t>
      </w:r>
      <w:r>
        <w:rPr>
          <w:rFonts w:ascii="Consolas" w:eastAsia="Consolas" w:hAnsi="Consolas" w:cs="Consolas"/>
          <w:color w:val="000000"/>
          <w:sz w:val="24"/>
          <w:szCs w:val="24"/>
        </w:rPr>
        <w:br/>
        <w:t xml:space="preserve">         Dog wishbone = </w:t>
      </w:r>
    </w:p>
    <w:p w14:paraId="00000064" w14:textId="2668B87E"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 xml:space="preserve">new Dog(“Jack Russell Terrier”); </w:t>
      </w:r>
      <w:r>
        <w:rPr>
          <w:rFonts w:ascii="Consolas" w:eastAsia="Consolas" w:hAnsi="Consolas" w:cs="Consolas"/>
          <w:color w:val="000000"/>
          <w:sz w:val="24"/>
          <w:szCs w:val="24"/>
        </w:rPr>
        <w:br/>
        <w:t xml:space="preserve">    }</w:t>
      </w:r>
      <w:r>
        <w:rPr>
          <w:rFonts w:ascii="Consolas" w:eastAsia="Consolas" w:hAnsi="Consolas" w:cs="Consolas"/>
          <w:color w:val="000000"/>
          <w:sz w:val="24"/>
          <w:szCs w:val="24"/>
        </w:rPr>
        <w:br/>
        <w:t>}</w:t>
      </w:r>
    </w:p>
    <w:p w14:paraId="00000065" w14:textId="77777777" w:rsidR="001209E0" w:rsidRDefault="00000000">
      <w:pPr>
        <w:spacing w:before="240" w:after="240" w:line="240" w:lineRule="auto"/>
        <w:rPr>
          <w:rFonts w:cs="Calibri"/>
          <w:color w:val="000000"/>
          <w:sz w:val="24"/>
          <w:szCs w:val="24"/>
        </w:rPr>
      </w:pPr>
      <w:r>
        <w:rPr>
          <w:rFonts w:cs="Calibri"/>
          <w:color w:val="000000"/>
          <w:sz w:val="24"/>
          <w:szCs w:val="24"/>
        </w:rPr>
        <w:t xml:space="preserve">The novice’s attempts simply will not function, as the Dog objects are out of scope in the Dog class, and thus, attempting to call those object’s variable names within that scope will give errors. This is often a source of confusion: “I made my Dog variable, and I change the breed, why doesn’t the code recognize the variable?” </w:t>
      </w:r>
    </w:p>
    <w:p w14:paraId="00000066" w14:textId="77777777" w:rsidR="001209E0" w:rsidRDefault="00000000">
      <w:pPr>
        <w:spacing w:before="240" w:after="240" w:line="240" w:lineRule="auto"/>
        <w:rPr>
          <w:rFonts w:cs="Calibri"/>
          <w:color w:val="000000"/>
          <w:sz w:val="24"/>
          <w:szCs w:val="24"/>
        </w:rPr>
      </w:pPr>
      <w:r>
        <w:rPr>
          <w:rFonts w:cs="Calibri"/>
          <w:color w:val="000000"/>
          <w:sz w:val="24"/>
          <w:szCs w:val="24"/>
        </w:rPr>
        <w:t>While the above examples of “avoiding” this might seem strange to an expert, they are reasonable for the novice who is first grappling with extensible class design. The concept of classes as “templates," which may derive many different variables, is removed from a “step by step” paradigm that many novices are first introduced to. The avoidance of “this” is rooted in confusion surrounding extensible object-oriented programming for the first time.  However, as novices begin to unravel extensible object-based paradigms, “this” can reverse from confusing to clarifying. The trouble often lies in novices needing to use “this” to navigate object-oriented design in the first place (as shown above to change the Dog breed), creating a chicken-and-egg scenario. </w:t>
      </w:r>
    </w:p>
    <w:p w14:paraId="00000067" w14:textId="65364B1D" w:rsidR="001209E0" w:rsidRPr="0026301D" w:rsidRDefault="00000000" w:rsidP="0026301D">
      <w:pPr>
        <w:shd w:val="clear" w:color="auto" w:fill="FFFFFF"/>
        <w:autoSpaceDE w:val="0"/>
        <w:autoSpaceDN w:val="0"/>
        <w:adjustRightInd w:val="0"/>
        <w:spacing w:after="0" w:line="240" w:lineRule="auto"/>
        <w:rPr>
          <w:rFonts w:ascii="Times New Roman" w:hAnsi="Times New Roman"/>
          <w:sz w:val="24"/>
          <w:szCs w:val="24"/>
          <w:highlight w:val="white"/>
        </w:rPr>
      </w:pPr>
      <w:r>
        <w:rPr>
          <w:rFonts w:cs="Calibri"/>
          <w:b/>
          <w:color w:val="000000"/>
          <w:sz w:val="24"/>
          <w:szCs w:val="24"/>
        </w:rPr>
        <w:lastRenderedPageBreak/>
        <w:t>3.</w:t>
      </w:r>
      <w:r w:rsidR="0026301D">
        <w:rPr>
          <w:rFonts w:cs="Calibri"/>
          <w:b/>
          <w:color w:val="000000"/>
          <w:sz w:val="24"/>
          <w:szCs w:val="24"/>
        </w:rPr>
        <w:t>3</w:t>
      </w:r>
      <w:r w:rsidR="0026301D" w:rsidRPr="0026301D">
        <w:rPr>
          <w:rFonts w:ascii="Times New Roman" w:hAnsi="Times New Roman"/>
          <w:color w:val="000000"/>
          <w:sz w:val="24"/>
          <w:szCs w:val="24"/>
          <w:highlight w:val="white"/>
        </w:rPr>
        <w:t xml:space="preserve"> </w:t>
      </w:r>
      <w:r w:rsidR="0026301D">
        <w:rPr>
          <w:rFonts w:ascii="Times New Roman" w:hAnsi="Times New Roman"/>
          <w:color w:val="000000"/>
          <w:sz w:val="24"/>
          <w:szCs w:val="24"/>
          <w:highlight w:val="white"/>
        </w:rPr>
        <w:t xml:space="preserve"> – Landmarks in Learning: Keywords as Wayfinding</w:t>
      </w:r>
      <w:r w:rsidR="0026301D">
        <w:rPr>
          <w:rFonts w:ascii="Times New Roman" w:hAnsi="Times New Roman"/>
          <w:sz w:val="24"/>
          <w:szCs w:val="24"/>
        </w:rPr>
        <w:t>3</w:t>
      </w:r>
      <w:r>
        <w:rPr>
          <w:rFonts w:cs="Calibri"/>
          <w:b/>
          <w:color w:val="000000"/>
          <w:sz w:val="24"/>
          <w:szCs w:val="24"/>
        </w:rPr>
        <w:t xml:space="preserve"> Pondering Paths: Other Examples of Polysemy Play and Syntax Specifics</w:t>
      </w:r>
    </w:p>
    <w:p w14:paraId="00000068" w14:textId="14CD7970"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3.</w:t>
      </w:r>
      <w:r w:rsidR="0026301D">
        <w:rPr>
          <w:rFonts w:cs="Calibri"/>
          <w:b/>
          <w:color w:val="000000"/>
          <w:sz w:val="24"/>
          <w:szCs w:val="24"/>
        </w:rPr>
        <w:t>3.1</w:t>
      </w:r>
      <w:r>
        <w:rPr>
          <w:rFonts w:cs="Calibri"/>
          <w:b/>
          <w:color w:val="000000"/>
          <w:sz w:val="24"/>
          <w:szCs w:val="24"/>
        </w:rPr>
        <w:t xml:space="preserve"> – Final :</w:t>
      </w:r>
      <w:r>
        <w:rPr>
          <w:rFonts w:cs="Calibri"/>
          <w:color w:val="000000"/>
          <w:sz w:val="24"/>
          <w:szCs w:val="24"/>
        </w:rPr>
        <w:t xml:space="preserve"> The “final” keyword in Java denotes variables which have an unchanging value. The value is “finalized."</w:t>
      </w:r>
    </w:p>
    <w:p w14:paraId="00000069" w14:textId="77777777" w:rsidR="001209E0" w:rsidRDefault="00000000">
      <w:pPr>
        <w:spacing w:before="240" w:after="240" w:line="240" w:lineRule="auto"/>
        <w:rPr>
          <w:rFonts w:ascii="Times New Roman" w:eastAsia="Times New Roman" w:hAnsi="Times New Roman"/>
          <w:sz w:val="24"/>
          <w:szCs w:val="24"/>
        </w:rPr>
      </w:pPr>
      <w:r>
        <w:rPr>
          <w:rFonts w:ascii="Consolas" w:eastAsia="Consolas" w:hAnsi="Consolas" w:cs="Consolas"/>
          <w:color w:val="000000"/>
          <w:sz w:val="24"/>
          <w:szCs w:val="24"/>
        </w:rPr>
        <w:t>final double PI = 3.14159;</w:t>
      </w:r>
    </w:p>
    <w:p w14:paraId="0000006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 above means the variable “PI," which is of type double, cannot be changed from its final value of 3.14159. However, the word “final” can often indicate completion of something that was previously able to change. In Java, “final” must be stated during declaration when the variable’s name and type are defined. Simply: one must know a variable is going to be “final” when the variable is created, so it will only ever have that one value. Java has no process for the variable to take on different values before achieving the “final” value. We cannot do calculations and then “arrive” at the final value. The variable starts as, and always is, final. </w:t>
      </w:r>
    </w:p>
    <w:p w14:paraId="0000006B"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Other languages use the keyword “constant” or “const” to represent the concept of “final” in Java. “Constant” describes a persistent state of being in the same form, which is much more aligned to the expected behavior in Java. Though better, “constant” is not perfect, as it may introduce new polysemic confusion, such as a variable being “constantly” available similar to how a “public” variable might be. Java’s use of “final” introduces potential new ideas and interpretations for how the code is allowed to execute due to the keyword’s existing meaning. This polysemy when used in wayfinding may lead to misconceived notions. </w:t>
      </w:r>
    </w:p>
    <w:p w14:paraId="0000006C" w14:textId="77777777" w:rsidR="001209E0" w:rsidRDefault="001209E0">
      <w:pPr>
        <w:spacing w:before="240" w:after="240" w:line="240" w:lineRule="auto"/>
        <w:rPr>
          <w:rFonts w:cs="Calibri"/>
          <w:color w:val="000000"/>
          <w:sz w:val="24"/>
          <w:szCs w:val="24"/>
        </w:rPr>
      </w:pPr>
    </w:p>
    <w:p w14:paraId="0000006D" w14:textId="226A3A7C"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3.</w:t>
      </w:r>
      <w:r w:rsidR="0026301D">
        <w:rPr>
          <w:rFonts w:cs="Calibri"/>
          <w:b/>
          <w:color w:val="000000"/>
          <w:sz w:val="24"/>
          <w:szCs w:val="24"/>
        </w:rPr>
        <w:t>3</w:t>
      </w:r>
      <w:r>
        <w:rPr>
          <w:rFonts w:cs="Calibri"/>
          <w:b/>
          <w:color w:val="000000"/>
          <w:sz w:val="24"/>
          <w:szCs w:val="24"/>
        </w:rPr>
        <w:t>.2 – Static :</w:t>
      </w:r>
      <w:r>
        <w:rPr>
          <w:rFonts w:cs="Calibri"/>
          <w:color w:val="000000"/>
          <w:sz w:val="24"/>
          <w:szCs w:val="24"/>
        </w:rPr>
        <w:t xml:space="preserve"> Methods (functionality or actions; sometimes called functions, tasks, or sub procedures in other languages) that do not return a value use the keyword “void” as their return type in Java. “Void” indicates to be “empty or without something," but can also mean “absence of” or “lacking." Novices can struggle to recognize void methods can still have “value” in their actions, even if they cannot return a value back. A novice may question “why they would ever write a void method," believing these methods are </w:t>
      </w:r>
      <w:r>
        <w:rPr>
          <w:rFonts w:cs="Calibri"/>
          <w:i/>
          <w:color w:val="000000"/>
          <w:sz w:val="24"/>
          <w:szCs w:val="24"/>
        </w:rPr>
        <w:t>without</w:t>
      </w:r>
      <w:r>
        <w:rPr>
          <w:rFonts w:cs="Calibri"/>
          <w:color w:val="000000"/>
          <w:sz w:val="24"/>
          <w:szCs w:val="24"/>
        </w:rPr>
        <w:t xml:space="preserve"> any value of use. This case of polysemy obstructing understanding is rather amusing, as most applications in Java require the following method in order to encapsulate the runnable code:</w:t>
      </w:r>
    </w:p>
    <w:p w14:paraId="0000006E" w14:textId="77777777" w:rsidR="001209E0" w:rsidRDefault="00000000">
      <w:pPr>
        <w:spacing w:before="240" w:after="240" w:line="240" w:lineRule="auto"/>
        <w:rPr>
          <w:rFonts w:ascii="Times New Roman" w:eastAsia="Times New Roman" w:hAnsi="Times New Roman"/>
          <w:sz w:val="24"/>
          <w:szCs w:val="24"/>
        </w:rPr>
      </w:pPr>
      <w:r>
        <w:rPr>
          <w:rFonts w:ascii="Consolas" w:eastAsia="Consolas" w:hAnsi="Consolas" w:cs="Consolas"/>
          <w:color w:val="000000"/>
          <w:sz w:val="24"/>
          <w:szCs w:val="24"/>
        </w:rPr>
        <w:t>public static void main(String[] args) { } </w:t>
      </w:r>
    </w:p>
    <w:p w14:paraId="0000006F"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Novices are clearly aware this method “has value," as without it they cannot run their code. When writing their own custom methods, however, they can struggle with void’s meaning in context, and see the value of “methods that aren’t main” as only being “to send stuff back." Methods promote consolidation and meaning-making in programs, allowing statements that have meaning to be bundled together and clarified with a name used to activate those statements. </w:t>
      </w:r>
    </w:p>
    <w:p w14:paraId="00000070"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lastRenderedPageBreak/>
        <w:t>One may also question if novices draw to mind the “not valid” definition of “void," such as when a check or contract is voided. They may believe that writing “void” negates their method and makes it unusable in some way, thereby rendering it to have “no value." This definition of void is one of the more common “daily life” uses, and thus would be a reasonable polysemic connection for a novice to make. </w:t>
      </w:r>
    </w:p>
    <w:p w14:paraId="00000071" w14:textId="56A62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3.</w:t>
      </w:r>
      <w:r w:rsidR="0026301D">
        <w:rPr>
          <w:rFonts w:cs="Calibri"/>
          <w:b/>
          <w:color w:val="000000"/>
          <w:sz w:val="24"/>
          <w:szCs w:val="24"/>
        </w:rPr>
        <w:t>3</w:t>
      </w:r>
      <w:r>
        <w:rPr>
          <w:rFonts w:cs="Calibri"/>
          <w:b/>
          <w:color w:val="000000"/>
          <w:sz w:val="24"/>
          <w:szCs w:val="24"/>
        </w:rPr>
        <w:t>.3  – Continue and Break :</w:t>
      </w:r>
      <w:r>
        <w:rPr>
          <w:rFonts w:cs="Calibri"/>
          <w:color w:val="000000"/>
          <w:sz w:val="24"/>
          <w:szCs w:val="24"/>
        </w:rPr>
        <w:t xml:space="preserve"> There are many cases where a keyword’s definition-based meaning may be clear, but its intended usage in a “code sentence” is not.  Keyword “continue” for example might be interpreted to mean “continue on to the next statement” not “continue on to the next loop iteration":</w:t>
      </w:r>
    </w:p>
    <w:p w14:paraId="00000072" w14:textId="77777777" w:rsidR="001209E0" w:rsidRDefault="00000000">
      <w:pPr>
        <w:spacing w:before="240" w:after="240" w:line="240" w:lineRule="auto"/>
        <w:rPr>
          <w:rFonts w:ascii="Times New Roman" w:eastAsia="Times New Roman" w:hAnsi="Times New Roman"/>
          <w:sz w:val="24"/>
          <w:szCs w:val="24"/>
        </w:rPr>
      </w:pPr>
      <w:r>
        <w:rPr>
          <w:rFonts w:ascii="Consolas" w:eastAsia="Consolas" w:hAnsi="Consolas" w:cs="Consolas"/>
          <w:color w:val="000000"/>
          <w:sz w:val="24"/>
          <w:szCs w:val="24"/>
        </w:rPr>
        <w:t>while (true){</w:t>
      </w:r>
      <w:r>
        <w:rPr>
          <w:rFonts w:ascii="Consolas" w:eastAsia="Consolas" w:hAnsi="Consolas" w:cs="Consolas"/>
          <w:color w:val="000000"/>
          <w:sz w:val="24"/>
          <w:szCs w:val="24"/>
        </w:rPr>
        <w:br/>
        <w:t xml:space="preserve">     continue;</w:t>
      </w:r>
      <w:r>
        <w:rPr>
          <w:rFonts w:ascii="Consolas" w:eastAsia="Consolas" w:hAnsi="Consolas" w:cs="Consolas"/>
          <w:color w:val="000000"/>
          <w:sz w:val="24"/>
          <w:szCs w:val="24"/>
        </w:rPr>
        <w:br/>
        <w:t>      System.out.println(“Hello”);</w:t>
      </w:r>
      <w:r>
        <w:rPr>
          <w:rFonts w:ascii="Consolas" w:eastAsia="Consolas" w:hAnsi="Consolas" w:cs="Consolas"/>
          <w:color w:val="000000"/>
          <w:sz w:val="24"/>
          <w:szCs w:val="24"/>
        </w:rPr>
        <w:br/>
        <w:t>}</w:t>
      </w:r>
    </w:p>
    <w:p w14:paraId="00000073" w14:textId="77777777" w:rsidR="001209E0" w:rsidRDefault="00000000">
      <w:pPr>
        <w:spacing w:before="240" w:after="240" w:line="240" w:lineRule="auto"/>
        <w:rPr>
          <w:rFonts w:cs="Calibri"/>
          <w:color w:val="000000"/>
          <w:sz w:val="24"/>
          <w:szCs w:val="24"/>
        </w:rPr>
      </w:pPr>
      <w:r>
        <w:rPr>
          <w:rFonts w:cs="Calibri"/>
          <w:color w:val="000000"/>
          <w:sz w:val="24"/>
          <w:szCs w:val="24"/>
        </w:rPr>
        <w:t xml:space="preserve">The expert might question in this example how one could read “continue” as meaning “move to the next statement” as it would be trivial. They would question writing a loop that infinitely checks its condition then continue to the next iteration while never printing anything. For a novice investigating code examples for the first time, however, continue may look like a “permission” statement. They may believe “continue” is required in loops to move forward to the body when the condition is true. If one has not learned the specific intended meaning in programming, an assumption like this can form and subsequently strange code artifacts can result. A novice may similarly believe interpretations such as “break” meaning “to break out of the program, to stop immediately” rather than “to leave the current iteration of the loop." Novices have written code snippets not unlike the following: </w:t>
      </w:r>
    </w:p>
    <w:p w14:paraId="00000074" w14:textId="77777777" w:rsidR="001209E0" w:rsidRDefault="00000000">
      <w:pPr>
        <w:spacing w:before="240" w:after="240" w:line="240" w:lineRule="auto"/>
        <w:rPr>
          <w:rFonts w:ascii="Consolas" w:eastAsia="Consolas" w:hAnsi="Consolas" w:cs="Consolas"/>
          <w:color w:val="000000"/>
          <w:sz w:val="24"/>
          <w:szCs w:val="24"/>
        </w:rPr>
      </w:pPr>
      <w:r>
        <w:rPr>
          <w:rFonts w:ascii="Consolas" w:eastAsia="Consolas" w:hAnsi="Consolas" w:cs="Consolas"/>
          <w:color w:val="000000"/>
          <w:sz w:val="24"/>
          <w:szCs w:val="24"/>
        </w:rPr>
        <w:t>while (x &lt; 10) {</w:t>
      </w:r>
      <w:r>
        <w:rPr>
          <w:rFonts w:ascii="Consolas" w:eastAsia="Consolas" w:hAnsi="Consolas" w:cs="Consolas"/>
          <w:color w:val="000000"/>
          <w:sz w:val="24"/>
          <w:szCs w:val="24"/>
        </w:rPr>
        <w:br/>
        <w:t xml:space="preserve">   //some changes are being made to x here</w:t>
      </w:r>
      <w:r>
        <w:rPr>
          <w:rFonts w:ascii="Consolas" w:eastAsia="Consolas" w:hAnsi="Consolas" w:cs="Consolas"/>
          <w:color w:val="000000"/>
          <w:sz w:val="24"/>
          <w:szCs w:val="24"/>
        </w:rPr>
        <w:br/>
        <w:t xml:space="preserve">   if (x == 12){ </w:t>
      </w:r>
      <w:r>
        <w:rPr>
          <w:rFonts w:ascii="Consolas" w:eastAsia="Consolas" w:hAnsi="Consolas" w:cs="Consolas"/>
          <w:color w:val="000000"/>
          <w:sz w:val="24"/>
          <w:szCs w:val="24"/>
        </w:rPr>
        <w:br/>
        <w:t xml:space="preserve">       break;</w:t>
      </w:r>
      <w:r>
        <w:rPr>
          <w:rFonts w:ascii="Consolas" w:eastAsia="Consolas" w:hAnsi="Consolas" w:cs="Consolas"/>
          <w:color w:val="000000"/>
          <w:sz w:val="24"/>
          <w:szCs w:val="24"/>
        </w:rPr>
        <w:br/>
        <w:t xml:space="preserve">   }</w:t>
      </w:r>
      <w:r>
        <w:rPr>
          <w:rFonts w:ascii="Consolas" w:eastAsia="Consolas" w:hAnsi="Consolas" w:cs="Consolas"/>
          <w:color w:val="000000"/>
          <w:sz w:val="24"/>
          <w:szCs w:val="24"/>
        </w:rPr>
        <w:br/>
        <w:t>}</w:t>
      </w:r>
      <w:r>
        <w:rPr>
          <w:rFonts w:ascii="Consolas" w:eastAsia="Consolas" w:hAnsi="Consolas" w:cs="Consolas"/>
          <w:color w:val="000000"/>
          <w:sz w:val="24"/>
          <w:szCs w:val="24"/>
        </w:rPr>
        <w:br/>
        <w:t>System.out.println(“Program complete”);</w:t>
      </w:r>
    </w:p>
    <w:p w14:paraId="00000075" w14:textId="77777777" w:rsidR="001209E0" w:rsidRDefault="00000000">
      <w:pPr>
        <w:spacing w:before="240" w:after="240" w:line="240" w:lineRule="auto"/>
        <w:rPr>
          <w:rFonts w:cs="Calibri"/>
          <w:color w:val="000000"/>
          <w:sz w:val="24"/>
          <w:szCs w:val="24"/>
        </w:rPr>
      </w:pPr>
      <w:r>
        <w:rPr>
          <w:sz w:val="24"/>
          <w:szCs w:val="24"/>
        </w:rPr>
        <w:t>If a novice interprets “break” as “break out of the program”, then they</w:t>
      </w:r>
      <w:sdt>
        <w:sdtPr>
          <w:tag w:val="goog_rdk_4"/>
          <w:id w:val="-634637896"/>
        </w:sdtPr>
        <w:sdtContent>
          <w:commentRangeStart w:id="4"/>
        </w:sdtContent>
      </w:sdt>
      <w:sdt>
        <w:sdtPr>
          <w:tag w:val="goog_rdk_5"/>
          <w:id w:val="-1372218319"/>
        </w:sdtPr>
        <w:sdtContent>
          <w:commentRangeStart w:id="5"/>
        </w:sdtContent>
      </w:sdt>
      <w:r>
        <w:rPr>
          <w:sz w:val="24"/>
          <w:szCs w:val="24"/>
        </w:rPr>
        <w:t xml:space="preserve"> do not believe</w:t>
      </w:r>
      <w:r>
        <w:rPr>
          <w:rFonts w:cs="Calibri"/>
          <w:color w:val="000000"/>
          <w:sz w:val="24"/>
          <w:szCs w:val="24"/>
        </w:rPr>
        <w:t xml:space="preserve"> “Program complete” will print out at all if x is equal to 12 in the loop</w:t>
      </w:r>
      <w:r>
        <w:rPr>
          <w:sz w:val="24"/>
          <w:szCs w:val="24"/>
        </w:rPr>
        <w:t>. Instead, 12 is seen as a special exit case which terminates the program early.</w:t>
      </w:r>
      <w:r>
        <w:rPr>
          <w:rFonts w:cs="Calibri"/>
          <w:color w:val="000000"/>
          <w:sz w:val="24"/>
          <w:szCs w:val="24"/>
        </w:rPr>
        <w:t xml:space="preserve">  </w:t>
      </w:r>
      <w:commentRangeEnd w:id="4"/>
      <w:r>
        <w:commentReference w:id="4"/>
      </w:r>
      <w:commentRangeEnd w:id="5"/>
      <w:r>
        <w:commentReference w:id="5"/>
      </w:r>
    </w:p>
    <w:p w14:paraId="00000076"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4 – Monuments with Petrified Purpose: Assimilation to the Unbending Compiler</w:t>
      </w:r>
    </w:p>
    <w:p w14:paraId="00000077"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Often, novice programmers are making a good faith effort to communicate programmatic ideas – not unlike a traveler making a good faith effort to speak local languages or dialects. However, where locals often also make an effort to understand speakers with weak language skills, the computer makes no such effort – because it cannot. The computer is viewed as an intelligent </w:t>
      </w:r>
      <w:r>
        <w:rPr>
          <w:rFonts w:cs="Calibri"/>
          <w:color w:val="000000"/>
          <w:sz w:val="24"/>
          <w:szCs w:val="24"/>
        </w:rPr>
        <w:lastRenderedPageBreak/>
        <w:t>but suspicious conversation partner. We trust a computational conversation partner is “telling the truth” in terms of its actions, but often do not “trust” it. Uncanny valley, fear of automation, and further digital phenomena point to value acknowledgement but scrutinizing uncertainty by humans. Programming can compound this preconception. </w:t>
      </w:r>
    </w:p>
    <w:p w14:paraId="00000078"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Perceiving the computer as knowledgeable but not trustworthy only exacerbates efforts by technologists to build stronger support into the programming conversation. When programs like Microsoft Word attempt to aid users with formatting – trying to “converse” with users knowledgeable about writing – it can be seen as patronizing, intrusive, and annoying. When programming environments with “intelli-sense” such as Eclipse or IntelliJ attempt to help novices correct mistakes through in-application feedback, the “knowledgeable” preconception overrides other characteristics.</w:t>
      </w:r>
      <w:sdt>
        <w:sdtPr>
          <w:tag w:val="goog_rdk_6"/>
          <w:id w:val="-1424797356"/>
        </w:sdtPr>
        <w:sdtContent>
          <w:commentRangeStart w:id="6"/>
        </w:sdtContent>
      </w:sdt>
      <w:sdt>
        <w:sdtPr>
          <w:tag w:val="goog_rdk_7"/>
          <w:id w:val="1329873684"/>
        </w:sdtPr>
        <w:sdtContent>
          <w:commentRangeStart w:id="7"/>
        </w:sdtContent>
      </w:sdt>
      <w:r>
        <w:rPr>
          <w:rFonts w:cs="Calibri"/>
          <w:color w:val="000000"/>
          <w:sz w:val="24"/>
          <w:szCs w:val="24"/>
        </w:rPr>
        <w:t xml:space="preserve"> The novice programmer sees the computer as expert in matters of computational language,</w:t>
      </w:r>
      <w:commentRangeEnd w:id="6"/>
      <w:r>
        <w:commentReference w:id="6"/>
      </w:r>
      <w:commentRangeEnd w:id="7"/>
      <w:r>
        <w:commentReference w:id="7"/>
      </w:r>
      <w:r>
        <w:rPr>
          <w:rFonts w:cs="Calibri"/>
          <w:color w:val="000000"/>
          <w:sz w:val="24"/>
          <w:szCs w:val="24"/>
        </w:rPr>
        <w:t xml:space="preserve"> taking its suggestions without critical analysis or discourse.</w:t>
      </w:r>
    </w:p>
    <w:p w14:paraId="00000079"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While novices in all fields often defer to experts as truth tellers, the preconceptions of the computer add a new layer. Conversations become one-sided, with programming software intended to help appearing to “state facts” rather than providing feedback for critical analysis. This causes additional issues that the “truthful” nature of human experts does not. The compiler does not have context for intention: it parses, translates, and derives meaning only from what it sees within the coded communication. Human experts may say something confusing, leading novices to an incorrect assumption. However, human experts have contextual information allowing them to revise their responses and effectively deliver their expertise. Compilers, intelli-sense, and such can only revise within their parsing and capacity to interpret that parsing. We communicate, but the program has limited bounds to understand that communication. And unlike natural language, we cannot shift our linguistic style or add additional explanations in the same way to bridge understanding. We are communicating, but not in the way we as humans are conditioned to expect.</w:t>
      </w:r>
    </w:p>
    <w:p w14:paraId="0000007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New keywords, strange structures, and a lack of guidance on why it was suggested to “put that element there” can lead to novice reasoning attempts which manipulate the polysemy of keywords in ways that lead to incorrect conclusions. In learning object-oriented paradigms, students may often struggle with the “static” keyword’s use (or lack of) in Java. A non-static method is one an object uses, and what students learning object-oriented paradigms should be creating. However, if they struggle to invoke their non-static methods, the development environment often suggests converting the method to static in an attempt to “resolve the issue." The “knowledgeable” computer is “the expert," and the student implements the suggestion, but the program is no longer object-oriented. The compiler has communicated an illogical suggestion for the problem at hand, and the student, working still to develop and recall meaning, does not know better. The student may make assumptions about static methods based on these suggestions, because their code now “works." In attempting to understand the word “static” as a bridge to their problem’s “solution," they may create entirely new meanings and subsequently, new models justifying this coded behavior. </w:t>
      </w:r>
    </w:p>
    <w:p w14:paraId="0000007B"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lastRenderedPageBreak/>
        <w:t>Even when programmers become capable of reviewing compiler and development environment suggestions as feedback to be analyzed, the conversation falls short beyond that point. They are now engaged in critical analysis, but the compiler can only help begin that process – it is not a conversational partner through it. More expert programmers know that this programmatic feedback should become an exercise in analysis and consideration. But once the computer opens the conversation, it promptly becomes ill equipped to engage in it! Debugging approaches allow the computer to facilitate and become part of the process, but the programmer develops the analysis and discourse within their own mind. The conversation partner is not really a partner at this point – the concept of communication has shifted at the exact point that strong communication is desirable.</w:t>
      </w:r>
    </w:p>
    <w:p w14:paraId="0000007C"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4.1 Lost in Translation: The Novice-Expert-Compiler Fault Lines</w:t>
      </w:r>
    </w:p>
    <w:p w14:paraId="0000007D"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Novice programmers face a daunting task in learning to program. They create mental models of an entirely new way of reasoning, symbols and grammars within that reasoning, and translating ideas across native spoken/written languages to programming ones. The nature of this learning can become more difficult due to expert-novice gaps and compiler-programmer relationships. </w:t>
      </w:r>
    </w:p>
    <w:p w14:paraId="0000007E"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To simply see “a for loop” and intuitively understand its meaning is to have navigated the career of metaphor and created meaning for the entire code concept. To grok the concept in this way moves past polysemic keyword wayfinding (and often even component part acknowledgement) into a built model which identifies the entire code concept as a monolithic metaphoric representation. </w:t>
      </w:r>
    </w:p>
    <w:p w14:paraId="0000007F"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These monolithic metaphors can be seen as dead-or-nearly-dead clearly through the struggle of those who “know programming” to tangle out how they arrived at them. Frustration takes root as experts try desperately to point out what the code, to them, definitively is: “</w:t>
      </w:r>
      <w:r>
        <w:rPr>
          <w:rFonts w:cs="Calibri"/>
          <w:i/>
          <w:color w:val="000000"/>
          <w:sz w:val="24"/>
          <w:szCs w:val="24"/>
        </w:rPr>
        <w:t>it’s just a for loop, that’s what it does!."</w:t>
      </w:r>
      <w:r>
        <w:rPr>
          <w:rFonts w:cs="Calibri"/>
          <w:color w:val="000000"/>
          <w:sz w:val="24"/>
          <w:szCs w:val="24"/>
        </w:rPr>
        <w:t xml:space="preserve"> The novice, working to learn and create these associations, cannot appreciate this dead metaphor. They are grappling with the novelty and connection making of so many smaller chunks to build this larger metaphoric model. Their difficulties with polysemic keyword interpretation make no sense to the expert, so removed from reasoning about the concept at that level that they cannot separate the parts from the whole. Many struggles in teaching and peer learning activities stem from communication gaps. Several of these gaps are likely attributed to distinct levels of mental model changing what metaphoric interpretation is occurring. </w:t>
      </w:r>
    </w:p>
    <w:p w14:paraId="00000080"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4.2 Back to Square One: Novices as Experts, then Novices Yet Again</w:t>
      </w:r>
    </w:p>
    <w:p w14:paraId="00000081"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Given the potential confusion and obstacles, it may be a wonder that novices become expert programmers at all. Novices are resilient, and our mental models adapt through critique and challenges (de Kleer and Brown, 1983). As novices encounter situations which conflict with the polysemic “meaning making” they have arrived at, critique and revision promotes development toward understanding “how code works." Novices engage with programming culture and the digital landscape, growing more familiar with programming norms. Repeated exposure and </w:t>
      </w:r>
      <w:r>
        <w:rPr>
          <w:rFonts w:cs="Calibri"/>
          <w:color w:val="000000"/>
          <w:sz w:val="24"/>
          <w:szCs w:val="24"/>
        </w:rPr>
        <w:lastRenderedPageBreak/>
        <w:t>practice further develop their models, freeing working memory and allowing them to reason more about the semiotic meaning of keywords. </w:t>
      </w:r>
    </w:p>
    <w:p w14:paraId="00000082"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Experts are not strictly confined to dead metaphors either. As keywords are used in new contexts, experts often leverage the same heuristic wayfinding to English meaning that novices use. Experts may use this in conjunction with what they “already know about code," attempting to critique and expand their model further. Experts also extend this heuristic commonly in another direction: they may see common keywords as dead metaphors, but make assumptions about the behavior of non-keyword functionality given its naming convention. Method names are intended to reveal expected behavior such as “hasNextLine” determining if another line of text exists for a Scanner object to read. An expert may make assumptions or have skewed perspective in interpreting a method’s intention as they create polysemic associations between the functionality name and the functionality they imagine a need for. Just as novices become experts through repetition, so too do experts in new environments and novel situations often return to this novice wayfinding tendency.  </w:t>
      </w:r>
    </w:p>
    <w:p w14:paraId="00000083"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Circling back to our beginnings, experts may once again break free from dead metaphor to interrogate the power of polysemy through critical code studies explorations. With “dead metaphor” understanding in hand, reflection, analysis, and questioning may allow for more interpretations and new views of “old, dead” code as a cultural text to make new meaning from and with. </w:t>
      </w:r>
    </w:p>
    <w:p w14:paraId="00000084"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5 – Markings Meant for More: Towards Polysemic Programming Futures for All</w:t>
      </w:r>
    </w:p>
    <w:p w14:paraId="00000085"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Programming expresses problem solutions using specific grammars, definitions, and structures. These methods of expression are referred to as programming “languages," further driving implications of communication. This creates a paradox of polysemy for novices at the onset. Where natural language is malleable and able to shift with culture, programming’s current form requires rigid ascribed meanings for compiler translation. We can (and do) develop high level languages, intelli-sense, and other features attempting to bridge divides. Still, our programs are currently bound by the need for the compiler to execute them. And the compiler, unlike humans, does not have an ability to contextually interpret, shift linguistic patterns, accommodate communication levels for conversation participants, and so on. </w:t>
      </w:r>
    </w:p>
    <w:p w14:paraId="00000086"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Humans do these things in conversation. Machines, presently, cannot. </w:t>
      </w:r>
    </w:p>
    <w:p w14:paraId="00000087"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Learning to program requires mapping new concepts, environments, and vocabularies: metaphoric ideas are woven into the representations within computer systems, such as icons, application designs, and commands (Wozny, 1989). Computation’s language is largely borrowed, and the discipline of computer science consistently creates its own subject matter, a novelty among disciplines (Colburn and Shute, 2008). The metaphors within programming contexts create comfortable analogs to non-programming, “known” landscapes, such as the English language or physical objects. These analogs can help us navigate these strange spaces – to make sense of novel terrain through footholds in the familiar. They may even promote </w:t>
      </w:r>
      <w:r>
        <w:rPr>
          <w:rFonts w:cs="Calibri"/>
          <w:color w:val="000000"/>
          <w:sz w:val="24"/>
          <w:szCs w:val="24"/>
        </w:rPr>
        <w:lastRenderedPageBreak/>
        <w:t>creative comparison of programming to other disciplines, and of course in the hands of experts, these metaphors can spark creative critical code analysis leading to new forms of meaning making. Despite these benefits of metaphor creating pathways and connections in meaning making, we are ultimately expected to engage with concepts, systems, and vocabularies in a specific way as novice learners to navigate “how to code."</w:t>
      </w:r>
    </w:p>
    <w:p w14:paraId="00000088" w14:textId="77777777" w:rsidR="001209E0" w:rsidRDefault="00000000">
      <w:pPr>
        <w:spacing w:before="240" w:after="240" w:line="240" w:lineRule="auto"/>
        <w:rPr>
          <w:rFonts w:cs="Calibri"/>
          <w:color w:val="000000"/>
          <w:sz w:val="24"/>
          <w:szCs w:val="24"/>
        </w:rPr>
      </w:pPr>
      <w:r>
        <w:rPr>
          <w:rFonts w:cs="Calibri"/>
          <w:color w:val="000000"/>
          <w:sz w:val="24"/>
          <w:szCs w:val="24"/>
        </w:rPr>
        <w:t>While programming keywords rely heavily on polysemic meaning, their compiled interpretation is rigid and unrelenting, at odds with the flexibility and context of natural language. However, as a discipline that invents itself, programming can imagine new and different futures for its languages. New language development may: center and employ different design approaches,  consider implications and potential meaning-making before choosing keywords, and explore the pitfalls and poetic power that keywords may present. New compiler and integrated development technologies could scaffold “context creation," to create more relevant dialogues between the programmer and the technology, aiding model development and communication. Integrated development tools could help novices interrogate polysemy, indicating when a programmer may be applying a definition at odds with expected compilation behavior. Languages taking on new paradigms and characteristics may also allow for greater polysemic meaning making and new ways of creating programming metaphor, such as Jon Corbett’s morphemic language structure in Cree# (Corbett and Temkin, 2021). </w:t>
      </w:r>
    </w:p>
    <w:p w14:paraId="00000089"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While polysemy may be an initial hurdle for the novice, moving past these initial hurdles into expertise allows them to reopen this world of metaphoric meaning as a design instrument in their code. However, to get there they must first narrow their view of meaning to “what will happen during execution” before they can fan out again. Natural language and culture are nuanced and dynamic, but programming keywords compile rigidly and single-mindedly. Metaphorical and situational reasoning, including the process of polysemy, are core aspects of our cognition, meaning-making, and subsequent modeling of the world (Gick and Holyoak 1980; Gentner, 1983). As programming moves forward, let us hope for languages and tools that foster greater communication and understanding, allowing novices to create enough meaning of programming to become experts able to themselves engage in the subversive and cultural meaning-making of critical code studies.</w:t>
      </w:r>
    </w:p>
    <w:p w14:paraId="0000008A" w14:textId="77777777" w:rsidR="001209E0" w:rsidRDefault="00000000">
      <w:pPr>
        <w:spacing w:before="240" w:after="240" w:line="240" w:lineRule="auto"/>
        <w:rPr>
          <w:rFonts w:ascii="Times New Roman" w:eastAsia="Times New Roman" w:hAnsi="Times New Roman"/>
          <w:sz w:val="24"/>
          <w:szCs w:val="24"/>
        </w:rPr>
      </w:pPr>
      <w:r>
        <w:rPr>
          <w:rFonts w:cs="Calibri"/>
          <w:b/>
          <w:color w:val="000000"/>
          <w:sz w:val="24"/>
          <w:szCs w:val="24"/>
        </w:rPr>
        <w:t>Works Cited</w:t>
      </w:r>
    </w:p>
    <w:p w14:paraId="0000008B"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John R. Anderson and Robin Jeffries. 1985. Novice LISP Errors: Undetected Losses of Information from Working Memory. Hum.-Comput. Interact.1, 2 (June 1985),107–131. https://doi.org/10.1207/s15327051hci0102_2</w:t>
      </w:r>
    </w:p>
    <w:p w14:paraId="0000008C"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Ian Arawjo. 2020. To Write Code: The Cultural Fabrication of Programming Notation and Practice. In Proceedings of the 2020 CHI Conference on Human Factors In Computing Systems (CHI ’20). Association for Computing Machinery, New York, NY, USA, 1–15. https://doi.org/10.1145/3313831.3376731</w:t>
      </w:r>
    </w:p>
    <w:p w14:paraId="0000008D"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lastRenderedPageBreak/>
        <w:t xml:space="preserve">Briana Bettin. 2020. The Stained Glass of Knowledge: On Understanding Novice Mental Models of Computing. Open Access Dissertation. Michigan Technological University, Houghton, MI, USA. 307 pages. </w:t>
      </w:r>
      <w:hyperlink r:id="rId11">
        <w:r w:rsidR="001209E0">
          <w:rPr>
            <w:rFonts w:cs="Calibri"/>
            <w:color w:val="000000"/>
            <w:sz w:val="24"/>
            <w:szCs w:val="24"/>
            <w:u w:val="single"/>
          </w:rPr>
          <w:t>https://doi.org/10.37099/mtu.dc.etdr/1086</w:t>
        </w:r>
      </w:hyperlink>
      <w:r>
        <w:rPr>
          <w:rFonts w:cs="Calibri"/>
          <w:color w:val="000000"/>
          <w:sz w:val="24"/>
          <w:szCs w:val="24"/>
        </w:rPr>
        <w:t>.</w:t>
      </w:r>
    </w:p>
    <w:p w14:paraId="0000008E" w14:textId="77777777" w:rsidR="001209E0" w:rsidRDefault="001209E0">
      <w:pPr>
        <w:spacing w:after="0" w:line="240" w:lineRule="auto"/>
        <w:rPr>
          <w:rFonts w:ascii="Times New Roman" w:eastAsia="Times New Roman" w:hAnsi="Times New Roman"/>
          <w:sz w:val="24"/>
          <w:szCs w:val="24"/>
        </w:rPr>
      </w:pPr>
    </w:p>
    <w:p w14:paraId="0000008F"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 xml:space="preserve">T. R. Colburn and G. M. Shute. 2008. Metaphor in Computer Science. Journal of Applied Logic 6, 4 (2008), 526–533. </w:t>
      </w:r>
      <w:hyperlink r:id="rId12">
        <w:r w:rsidR="001209E0">
          <w:rPr>
            <w:rFonts w:cs="Calibri"/>
            <w:color w:val="000000"/>
            <w:sz w:val="24"/>
            <w:szCs w:val="24"/>
            <w:u w:val="single"/>
          </w:rPr>
          <w:t>https://doi.org/10.1016/j.jal.2008.09.005</w:t>
        </w:r>
      </w:hyperlink>
    </w:p>
    <w:p w14:paraId="00000090"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Jon Corbett and Daniel Temkin. 2021. Interview with Jon Corbett. Esoteric.Codes.   </w:t>
      </w:r>
      <w:hyperlink r:id="rId13">
        <w:r w:rsidR="001209E0">
          <w:rPr>
            <w:rFonts w:cs="Calibri"/>
            <w:color w:val="000000"/>
            <w:sz w:val="24"/>
            <w:szCs w:val="24"/>
            <w:u w:val="single"/>
          </w:rPr>
          <w:t>https://esoteric.codes/blog/jon-corbett</w:t>
        </w:r>
      </w:hyperlink>
      <w:r>
        <w:rPr>
          <w:rFonts w:cs="Calibri"/>
          <w:color w:val="000000"/>
          <w:sz w:val="24"/>
          <w:szCs w:val="24"/>
        </w:rPr>
        <w:t> </w:t>
      </w:r>
    </w:p>
    <w:p w14:paraId="00000091"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Johan de Kleer and John Seely Brown. 1983. Assumptions and Ambiguities in Mechanistic Mental Models. In Mental Models. Lawrence Erlbaum Associates, Inc., Chapter 8, 155–190.</w:t>
      </w:r>
    </w:p>
    <w:p w14:paraId="00000092"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Michal Forišek and Monika Steinová. 2012. Metaphors and Analogies for Teaching Algorithms. In Proceedings of the 43rd ACM Technical Symposium on Computer Science Education (SIGCSE ’12). ACM, New York, NY, USA, 15–20. https://doi.org/10.1145/2157136.2157147</w:t>
      </w:r>
    </w:p>
    <w:p w14:paraId="00000093"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 xml:space="preserve">Dedre Gentner. 1983. Structure-mapping: A theoretical framework for analogy. Cognitive Science 7, 2 (1983), 155 – 170. </w:t>
      </w:r>
      <w:hyperlink r:id="rId14">
        <w:r w:rsidR="001209E0">
          <w:rPr>
            <w:rFonts w:cs="Calibri"/>
            <w:color w:val="000000"/>
            <w:sz w:val="24"/>
            <w:szCs w:val="24"/>
            <w:u w:val="single"/>
          </w:rPr>
          <w:t>https://doi.org/10.1016/S0364-0213(8</w:t>
        </w:r>
      </w:hyperlink>
      <w:r>
        <w:rPr>
          <w:rFonts w:cs="Calibri"/>
          <w:color w:val="000000"/>
          <w:sz w:val="24"/>
          <w:szCs w:val="24"/>
        </w:rPr>
        <w:t>3)80009-3</w:t>
      </w:r>
    </w:p>
    <w:p w14:paraId="00000094" w14:textId="77777777" w:rsidR="001209E0" w:rsidRDefault="001209E0">
      <w:pPr>
        <w:spacing w:after="0" w:line="240" w:lineRule="auto"/>
        <w:rPr>
          <w:rFonts w:ascii="Times New Roman" w:eastAsia="Times New Roman" w:hAnsi="Times New Roman"/>
          <w:sz w:val="24"/>
          <w:szCs w:val="24"/>
        </w:rPr>
      </w:pPr>
    </w:p>
    <w:p w14:paraId="00000095" w14:textId="77777777" w:rsidR="001209E0" w:rsidRDefault="00000000">
      <w:pPr>
        <w:spacing w:after="200" w:line="240" w:lineRule="auto"/>
        <w:rPr>
          <w:rFonts w:ascii="Times New Roman" w:eastAsia="Times New Roman" w:hAnsi="Times New Roman"/>
          <w:sz w:val="24"/>
          <w:szCs w:val="24"/>
        </w:rPr>
      </w:pPr>
      <w:r>
        <w:rPr>
          <w:rFonts w:cs="Calibri"/>
          <w:color w:val="000000"/>
          <w:sz w:val="24"/>
          <w:szCs w:val="24"/>
        </w:rPr>
        <w:t>Dedre Gentner and Brian Bowdle. 2008. Metaphor as structure-mapping. In The Cambridge Handbook of Metaphor and Thought. Cambridge University Press. Pages 109 -128. </w:t>
      </w:r>
    </w:p>
    <w:p w14:paraId="00000096" w14:textId="77777777" w:rsidR="001209E0" w:rsidRDefault="00000000">
      <w:pPr>
        <w:spacing w:after="200" w:line="240" w:lineRule="auto"/>
        <w:rPr>
          <w:rFonts w:ascii="Times New Roman" w:eastAsia="Times New Roman" w:hAnsi="Times New Roman"/>
          <w:sz w:val="24"/>
          <w:szCs w:val="24"/>
        </w:rPr>
      </w:pPr>
      <w:r>
        <w:rPr>
          <w:rFonts w:cs="Calibri"/>
          <w:color w:val="000000"/>
          <w:sz w:val="24"/>
          <w:szCs w:val="24"/>
        </w:rPr>
        <w:t xml:space="preserve">Mary L. Gick and Keith J. Holyoak. 1980. Analogical problem solving. Cognitive Psychology 12, 3 (1980), 306 – 355. </w:t>
      </w:r>
      <w:hyperlink r:id="rId15">
        <w:r w:rsidR="001209E0">
          <w:rPr>
            <w:rFonts w:cs="Calibri"/>
            <w:color w:val="000000"/>
            <w:sz w:val="24"/>
            <w:szCs w:val="24"/>
            <w:u w:val="single"/>
          </w:rPr>
          <w:t>https://doi.org/10.1016/0010-0285(80)90013-4</w:t>
        </w:r>
      </w:hyperlink>
    </w:p>
    <w:p w14:paraId="00000097"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Shawn M. Glynn, GA. National Reading Research Center, Athens, and MD. National Reading Research Center, College Park. 1994.Teaching Science with Analogies [microform]: A Strategy for Teachers and Textbook Authors. Reading Research Report No. 15 / Shawn M. Glynn. Distributed by ERIC Clearinghouse [Washington, D.C.]. 34 p. pages. </w:t>
      </w:r>
      <w:hyperlink r:id="rId16">
        <w:r w:rsidR="001209E0">
          <w:rPr>
            <w:rFonts w:cs="Calibri"/>
            <w:color w:val="000000"/>
            <w:sz w:val="24"/>
            <w:szCs w:val="24"/>
            <w:u w:val="single"/>
          </w:rPr>
          <w:t>https://eric.ed.gov/?id=ED373306</w:t>
        </w:r>
      </w:hyperlink>
    </w:p>
    <w:p w14:paraId="00000098"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Jesper Haglund. 2013. Collaborative and self-generated analogies in science education. Studies in Science Education 49 (03 2013), 1–34. </w:t>
      </w:r>
      <w:hyperlink r:id="rId17">
        <w:r w:rsidR="001209E0">
          <w:rPr>
            <w:rFonts w:cs="Calibri"/>
            <w:color w:val="000000"/>
            <w:sz w:val="24"/>
            <w:szCs w:val="24"/>
            <w:u w:val="single"/>
          </w:rPr>
          <w:t>https://doi.org/10.1080/03057267.2013.80111</w:t>
        </w:r>
      </w:hyperlink>
    </w:p>
    <w:p w14:paraId="00000099"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Shriram Krishnamurthi and Kathi Fisler. 2019. Programming Paradigms and Beyond. In The Cambridge Handbook of Computing Education Research. </w:t>
      </w:r>
      <w:hyperlink r:id="rId18">
        <w:r w:rsidR="001209E0">
          <w:rPr>
            <w:rFonts w:cs="Calibri"/>
            <w:color w:val="000000"/>
            <w:sz w:val="24"/>
            <w:szCs w:val="24"/>
            <w:u w:val="single"/>
          </w:rPr>
          <w:t>https://cs.brown.edu/~sk/Publications/Papers/Published/kf-prog-paradigms-and-beyond</w:t>
        </w:r>
      </w:hyperlink>
    </w:p>
    <w:p w14:paraId="0000009A"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Jeffrey Lieber, J.J. Abrams, and Damon Lindelof. 2004. LOST (TV Series). American Broadcasting Company (ABC). </w:t>
      </w:r>
    </w:p>
    <w:p w14:paraId="0000009B"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Cedric J. Linder. 1993.A challenge to conceptual change. Science Education 77, 3 (1993), 293–300.</w:t>
      </w:r>
      <w:hyperlink r:id="rId19">
        <w:r w:rsidR="001209E0">
          <w:rPr>
            <w:rFonts w:cs="Calibri"/>
            <w:color w:val="000000"/>
            <w:sz w:val="24"/>
            <w:szCs w:val="24"/>
            <w:u w:val="single"/>
          </w:rPr>
          <w:t>https://doi.org/10.1002/sce.3730770304arXiv:https://onlinelibrary.wiley.com/doi/pdf/10.1002/sce.3730770304</w:t>
        </w:r>
      </w:hyperlink>
    </w:p>
    <w:p w14:paraId="0000009C" w14:textId="77777777" w:rsidR="001209E0" w:rsidRDefault="001209E0">
      <w:pPr>
        <w:spacing w:after="0" w:line="240" w:lineRule="auto"/>
        <w:rPr>
          <w:rFonts w:ascii="Times New Roman" w:eastAsia="Times New Roman" w:hAnsi="Times New Roman"/>
          <w:sz w:val="24"/>
          <w:szCs w:val="24"/>
        </w:rPr>
      </w:pPr>
    </w:p>
    <w:p w14:paraId="0000009D"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Mark C. Marino. 2020. Critical Code Studies. MIT Press. </w:t>
      </w:r>
    </w:p>
    <w:p w14:paraId="0000009E" w14:textId="77777777" w:rsidR="001209E0" w:rsidRDefault="001209E0">
      <w:pPr>
        <w:spacing w:after="0" w:line="240" w:lineRule="auto"/>
        <w:rPr>
          <w:rFonts w:ascii="Times New Roman" w:eastAsia="Times New Roman" w:hAnsi="Times New Roman"/>
          <w:sz w:val="24"/>
          <w:szCs w:val="24"/>
        </w:rPr>
      </w:pPr>
    </w:p>
    <w:p w14:paraId="0000009F"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Merriam-Webster. Merriam-Webster’s Dictionary. https://www.merriam-webster.com/dictionary/ . Accessed August 2020 and April 2021. </w:t>
      </w:r>
    </w:p>
    <w:p w14:paraId="000000A0" w14:textId="77777777" w:rsidR="001209E0" w:rsidRDefault="001209E0">
      <w:pPr>
        <w:spacing w:after="0" w:line="240" w:lineRule="auto"/>
        <w:rPr>
          <w:rFonts w:ascii="Times New Roman" w:eastAsia="Times New Roman" w:hAnsi="Times New Roman"/>
          <w:sz w:val="24"/>
          <w:szCs w:val="24"/>
        </w:rPr>
      </w:pPr>
    </w:p>
    <w:p w14:paraId="000000A1"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George Abram Miller. 1956. The magical number seven plus or minus two: some limits on our capacity for processing information. In Psychology Review, Volume 63. 81-97. </w:t>
      </w:r>
    </w:p>
    <w:p w14:paraId="000000A2"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Orna Muller, David Ginat, and Bruria Haberman. 2007. Pattern-Oriented Instruction and Its Influence on Problem Decomposition and Solution Construction. In Proceedings of the 12th Annual SIGCSE Conference on Innovation and Technology in Computer Science Education (ITiCSE ’07). Association for Computing Machinery, New York, NY, USA, 151–155. </w:t>
      </w:r>
      <w:hyperlink r:id="rId20">
        <w:r w:rsidR="001209E0">
          <w:rPr>
            <w:rFonts w:cs="Calibri"/>
            <w:color w:val="000000"/>
            <w:sz w:val="24"/>
            <w:szCs w:val="24"/>
            <w:u w:val="single"/>
          </w:rPr>
          <w:t>https://doi.org/10.1145/1268784.1268830</w:t>
        </w:r>
      </w:hyperlink>
    </w:p>
    <w:p w14:paraId="000000A3"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Donald A. Norman. 1983. Some Observations on Mental Models. In Mental Models, Dedre Gentner and Albert Stevens (Eds.). Lawrence Erlbaum Associates, Inc., Chapter 1, 7–14</w:t>
      </w:r>
    </w:p>
    <w:p w14:paraId="000000A4"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 xml:space="preserve">Andreas Stefik and Susanna Siebert. 2013. An Empirical Investigation into Programming Language Syntax. In The ACM Transactions on Computing Education. ACM, New York, NY, USA. </w:t>
      </w:r>
      <w:hyperlink r:id="rId21">
        <w:r w:rsidR="001209E0">
          <w:rPr>
            <w:rFonts w:cs="Calibri"/>
            <w:color w:val="000000"/>
            <w:sz w:val="24"/>
            <w:szCs w:val="24"/>
            <w:u w:val="single"/>
          </w:rPr>
          <w:t>https://doi.org/10.1145/2534973</w:t>
        </w:r>
      </w:hyperlink>
      <w:r>
        <w:rPr>
          <w:rFonts w:cs="Calibri"/>
          <w:color w:val="000000"/>
          <w:sz w:val="24"/>
          <w:szCs w:val="24"/>
        </w:rPr>
        <w:t> </w:t>
      </w:r>
    </w:p>
    <w:p w14:paraId="000000A5" w14:textId="77777777" w:rsidR="001209E0" w:rsidRDefault="00000000">
      <w:pPr>
        <w:spacing w:after="0" w:line="240" w:lineRule="auto"/>
        <w:rPr>
          <w:rFonts w:ascii="Times New Roman" w:eastAsia="Times New Roman" w:hAnsi="Times New Roman"/>
          <w:sz w:val="24"/>
          <w:szCs w:val="24"/>
        </w:rPr>
      </w:pPr>
      <w:r>
        <w:rPr>
          <w:rFonts w:cs="Calibri"/>
          <w:color w:val="000000"/>
          <w:sz w:val="24"/>
          <w:szCs w:val="24"/>
        </w:rPr>
        <w:t xml:space="preserve">Vesa Vainio and Jorma Sajaniemi. 2007. Factors in Novice Programmers’ Poor Tracing Skills. In Proceedings of the 12th Annual SIGCSE Conference on Innovation and Technology in Computer Science Education (ITiCSE ’07). Association for Computing Machinery, New York, NY, USA, 236–240. </w:t>
      </w:r>
      <w:hyperlink r:id="rId22">
        <w:r w:rsidR="001209E0">
          <w:rPr>
            <w:rFonts w:cs="Calibri"/>
            <w:color w:val="000000"/>
            <w:sz w:val="24"/>
            <w:szCs w:val="24"/>
            <w:u w:val="single"/>
          </w:rPr>
          <w:t>https://doi.org/10.1145/1268784.1268853</w:t>
        </w:r>
      </w:hyperlink>
    </w:p>
    <w:p w14:paraId="000000A6" w14:textId="77777777" w:rsidR="001209E0" w:rsidRDefault="00000000">
      <w:pPr>
        <w:spacing w:before="240" w:after="240" w:line="240" w:lineRule="auto"/>
        <w:rPr>
          <w:rFonts w:cs="Calibri"/>
          <w:color w:val="000000"/>
          <w:sz w:val="24"/>
          <w:szCs w:val="24"/>
        </w:rPr>
      </w:pPr>
      <w:r>
        <w:rPr>
          <w:rFonts w:cs="Calibri"/>
          <w:color w:val="000000"/>
          <w:sz w:val="24"/>
          <w:szCs w:val="24"/>
        </w:rPr>
        <w:t xml:space="preserve">Wikipedia. For loop. https://en.wikipedia.org/wiki/For_loop#Timeline_of_the_for-loop_syntax_in_various_programming_languages. Accessed 2022. </w:t>
      </w:r>
    </w:p>
    <w:p w14:paraId="000000A7" w14:textId="77777777" w:rsidR="001209E0" w:rsidRDefault="00000000">
      <w:pPr>
        <w:spacing w:before="240" w:after="240" w:line="240" w:lineRule="auto"/>
        <w:rPr>
          <w:rFonts w:ascii="Times New Roman" w:eastAsia="Times New Roman" w:hAnsi="Times New Roman"/>
          <w:sz w:val="24"/>
          <w:szCs w:val="24"/>
        </w:rPr>
      </w:pPr>
      <w:r>
        <w:rPr>
          <w:rFonts w:cs="Calibri"/>
          <w:color w:val="000000"/>
          <w:sz w:val="24"/>
          <w:szCs w:val="24"/>
        </w:rPr>
        <w:t>L.A. Wozny. 1989. The Application of Metaphor, Analogy, and Conceptual Models in Computer Systems. In Interactive Computing. Oxford University Press, Inc. New York, NY, USA. DOI: 10.1016/0953-5438(89)90015-5</w:t>
      </w:r>
    </w:p>
    <w:sectPr w:rsidR="001209E0">
      <w:headerReference w:type="default" r:id="rId23"/>
      <w:headerReference w:type="first" r:id="rId24"/>
      <w:pgSz w:w="12240" w:h="15840"/>
      <w:pgMar w:top="1440" w:right="1440" w:bottom="1440" w:left="1440" w:header="720" w:footer="720" w:gutter="0"/>
      <w:pgNumType w:start="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k Marino" w:date="2024-05-25T23:55:00Z" w:initials="">
    <w:p w14:paraId="000000AF"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quotes around this?</w:t>
      </w:r>
    </w:p>
  </w:comment>
  <w:comment w:id="1" w:author="Briana B." w:date="2024-06-07T11:47:00Z" w:initials="">
    <w:p w14:paraId="000000B0"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Agreed, quotes are great!</w:t>
      </w:r>
    </w:p>
  </w:comment>
  <w:comment w:id="2" w:author="Mark Marino" w:date="2024-05-25T23:43:00Z" w:initials="">
    <w:p w14:paraId="000000B1"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not quite sure what this means</w:t>
      </w:r>
    </w:p>
  </w:comment>
  <w:comment w:id="3" w:author="Briana B." w:date="2024-06-07T11:50:00Z" w:initials="">
    <w:p w14:paraId="000000B2"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Can you check the text around this and see if it clarifies? I realized looking this over that I don't think the term "instance variable" was appropriately defined by me at any point, which likely contributed to the confusion.</w:t>
      </w:r>
    </w:p>
  </w:comment>
  <w:comment w:id="4" w:author="Mark Marino" w:date="2024-05-25T23:40:00Z" w:initials="">
    <w:p w14:paraId="000000AB"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Not sure I caught the meaning in my revision. Would like these to be sentences independent of the introductory phrase.</w:t>
      </w:r>
    </w:p>
  </w:comment>
  <w:comment w:id="5" w:author="Briana B." w:date="2024-06-07T11:55:00Z" w:initials="">
    <w:p w14:paraId="000000AC"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You got the meaning right! I tried to work on the wording a bit more to help the idea along, feel free to edit more if needed :)</w:t>
      </w:r>
    </w:p>
  </w:comment>
  <w:comment w:id="6" w:author="Mark Marino" w:date="2024-05-25T23:35:00Z" w:initials="">
    <w:p w14:paraId="000000AD"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Would it be worth adding a small note about copilot in this section?</w:t>
      </w:r>
    </w:p>
  </w:comment>
  <w:comment w:id="7" w:author="Briana B." w:date="2024-06-07T11:57:00Z" w:initials="">
    <w:p w14:paraId="000000AE" w14:textId="77777777" w:rsidR="001209E0"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can, but this does raise another question for me - should I go back and add in citations that are important since the time of writing? I've done other work on computing mental models and analogical/metaphoric theory, and I'm sure there's a few other areas that could benefit from more citations if I took a finer comb on this. There's the push-pull on my end that an addition about copilot "moves this article forward" a few years from when it was written, and I feel like the time capsule on the rest of it might look a bit dusty, if that makes 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0AF" w15:done="0"/>
  <w15:commentEx w15:paraId="000000B0" w15:paraIdParent="000000AF" w15:done="0"/>
  <w15:commentEx w15:paraId="000000B1" w15:done="0"/>
  <w15:commentEx w15:paraId="000000B2" w15:paraIdParent="000000B1" w15:done="0"/>
  <w15:commentEx w15:paraId="000000AB" w15:done="0"/>
  <w15:commentEx w15:paraId="000000AC" w15:paraIdParent="000000AB" w15:done="0"/>
  <w15:commentEx w15:paraId="000000AD" w15:done="0"/>
  <w15:commentEx w15:paraId="000000AE" w15:paraIdParent="000000A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0AF" w16cid:durableId="000000AF"/>
  <w16cid:commentId w16cid:paraId="000000B0" w16cid:durableId="000000B0"/>
  <w16cid:commentId w16cid:paraId="000000B1" w16cid:durableId="000000B1"/>
  <w16cid:commentId w16cid:paraId="000000B2" w16cid:durableId="000000B2"/>
  <w16cid:commentId w16cid:paraId="000000AB" w16cid:durableId="000000AB"/>
  <w16cid:commentId w16cid:paraId="000000AC" w16cid:durableId="000000AC"/>
  <w16cid:commentId w16cid:paraId="000000AD" w16cid:durableId="000000AD"/>
  <w16cid:commentId w16cid:paraId="000000AE" w16cid:durableId="000000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EA39F" w14:textId="77777777" w:rsidR="000C5BFC" w:rsidRDefault="000C5BFC">
      <w:pPr>
        <w:spacing w:after="0" w:line="240" w:lineRule="auto"/>
      </w:pPr>
      <w:r>
        <w:separator/>
      </w:r>
    </w:p>
  </w:endnote>
  <w:endnote w:type="continuationSeparator" w:id="0">
    <w:p w14:paraId="4EFAF8D7" w14:textId="77777777" w:rsidR="000C5BFC" w:rsidRDefault="000C5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DA9F6" w14:textId="77777777" w:rsidR="000C5BFC" w:rsidRDefault="000C5BFC">
      <w:pPr>
        <w:spacing w:after="0" w:line="240" w:lineRule="auto"/>
      </w:pPr>
      <w:r>
        <w:separator/>
      </w:r>
    </w:p>
  </w:footnote>
  <w:footnote w:type="continuationSeparator" w:id="0">
    <w:p w14:paraId="4D5ECBA3" w14:textId="77777777" w:rsidR="000C5BFC" w:rsidRDefault="000C5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9" w14:textId="77777777" w:rsidR="001209E0" w:rsidRDefault="001209E0">
    <w:pPr>
      <w:jc w:val="right"/>
    </w:pPr>
  </w:p>
  <w:p w14:paraId="000000AA" w14:textId="7D563EB6" w:rsidR="001209E0" w:rsidRDefault="00000000">
    <w:pPr>
      <w:jc w:val="right"/>
    </w:pPr>
    <w:r>
      <w:t xml:space="preserve">Bettin -- </w:t>
    </w:r>
    <w:r>
      <w:fldChar w:fldCharType="begin"/>
    </w:r>
    <w:r>
      <w:instrText>PAGE</w:instrText>
    </w:r>
    <w:r>
      <w:fldChar w:fldCharType="separate"/>
    </w:r>
    <w:r w:rsidR="0026301D">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A8" w14:textId="77777777" w:rsidR="001209E0" w:rsidRDefault="001209E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9E0"/>
    <w:rsid w:val="000C5BFC"/>
    <w:rsid w:val="001209E0"/>
    <w:rsid w:val="0026301D"/>
    <w:rsid w:val="003D1497"/>
    <w:rsid w:val="0089489D"/>
    <w:rsid w:val="00B16467"/>
    <w:rsid w:val="00C1775A"/>
    <w:rsid w:val="00C5290C"/>
    <w:rsid w:val="00FA1B28"/>
    <w:rsid w:val="00FA6B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75059B"/>
  <w15:docId w15:val="{F6E9BE47-3149-414B-8196-A69C7940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301D"/>
    <w:rPr>
      <w:rFonts w:cs="Times New Roma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2026F8"/>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sid w:val="002026F8"/>
    <w:rPr>
      <w:rFonts w:cs="Times New Roman"/>
      <w:color w:val="0000FF"/>
      <w:u w:val="single"/>
    </w:rPr>
  </w:style>
  <w:style w:type="character" w:styleId="UnresolvedMention">
    <w:name w:val="Unresolved Mention"/>
    <w:basedOn w:val="DefaultParagraphFont"/>
    <w:uiPriority w:val="99"/>
    <w:semiHidden/>
    <w:unhideWhenUsed/>
    <w:rsid w:val="00BD5150"/>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cs="Times New Roman"/>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yperlink" Target="https://esoteric.codes/blog/jon-corbett" TargetMode="External"/><Relationship Id="rId18" Type="http://schemas.openxmlformats.org/officeDocument/2006/relationships/hyperlink" Target="https://cs.brown.edu/~sk/Publications/Papers/Published/kf-prog-paradigms-and-beyon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45/2534973" TargetMode="External"/><Relationship Id="rId7" Type="http://schemas.openxmlformats.org/officeDocument/2006/relationships/comments" Target="comments.xml"/><Relationship Id="rId12" Type="http://schemas.openxmlformats.org/officeDocument/2006/relationships/hyperlink" Target="https://doi.org/10.1016/j.jal.2008.09.005" TargetMode="External"/><Relationship Id="rId17" Type="http://schemas.openxmlformats.org/officeDocument/2006/relationships/hyperlink" Target="https://doi.org/10.1080/03057267.2013.80111"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eric.ed.gov/?id=ED373306" TargetMode="External"/><Relationship Id="rId20" Type="http://schemas.openxmlformats.org/officeDocument/2006/relationships/hyperlink" Target="https://doi.org/10.1145/1268784.1268830"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37099/mtu.dc.etdr/1086"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doi.org/10.1016/0010-0285(80)90013-4" TargetMode="External"/><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hyperlink" Target="https://doi.org/10.1002/sce.3730770304arXiv:https:/onlinelibrary.wiley.com/doi/pdf/10.1002/sce.3730770304"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16/S0364-0213(83)" TargetMode="External"/><Relationship Id="rId22" Type="http://schemas.openxmlformats.org/officeDocument/2006/relationships/hyperlink" Target="https://doi.org/10.1145/1268784.126885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NrKq0N4NUd5BHrn/99gp6lXagg==">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8860</Words>
  <Characters>50503</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BriBri</dc:creator>
  <cp:lastModifiedBy>Emily Boyer</cp:lastModifiedBy>
  <cp:revision>4</cp:revision>
  <dcterms:created xsi:type="dcterms:W3CDTF">2022-05-28T03:26:00Z</dcterms:created>
  <dcterms:modified xsi:type="dcterms:W3CDTF">2026-02-27T17:46:00Z</dcterms:modified>
</cp:coreProperties>
</file>