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9E3" w:rsidRDefault="00627AA8">
      <w:pPr>
        <w:pStyle w:val="Heading1"/>
        <w:rPr>
          <w:rFonts w:eastAsia="Times New Roman"/>
        </w:rPr>
      </w:pPr>
      <w:r>
        <w:rPr>
          <w:rFonts w:eastAsia="Times New Roman"/>
        </w:rPr>
        <w:t>Visualization of Categorization: How to See the Wood and the Trees</w:t>
      </w:r>
    </w:p>
    <w:p w:rsidR="009319E3" w:rsidRDefault="00627AA8">
      <w:pPr>
        <w:rPr>
          <w:rFonts w:eastAsia="Times New Roman"/>
          <w:color w:val="000000"/>
          <w:sz w:val="24"/>
          <w:szCs w:val="24"/>
        </w:rPr>
      </w:pPr>
      <w:r>
        <w:rPr>
          <w:rFonts w:eastAsia="Times New Roman"/>
          <w:color w:val="000000"/>
          <w:sz w:val="24"/>
          <w:szCs w:val="24"/>
        </w:rPr>
        <w:t xml:space="preserve"> </w:t>
      </w:r>
    </w:p>
    <w:p w:rsidR="009319E3" w:rsidRDefault="00627AA8">
      <w:r>
        <w:t xml:space="preserve">Ophir </w:t>
      </w:r>
      <w:proofErr w:type="spellStart"/>
      <w:r>
        <w:t>Münz</w:t>
      </w:r>
      <w:proofErr w:type="spellEnd"/>
      <w:r>
        <w:t>-Manor (The Open University of Israel)</w:t>
      </w:r>
    </w:p>
    <w:p w:rsidR="009319E3" w:rsidRDefault="00627AA8">
      <w:proofErr w:type="spellStart"/>
      <w:r>
        <w:t>Itay</w:t>
      </w:r>
      <w:proofErr w:type="spellEnd"/>
      <w:r>
        <w:t xml:space="preserve"> </w:t>
      </w:r>
      <w:proofErr w:type="spellStart"/>
      <w:r>
        <w:t>Marienberg-Milikowsky</w:t>
      </w:r>
      <w:proofErr w:type="spellEnd"/>
      <w:r>
        <w:t xml:space="preserve"> (Ben-Gurion University of the Negev)</w:t>
      </w:r>
    </w:p>
    <w:p w:rsidR="009319E3" w:rsidRDefault="009319E3">
      <w:pPr>
        <w:pStyle w:val="Heading2"/>
        <w:rPr>
          <w:rFonts w:eastAsia="Times New Roman"/>
        </w:rPr>
      </w:pPr>
    </w:p>
    <w:p w:rsidR="009319E3" w:rsidRDefault="00627AA8">
      <w:pPr>
        <w:pStyle w:val="Heading2"/>
        <w:rPr>
          <w:rFonts w:eastAsia="Times New Roman"/>
        </w:rPr>
      </w:pPr>
      <w:r>
        <w:rPr>
          <w:rFonts w:eastAsia="Times New Roman"/>
        </w:rPr>
        <w:t>Abstract</w:t>
      </w:r>
    </w:p>
    <w:p w:rsidR="009319E3" w:rsidRDefault="00627AA8">
      <w:r>
        <w:t>In the article, we present, theorize and contextualize an investigation of figurative language in a corpus of Hebrew liturgical poetry from late antiquity, from both a manual and a computational point of view. The study touches upon questions of distributi</w:t>
      </w:r>
      <w:r>
        <w:t xml:space="preserve">on and patterns of usage of figures of speech as well as their literary-historical meanings. Focusing on figures of speech such as metaphors and similes, the corpus </w:t>
      </w:r>
      <w:proofErr w:type="gramStart"/>
      <w:r>
        <w:t>was first annotated</w:t>
      </w:r>
      <w:proofErr w:type="gramEnd"/>
      <w:r>
        <w:t xml:space="preserve"> manually with markers on papers, and a few years later it was annotated</w:t>
      </w:r>
      <w:r>
        <w:t xml:space="preserve"> manually again, this time in a computer-assisted way, following a strictly categorized approach, using CATMA (an online literary annotation tool). The data was then transferred into </w:t>
      </w:r>
      <w:proofErr w:type="spellStart"/>
      <w:r>
        <w:t>ViS-À-ViS</w:t>
      </w:r>
      <w:proofErr w:type="spellEnd"/>
      <w:r>
        <w:t xml:space="preserve"> (an online visualization tool, developed by </w:t>
      </w:r>
      <w:proofErr w:type="spellStart"/>
      <w:r>
        <w:t>Münz</w:t>
      </w:r>
      <w:proofErr w:type="spellEnd"/>
      <w:r>
        <w:t xml:space="preserve">-Manor and his </w:t>
      </w:r>
      <w:r>
        <w:t xml:space="preserve">team) that enables scholars to “see the wood” via various visualizations that single out, </w:t>
      </w:r>
      <w:r>
        <w:rPr>
          <w:rStyle w:val="dhqterm"/>
        </w:rPr>
        <w:t>inter alia</w:t>
      </w:r>
      <w:r>
        <w:t>, repetitive patterns either at the level of the text or the annotations. The tool also enables one to visualize aggregated results concerning more than one</w:t>
      </w:r>
      <w:r>
        <w:t xml:space="preserve"> text, allowing one to </w:t>
      </w:r>
      <w:r>
        <w:t>“</w:t>
      </w:r>
      <w:r>
        <w:t>zoom out</w:t>
      </w:r>
      <w:r>
        <w:t>”</w:t>
      </w:r>
      <w:r>
        <w:t xml:space="preserve"> and see the </w:t>
      </w:r>
      <w:r>
        <w:t>“</w:t>
      </w:r>
      <w:r>
        <w:t>forest aspect</w:t>
      </w:r>
      <w:r>
        <w:t>”</w:t>
      </w:r>
      <w:r>
        <w:t xml:space="preserve"> of the entire corpus or parts thereof. Interestingly, after visualizing the material in this way, it often turns out that the categories themselves need to be re-assessed. In other words, th</w:t>
      </w:r>
      <w:r>
        <w:t xml:space="preserve">e categorization and visualization in themselves create a sort of hermeneutical circle in which both parts influence one another reciprocally. </w:t>
      </w:r>
    </w:p>
    <w:p w:rsidR="009319E3" w:rsidRDefault="00627AA8">
      <w:proofErr w:type="gramStart"/>
      <w:r>
        <w:t xml:space="preserve">Through the case study, we seek to demonstrate that, by using correct methods and tools (not only </w:t>
      </w:r>
      <w:proofErr w:type="spellStart"/>
      <w:r>
        <w:t>ViS-À-ViS</w:t>
      </w:r>
      <w:proofErr w:type="spellEnd"/>
      <w:r>
        <w:t xml:space="preserve"> but </w:t>
      </w:r>
      <w:r>
        <w:t xml:space="preserve">others also), one can ultimately use visualization of categorization as the basis for what might be called </w:t>
      </w:r>
      <w:r>
        <w:t>‘</w:t>
      </w:r>
      <w:r>
        <w:t>established speculation</w:t>
      </w:r>
      <w:r>
        <w:t>’</w:t>
      </w:r>
      <w:r>
        <w:t>, or ‘not-trivial generalization’, which means, an interpretative act that tries to be based on clear findings, while at t</w:t>
      </w:r>
      <w:r>
        <w:t>he same time enjoying the advantages of ‘over interpretation’.</w:t>
      </w:r>
      <w:proofErr w:type="gramEnd"/>
      <w:r>
        <w:t xml:space="preserve"> This approach, we argue, enables one to see the trees without losing sight of the wood, and vice versa; or “</w:t>
      </w:r>
      <w:r>
        <w:rPr>
          <w:rStyle w:val="dhqcitation"/>
        </w:rPr>
        <w:t>to give definition</w:t>
      </w:r>
      <w:r>
        <w:t>” – at least tentatively – “</w:t>
      </w:r>
      <w:r>
        <w:rPr>
          <w:rStyle w:val="dhqcitation"/>
        </w:rPr>
        <w:t xml:space="preserve">to the microcosms and macrocosms which </w:t>
      </w:r>
      <w:r>
        <w:rPr>
          <w:rStyle w:val="dhqcitation"/>
        </w:rPr>
        <w:t>describe the world around us</w:t>
      </w:r>
      <w:r>
        <w:t>” (</w:t>
      </w:r>
      <w:proofErr w:type="spellStart"/>
      <w:r>
        <w:t>Weingart</w:t>
      </w:r>
      <w:proofErr w:type="spellEnd"/>
      <w:r>
        <w:t xml:space="preserve">  2020), be they factual or fictional.</w:t>
      </w:r>
      <w:r>
        <w:br w:type="page"/>
      </w:r>
    </w:p>
    <w:p w:rsidR="009319E3" w:rsidRDefault="009319E3">
      <w:pPr>
        <w:spacing w:before="240" w:after="280"/>
        <w:jc w:val="both"/>
        <w:rPr>
          <w:rFonts w:eastAsia="Times New Roman"/>
          <w:color w:val="000000"/>
          <w:sz w:val="24"/>
          <w:szCs w:val="24"/>
        </w:rPr>
      </w:pPr>
    </w:p>
    <w:p w:rsidR="009319E3" w:rsidRDefault="00627AA8">
      <w:pPr>
        <w:spacing w:before="240" w:after="280"/>
        <w:ind w:left="3600"/>
        <w:jc w:val="both"/>
        <w:rPr>
          <w:rStyle w:val="dhqcitation"/>
        </w:rPr>
      </w:pPr>
      <w:r>
        <w:rPr>
          <w:rStyle w:val="dhqcitation"/>
        </w:rPr>
        <w:t>Four talked about the pine tree. One defined it by genus, species, and variety. One assessed its disadvantages for the lumber industry. One quoted poems about pine trees in man</w:t>
      </w:r>
      <w:r>
        <w:rPr>
          <w:rStyle w:val="dhqcitation"/>
        </w:rPr>
        <w:t xml:space="preserve">y languages. One took root, stretched out branches, and rustled. (Dan </w:t>
      </w:r>
      <w:proofErr w:type="spellStart"/>
      <w:r>
        <w:rPr>
          <w:rStyle w:val="dhqcitation"/>
        </w:rPr>
        <w:t>Pagis</w:t>
      </w:r>
      <w:proofErr w:type="spellEnd"/>
      <w:r>
        <w:rPr>
          <w:rStyle w:val="dhqcitation"/>
        </w:rPr>
        <w:t>)</w:t>
      </w:r>
      <w:r>
        <w:rPr>
          <w:rStyle w:val="Funotenanker"/>
        </w:rPr>
        <w:footnoteReference w:id="1"/>
      </w:r>
    </w:p>
    <w:p w:rsidR="009319E3" w:rsidRDefault="009319E3">
      <w:pPr>
        <w:spacing w:before="240" w:after="280"/>
        <w:ind w:left="3600"/>
        <w:jc w:val="both"/>
        <w:rPr>
          <w:rFonts w:eastAsia="Times New Roman"/>
          <w:i/>
          <w:color w:val="383838"/>
          <w:sz w:val="25"/>
          <w:szCs w:val="25"/>
          <w:vertAlign w:val="superscript"/>
        </w:rPr>
      </w:pPr>
    </w:p>
    <w:p w:rsidR="009319E3" w:rsidRDefault="00627AA8">
      <w:pPr>
        <w:pStyle w:val="Heading2"/>
        <w:rPr>
          <w:rFonts w:eastAsia="Times New Roman"/>
        </w:rPr>
      </w:pPr>
      <w:r>
        <w:rPr>
          <w:rFonts w:eastAsia="Times New Roman"/>
        </w:rPr>
        <w:t>Introduction: Figurative Language in Late Antiquity Hebrew Liturgical Poetry – between the Manual and the Computerized</w:t>
      </w:r>
    </w:p>
    <w:p w:rsidR="009319E3" w:rsidRDefault="00627AA8">
      <w:r>
        <w:t>The experiment described and discussed in this article beg</w:t>
      </w:r>
      <w:r>
        <w:t xml:space="preserve">an with </w:t>
      </w:r>
      <w:proofErr w:type="spellStart"/>
      <w:r>
        <w:t>Münz</w:t>
      </w:r>
      <w:proofErr w:type="spellEnd"/>
      <w:r>
        <w:t xml:space="preserve">-Manor’s doctoral dissertation entitled “Studies in the Figurative Language of Pre-Classical </w:t>
      </w:r>
      <w:proofErr w:type="spellStart"/>
      <w:r>
        <w:t>Piyyut</w:t>
      </w:r>
      <w:proofErr w:type="spellEnd"/>
      <w:r>
        <w:t>”, submitted to the senate of the Hebrew University of Jerusalem in 2006 (</w:t>
      </w:r>
      <w:proofErr w:type="spellStart"/>
      <w:r>
        <w:t>Münz</w:t>
      </w:r>
      <w:proofErr w:type="spellEnd"/>
      <w:r>
        <w:t>-Manor 2006). The dissertation explored the use of metaphor, simile</w:t>
      </w:r>
      <w:r>
        <w:t xml:space="preserve">, epithets, and other figurative devices in the earliest stratum of Hebrew liturgical poetry, composed in the Galilee in the fifth century of the Common Era, also known as </w:t>
      </w:r>
      <w:proofErr w:type="spellStart"/>
      <w:r>
        <w:rPr>
          <w:rStyle w:val="dhqterm"/>
        </w:rPr>
        <w:t>piyyut</w:t>
      </w:r>
      <w:proofErr w:type="spellEnd"/>
      <w:r>
        <w:t>, a Greek loan word meaning poetry. The corpus includes all the known poems fr</w:t>
      </w:r>
      <w:r>
        <w:t xml:space="preserve">om that </w:t>
      </w:r>
      <w:proofErr w:type="gramStart"/>
      <w:r>
        <w:t>time period</w:t>
      </w:r>
      <w:proofErr w:type="gramEnd"/>
      <w:r>
        <w:t xml:space="preserve"> and was recovered from medieval manuscripts of the Cairo </w:t>
      </w:r>
      <w:proofErr w:type="spellStart"/>
      <w:r>
        <w:t>Genizah</w:t>
      </w:r>
      <w:proofErr w:type="spellEnd"/>
      <w:r>
        <w:t>. It includes 211 poems by various poets, most of them anonymous, with a word count of 47,556. Earlier studies suggested that, unlike in many other corpora of poetry, figur</w:t>
      </w:r>
      <w:r>
        <w:t xml:space="preserve">ative language in early </w:t>
      </w:r>
      <w:proofErr w:type="spellStart"/>
      <w:r>
        <w:rPr>
          <w:rStyle w:val="dhqterm"/>
        </w:rPr>
        <w:t>piyyut</w:t>
      </w:r>
      <w:proofErr w:type="spellEnd"/>
      <w:r>
        <w:t xml:space="preserve"> is rather marginal, and the main goal of the dissertation was to corroborate (or refute) this rather intuitive assertion and to some extent to quantify it. At the same time, the dissertation had a qualitative and literary goa</w:t>
      </w:r>
      <w:r>
        <w:t>l, namely to carefully analyze the poems by reading them closely, and to draw poetic conclusions from the usage, or lack thereof, of figurative language by the poets (</w:t>
      </w:r>
      <w:proofErr w:type="spellStart"/>
      <w:r>
        <w:t>Münz</w:t>
      </w:r>
      <w:proofErr w:type="spellEnd"/>
      <w:r>
        <w:t xml:space="preserve">-Manor 2011). </w:t>
      </w:r>
    </w:p>
    <w:p w:rsidR="009319E3" w:rsidRDefault="00627AA8">
      <w:r>
        <w:t>At the beginning of the century, long before the computational approac</w:t>
      </w:r>
      <w:r>
        <w:t>h began to bring its influence to bear on the Israeli academy, the method used was rather simple.</w:t>
      </w:r>
      <w:r>
        <w:rPr>
          <w:rStyle w:val="Funotenanker"/>
        </w:rPr>
        <w:footnoteReference w:id="2"/>
      </w:r>
      <w:r>
        <w:t xml:space="preserve"> The poems in the corpus </w:t>
      </w:r>
      <w:proofErr w:type="gramStart"/>
      <w:r>
        <w:t>were read</w:t>
      </w:r>
      <w:proofErr w:type="gramEnd"/>
      <w:r>
        <w:t>, word by word, using colored highlighters to mark the different figurative devices, such as metaphors, metonymies, and simi</w:t>
      </w:r>
      <w:r>
        <w:t xml:space="preserve">les. This was painstaking, to be sure, but by the end of a process that took several months, the entire corpus </w:t>
      </w:r>
      <w:proofErr w:type="gramStart"/>
      <w:r>
        <w:t>was annotated</w:t>
      </w:r>
      <w:proofErr w:type="gramEnd"/>
      <w:r>
        <w:t xml:space="preserve">. In hindsight, although there existed a notion of a clear-cut categorization of figurative language in the corpus, no well-defined </w:t>
      </w:r>
      <w:r>
        <w:t>“</w:t>
      </w:r>
      <w:proofErr w:type="spellStart"/>
      <w:r>
        <w:t>tagset</w:t>
      </w:r>
      <w:proofErr w:type="spellEnd"/>
      <w:r>
        <w:t xml:space="preserve">” </w:t>
      </w:r>
      <w:proofErr w:type="gramStart"/>
      <w:r>
        <w:t>was created</w:t>
      </w:r>
      <w:proofErr w:type="gramEnd"/>
      <w:r>
        <w:t xml:space="preserve">. To put it another way, even though this phase was managed in a relatively systematic way, it was not based on ontological </w:t>
      </w:r>
      <w:r>
        <w:rPr>
          <w:rStyle w:val="dhqemphasis"/>
        </w:rPr>
        <w:t>thinking</w:t>
      </w:r>
      <w:r>
        <w:t xml:space="preserve"> in the full sense of the term. The major figurative devices </w:t>
      </w:r>
      <w:proofErr w:type="gramStart"/>
      <w:r>
        <w:t xml:space="preserve">were </w:t>
      </w:r>
      <w:r>
        <w:lastRenderedPageBreak/>
        <w:t>annotated</w:t>
      </w:r>
      <w:proofErr w:type="gramEnd"/>
      <w:r>
        <w:t xml:space="preserve"> in an entirely flat hierarch</w:t>
      </w:r>
      <w:r>
        <w:t xml:space="preserve">y of metaphor, metonymy, synecdoche and simile. The use of these concepts </w:t>
      </w:r>
      <w:proofErr w:type="gramStart"/>
      <w:r>
        <w:t>was of course based</w:t>
      </w:r>
      <w:proofErr w:type="gramEnd"/>
      <w:r>
        <w:t xml:space="preserve"> on a strong theoretical foundation, but the definitions bore some flexibility. Indeed, at the time, the notion of a </w:t>
      </w:r>
      <w:proofErr w:type="spellStart"/>
      <w:r>
        <w:t>tagset</w:t>
      </w:r>
      <w:proofErr w:type="spellEnd"/>
      <w:r>
        <w:t xml:space="preserve"> as a defined and more or less stable lo</w:t>
      </w:r>
      <w:r>
        <w:t xml:space="preserve">gical representation of the categories was not an idea </w:t>
      </w:r>
      <w:proofErr w:type="spellStart"/>
      <w:r>
        <w:t>Münz</w:t>
      </w:r>
      <w:proofErr w:type="spellEnd"/>
      <w:r>
        <w:t xml:space="preserve">-Manor had thought of. </w:t>
      </w:r>
    </w:p>
    <w:p w:rsidR="009319E3" w:rsidRDefault="00627AA8">
      <w:r>
        <w:t xml:space="preserve">As previously noted, in the second stage, an analysis </w:t>
      </w:r>
      <w:proofErr w:type="gramStart"/>
      <w:r>
        <w:t>was carried out</w:t>
      </w:r>
      <w:proofErr w:type="gramEnd"/>
      <w:r>
        <w:t xml:space="preserve"> in which different examples were drawn from the annotated corpus. Here, a more detailed analysis of lit</w:t>
      </w:r>
      <w:r>
        <w:t>erary phenomena was carried out, such as metaphors with biblical connotations (</w:t>
      </w:r>
      <w:proofErr w:type="spellStart"/>
      <w:r>
        <w:t>Münz</w:t>
      </w:r>
      <w:proofErr w:type="spellEnd"/>
      <w:r>
        <w:t>-Manor 2006b), similes that were created due to structural features of the poems (</w:t>
      </w:r>
      <w:proofErr w:type="spellStart"/>
      <w:r>
        <w:t>Münz</w:t>
      </w:r>
      <w:proofErr w:type="spellEnd"/>
      <w:r>
        <w:t>-Manor 2009), figurative epithets (</w:t>
      </w:r>
      <w:proofErr w:type="spellStart"/>
      <w:r>
        <w:t>Münz</w:t>
      </w:r>
      <w:proofErr w:type="spellEnd"/>
      <w:r>
        <w:t xml:space="preserve">-Manor 2016) and the like. In other words, only </w:t>
      </w:r>
      <w:r>
        <w:t>after annotating the entire corpus on a very rudimentary level was the “</w:t>
      </w:r>
      <w:proofErr w:type="spellStart"/>
      <w:r>
        <w:t>tagset</w:t>
      </w:r>
      <w:proofErr w:type="spellEnd"/>
      <w:r>
        <w:t xml:space="preserve">” enhanced, in a </w:t>
      </w:r>
      <w:proofErr w:type="gramStart"/>
      <w:r>
        <w:t>process which</w:t>
      </w:r>
      <w:proofErr w:type="gramEnd"/>
      <w:r>
        <w:t xml:space="preserve"> was neither efficient, systematic nor clever. At any rate, the main phenomena that </w:t>
      </w:r>
      <w:proofErr w:type="gramStart"/>
      <w:r>
        <w:t>were discovered</w:t>
      </w:r>
      <w:proofErr w:type="gramEnd"/>
      <w:r>
        <w:t xml:space="preserve"> were grouped into chapters and analyzed in depth</w:t>
      </w:r>
      <w:r>
        <w:t xml:space="preserve">. Despite </w:t>
      </w:r>
      <w:proofErr w:type="gramStart"/>
      <w:r>
        <w:t>this</w:t>
      </w:r>
      <w:proofErr w:type="gramEnd"/>
      <w:r>
        <w:t xml:space="preserve"> there remained a gap between the scope of the textual infrastructure prepared for the research and the doctoral chapters, which were theoretical and interpretive in nature, and did not necessarily exhaust the quantitative potential that was </w:t>
      </w:r>
      <w:r>
        <w:t xml:space="preserve">encapsulated in the preparatory work. </w:t>
      </w:r>
    </w:p>
    <w:p w:rsidR="009319E3" w:rsidRDefault="00627AA8">
      <w:r>
        <w:t>The conclusion of the dissertation was that the use of figurative language was indeed relatively marginal in the corpus, but that at the same time the usage that did occur was interesting and innovative. Although most</w:t>
      </w:r>
      <w:r>
        <w:t xml:space="preserve"> of the discussion and conclusion w</w:t>
      </w:r>
      <w:r>
        <w:t>as</w:t>
      </w:r>
      <w:r>
        <w:t xml:space="preserve"> qualitative, a short passage did touch upon the quantitative aspects, even if in a scant way: “</w:t>
      </w:r>
      <w:r>
        <w:rPr>
          <w:rStyle w:val="dhqcitation"/>
        </w:rPr>
        <w:t>Out of approximately 5000 poetic lines, only 1000 contained figurative devices of any description, namely 20 percent. Mo</w:t>
      </w:r>
      <w:r>
        <w:rPr>
          <w:rStyle w:val="dhqcitation"/>
        </w:rPr>
        <w:t xml:space="preserve">reover, the number of lines that contained developed figurative usage, which in most cases means a usage that runs across the entire line, was scarce, only 100…. the </w:t>
      </w:r>
      <w:proofErr w:type="spellStart"/>
      <w:r>
        <w:rPr>
          <w:rStyle w:val="dhqterm"/>
        </w:rPr>
        <w:t>piyyutim</w:t>
      </w:r>
      <w:proofErr w:type="spellEnd"/>
      <w:r>
        <w:rPr>
          <w:rStyle w:val="dhqcitation"/>
        </w:rPr>
        <w:t xml:space="preserve"> [= </w:t>
      </w:r>
      <w:proofErr w:type="spellStart"/>
      <w:r>
        <w:rPr>
          <w:rStyle w:val="dhqterm"/>
        </w:rPr>
        <w:t>piyyut</w:t>
      </w:r>
      <w:proofErr w:type="spellEnd"/>
      <w:r>
        <w:rPr>
          <w:rStyle w:val="dhqcitation"/>
        </w:rPr>
        <w:t xml:space="preserve"> in the plural] employ almost exclusively metaphors; the number of simil</w:t>
      </w:r>
      <w:r>
        <w:rPr>
          <w:rStyle w:val="dhqcitation"/>
        </w:rPr>
        <w:t xml:space="preserve">es is surprisingly small, as well as the number of metonymies and </w:t>
      </w:r>
      <w:proofErr w:type="spellStart"/>
      <w:r>
        <w:rPr>
          <w:rStyle w:val="dhqcitation"/>
        </w:rPr>
        <w:t>synecdoches</w:t>
      </w:r>
      <w:proofErr w:type="spellEnd"/>
      <w:r>
        <w:t>” (</w:t>
      </w:r>
      <w:proofErr w:type="spellStart"/>
      <w:r>
        <w:t>Münz</w:t>
      </w:r>
      <w:proofErr w:type="spellEnd"/>
      <w:r>
        <w:t>-Manor 2006a, 238-239). These comments were not further developed or expanded upon, and remain almost the only reference to the quantitative aspects that emerged from the p</w:t>
      </w:r>
      <w:r>
        <w:t xml:space="preserve">ainstaking preparatory work. In retrospect, this fact </w:t>
      </w:r>
      <w:proofErr w:type="gramStart"/>
      <w:r>
        <w:t>should probably be understood</w:t>
      </w:r>
      <w:proofErr w:type="gramEnd"/>
      <w:r>
        <w:t xml:space="preserve"> as a reflection of the well-known hesitancy of literature studies with regard to numbers (James F. English 2010, xiii; Goldstone and Underwood 2014, 359-362). Many of the d</w:t>
      </w:r>
      <w:r>
        <w:t xml:space="preserve">issertation’s chapters </w:t>
      </w:r>
      <w:proofErr w:type="gramStart"/>
      <w:r>
        <w:t>were published</w:t>
      </w:r>
      <w:proofErr w:type="gramEnd"/>
      <w:r>
        <w:t xml:space="preserve"> as journal articles and it seemed that this scholarly chapter in the author’s career had ended. </w:t>
      </w:r>
    </w:p>
    <w:p w:rsidR="009319E3" w:rsidRDefault="00627AA8">
      <w:r>
        <w:t>That being said, fifteen years later, as our shared interest in computational literary studies grew, we came across CATMA</w:t>
      </w:r>
      <w:r>
        <w:t xml:space="preserve"> (Computer Assisted Text Markup and Analysis), a web annotation tool developed at the University of Hamburg and now at the Technical University of Darmstadt (</w:t>
      </w:r>
      <w:proofErr w:type="spellStart"/>
      <w:r>
        <w:t>Gius</w:t>
      </w:r>
      <w:proofErr w:type="spellEnd"/>
      <w:r>
        <w:t xml:space="preserve"> et al. 2022), and a new scholarly project emerged. CATMA enables the annotation of every elem</w:t>
      </w:r>
      <w:r>
        <w:t xml:space="preserve">ent in the text (and not the text as a whole </w:t>
      </w:r>
      <w:r>
        <w:t>–</w:t>
      </w:r>
      <w:r>
        <w:t xml:space="preserve"> an issue that we will discuss later) according to </w:t>
      </w:r>
      <w:proofErr w:type="spellStart"/>
      <w:r>
        <w:t>tagsets</w:t>
      </w:r>
      <w:proofErr w:type="spellEnd"/>
      <w:r>
        <w:t xml:space="preserve"> defined by the user. Once the tagging </w:t>
      </w:r>
      <w:proofErr w:type="gramStart"/>
      <w:r>
        <w:t>has been accomplished</w:t>
      </w:r>
      <w:proofErr w:type="gramEnd"/>
      <w:r>
        <w:t>, the user can execute queries concerning both the text and the tagged text. Working with th</w:t>
      </w:r>
      <w:r>
        <w:t xml:space="preserve">is tool, the first thing that caught </w:t>
      </w:r>
      <w:proofErr w:type="spellStart"/>
      <w:r>
        <w:t>Münz</w:t>
      </w:r>
      <w:proofErr w:type="spellEnd"/>
      <w:r>
        <w:t xml:space="preserve">-Manor’s eye was that the interface seemed almost identical to his dissertation’s </w:t>
      </w:r>
      <w:proofErr w:type="gramStart"/>
      <w:r>
        <w:t>print-outs</w:t>
      </w:r>
      <w:proofErr w:type="gramEnd"/>
      <w:r>
        <w:t xml:space="preserve">, namely the text highlighted with colors to depict the different annotations. </w:t>
      </w:r>
      <w:proofErr w:type="gramStart"/>
      <w:r>
        <w:t>But</w:t>
      </w:r>
      <w:proofErr w:type="gramEnd"/>
      <w:r>
        <w:t>, unlike the initial work which was entir</w:t>
      </w:r>
      <w:r>
        <w:t xml:space="preserve">ely manual, the main advantage of CATMA, or of any other computer-based annotation tool, is the ability to run basic or complex queries and to retrieve data. Thus, for example, in a hypothetical digital project equivalent to the doctoral </w:t>
      </w:r>
      <w:r>
        <w:lastRenderedPageBreak/>
        <w:t>thesis described e</w:t>
      </w:r>
      <w:r>
        <w:t xml:space="preserve">arlier, the researcher could retrieve in seconds, and for the first time, a distribution of the figurative devices in the entire corpus, whether in a set of poems or a specific one; a list of frequent metaphoric words; or a percentage of figurative versus </w:t>
      </w:r>
      <w:r>
        <w:t>literal words. Such data is foundational for a combined qualitative-quantitative research. Moreover, the un-dogmatic conceptual principle of CATMA (</w:t>
      </w:r>
      <w:proofErr w:type="spellStart"/>
      <w:r>
        <w:t>Horstmann</w:t>
      </w:r>
      <w:proofErr w:type="spellEnd"/>
      <w:r>
        <w:t xml:space="preserve"> 2020) enables the annotators to enhance, refine or redefine the </w:t>
      </w:r>
      <w:proofErr w:type="spellStart"/>
      <w:r>
        <w:t>tagset</w:t>
      </w:r>
      <w:proofErr w:type="spellEnd"/>
      <w:r>
        <w:t xml:space="preserve"> on the go.</w:t>
      </w:r>
      <w:r>
        <w:rPr>
          <w:rStyle w:val="Funotenanker"/>
        </w:rPr>
        <w:footnoteReference w:id="3"/>
      </w:r>
      <w:r>
        <w:t xml:space="preserve"> As previously n</w:t>
      </w:r>
      <w:r>
        <w:t xml:space="preserve">oted, the manual tagging during the initial phase of writing the dissertation forced </w:t>
      </w:r>
      <w:proofErr w:type="spellStart"/>
      <w:r>
        <w:t>Münz</w:t>
      </w:r>
      <w:proofErr w:type="spellEnd"/>
      <w:r>
        <w:t>-Manor to use a one-dimensional and rigid “</w:t>
      </w:r>
      <w:proofErr w:type="spellStart"/>
      <w:r>
        <w:t>tagset</w:t>
      </w:r>
      <w:proofErr w:type="spellEnd"/>
      <w:r>
        <w:t>” that, on the one hand, facilitated the tedious endeavor but, on the other, restricted the potential for complex anal</w:t>
      </w:r>
      <w:r>
        <w:t xml:space="preserve">ysis.   </w:t>
      </w:r>
    </w:p>
    <w:p w:rsidR="009319E3" w:rsidRDefault="00627AA8">
      <w:r>
        <w:t xml:space="preserve">We began to wonder what would happen if CATMA </w:t>
      </w:r>
      <w:proofErr w:type="gramStart"/>
      <w:r>
        <w:t>were used</w:t>
      </w:r>
      <w:proofErr w:type="gramEnd"/>
      <w:r>
        <w:t xml:space="preserve"> to explore figurative language in </w:t>
      </w:r>
      <w:proofErr w:type="spellStart"/>
      <w:r>
        <w:rPr>
          <w:i/>
        </w:rPr>
        <w:t>piyyut</w:t>
      </w:r>
      <w:proofErr w:type="spellEnd"/>
      <w:r>
        <w:t>, transforming the hypothetical idea described above into a reality. This experiment would have twofold importance; firstly, it would provide another p</w:t>
      </w:r>
      <w:r>
        <w:t xml:space="preserve">erspective on the literary question at hand, and secondly it would serve as an unusual methodological trial of digital versus analogue approaches. We decided to run an experiment: we would “upload” the manual annotations from the doctoral </w:t>
      </w:r>
      <w:proofErr w:type="gramStart"/>
      <w:r>
        <w:t>print-outs</w:t>
      </w:r>
      <w:proofErr w:type="gramEnd"/>
      <w:r>
        <w:t xml:space="preserve"> to the</w:t>
      </w:r>
      <w:r>
        <w:t xml:space="preserve"> system and see where it would take us (</w:t>
      </w:r>
      <w:proofErr w:type="spellStart"/>
      <w:r>
        <w:t>Münz</w:t>
      </w:r>
      <w:proofErr w:type="spellEnd"/>
      <w:r>
        <w:t xml:space="preserve">-Manor 2022). Here we took another important decision, which was to stick strictly to the original annotations in order for the experiment to be as sound as possible. </w:t>
      </w:r>
      <w:proofErr w:type="gramStart"/>
      <w:r>
        <w:t>As literary scholars, who cannot ignore the s</w:t>
      </w:r>
      <w:r>
        <w:t>ubjective nature of interpretation,</w:t>
      </w:r>
      <w:proofErr w:type="gramEnd"/>
      <w:r>
        <w:t xml:space="preserve"> </w:t>
      </w:r>
      <w:proofErr w:type="gramStart"/>
      <w:r>
        <w:t>it</w:t>
      </w:r>
      <w:proofErr w:type="gramEnd"/>
      <w:r>
        <w:t xml:space="preserve"> was an in</w:t>
      </w:r>
      <w:r>
        <w:t>tuitive</w:t>
      </w:r>
      <w:r>
        <w:t xml:space="preserve"> act: </w:t>
      </w:r>
      <w:r>
        <w:t>t</w:t>
      </w:r>
      <w:r>
        <w:t>he decision whether a word is figurative or not is a hermeneutical one, and different scholars would tend to annotate the word differently. Moreover, even the same annotator might inte</w:t>
      </w:r>
      <w:r>
        <w:t>rpret the word differently at a later date or in a different context. It was because of this that we decided not to touch the original annotations when migrating from the analogue dissertation to the digital experiment; but we shall return to this point to</w:t>
      </w:r>
      <w:r>
        <w:t xml:space="preserve">wards the end of this article. </w:t>
      </w:r>
    </w:p>
    <w:p w:rsidR="009319E3" w:rsidRDefault="00627AA8">
      <w:r>
        <w:t xml:space="preserve">The results of the experiment </w:t>
      </w:r>
      <w:proofErr w:type="gramStart"/>
      <w:r>
        <w:t>will be presented</w:t>
      </w:r>
      <w:proofErr w:type="gramEnd"/>
      <w:r>
        <w:t xml:space="preserve"> in two sections. In what follows we discuss some general quantitative results, then we continue with a more theoretical discussion of the annotating double experience and its f</w:t>
      </w:r>
      <w:r>
        <w:t xml:space="preserve">unction in the research development. Finally, we present our visualization tool and follow with another case study that builds upon the capabilities of the tool. </w:t>
      </w:r>
    </w:p>
    <w:p w:rsidR="009319E3" w:rsidRDefault="009319E3">
      <w:pPr>
        <w:spacing w:before="240" w:after="280"/>
        <w:jc w:val="both"/>
        <w:rPr>
          <w:rFonts w:eastAsia="Times New Roman"/>
          <w:color w:val="000000"/>
          <w:sz w:val="24"/>
          <w:szCs w:val="24"/>
        </w:rPr>
      </w:pPr>
    </w:p>
    <w:p w:rsidR="009319E3" w:rsidRDefault="00627AA8">
      <w:pPr>
        <w:pStyle w:val="Heading2"/>
        <w:rPr>
          <w:rFonts w:eastAsia="Times New Roman"/>
        </w:rPr>
      </w:pPr>
      <w:r>
        <w:rPr>
          <w:rFonts w:eastAsia="Times New Roman"/>
        </w:rPr>
        <w:t xml:space="preserve">Case Study (A): Corroboration and Refutation </w:t>
      </w:r>
    </w:p>
    <w:p w:rsidR="009319E3" w:rsidRDefault="00627AA8">
      <w:r>
        <w:t xml:space="preserve">Once the corpus of poetry and the annotations </w:t>
      </w:r>
      <w:r>
        <w:t xml:space="preserve">were uploaded to </w:t>
      </w:r>
      <w:proofErr w:type="gramStart"/>
      <w:r>
        <w:t>CATMA</w:t>
      </w:r>
      <w:proofErr w:type="gramEnd"/>
      <w:r>
        <w:t xml:space="preserve"> it was very easy to run basic queries and to (re)assess some of the key findings of the dissertation (</w:t>
      </w:r>
      <w:proofErr w:type="spellStart"/>
      <w:r>
        <w:t>Münz</w:t>
      </w:r>
      <w:proofErr w:type="spellEnd"/>
      <w:r>
        <w:t>-Manor 2022, 370-3). The most pressing question was whether figurative language in the corpus is marginal or not. Interestingly</w:t>
      </w:r>
      <w:r>
        <w:t>, it turns out that the question is not that simple. Let us consider some numbers</w:t>
      </w:r>
      <w:r>
        <w:t>:</w:t>
      </w:r>
      <w:r>
        <w:t xml:space="preserve"> the corpus includes 47,556 words, out of which 5113 are figurative. In other words, the share of figurative words in the corpus is 11%, a small fraction to be sure. In that</w:t>
      </w:r>
      <w:r>
        <w:t xml:space="preserve"> sense, we can say that the quantitative results corroborate the qualitative ones from the dissertation. </w:t>
      </w:r>
      <w:proofErr w:type="gramStart"/>
      <w:r>
        <w:t>But</w:t>
      </w:r>
      <w:proofErr w:type="gramEnd"/>
      <w:r>
        <w:t xml:space="preserve"> ‘small’ in comparison to </w:t>
      </w:r>
      <w:r>
        <w:lastRenderedPageBreak/>
        <w:t xml:space="preserve">what? In the </w:t>
      </w:r>
      <w:proofErr w:type="gramStart"/>
      <w:r>
        <w:t>dissertation</w:t>
      </w:r>
      <w:proofErr w:type="gramEnd"/>
      <w:r>
        <w:t xml:space="preserve"> this question could not have been answered and probably did not seem worthwhile at the time. In </w:t>
      </w:r>
      <w:r>
        <w:t xml:space="preserve">order to correlate the results, we examined them against two new corpora that </w:t>
      </w:r>
      <w:proofErr w:type="gramStart"/>
      <w:r>
        <w:t>have now been annotated</w:t>
      </w:r>
      <w:proofErr w:type="gramEnd"/>
      <w:r>
        <w:t xml:space="preserve"> for figurative language: the Book of Psalms from the Bible and the poetry of </w:t>
      </w:r>
      <w:proofErr w:type="spellStart"/>
      <w:r>
        <w:t>Pinchas</w:t>
      </w:r>
      <w:proofErr w:type="spellEnd"/>
      <w:r>
        <w:t xml:space="preserve"> the Priest, a ninth-century poet from </w:t>
      </w:r>
      <w:proofErr w:type="spellStart"/>
      <w:r>
        <w:t>Tiberias</w:t>
      </w:r>
      <w:proofErr w:type="spellEnd"/>
      <w:r>
        <w:t xml:space="preserve">. These corpora </w:t>
      </w:r>
      <w:proofErr w:type="gramStart"/>
      <w:r>
        <w:t>were se</w:t>
      </w:r>
      <w:r>
        <w:t>lected</w:t>
      </w:r>
      <w:proofErr w:type="gramEnd"/>
      <w:r>
        <w:t xml:space="preserve"> for a particular reason; the Book of Psalms is the foundational corpus of Hebrew poetry and </w:t>
      </w:r>
      <w:proofErr w:type="spellStart"/>
      <w:r>
        <w:rPr>
          <w:i/>
        </w:rPr>
        <w:t>piyyut</w:t>
      </w:r>
      <w:proofErr w:type="spellEnd"/>
      <w:r>
        <w:t xml:space="preserve"> has a direct connection to it even if the late antique poets sought to distance themselves from the canonical text. The </w:t>
      </w:r>
      <w:r>
        <w:rPr>
          <w:i/>
        </w:rPr>
        <w:t>oeuvre</w:t>
      </w:r>
      <w:r>
        <w:t xml:space="preserve"> of </w:t>
      </w:r>
      <w:proofErr w:type="spellStart"/>
      <w:r>
        <w:t>Pinchas</w:t>
      </w:r>
      <w:proofErr w:type="spellEnd"/>
      <w:r>
        <w:t>, on the othe</w:t>
      </w:r>
      <w:r>
        <w:t xml:space="preserve">r hand, builds heavily on the early </w:t>
      </w:r>
      <w:proofErr w:type="spellStart"/>
      <w:r>
        <w:rPr>
          <w:i/>
        </w:rPr>
        <w:t>piyyut</w:t>
      </w:r>
      <w:proofErr w:type="spellEnd"/>
      <w:r>
        <w:t xml:space="preserve"> and represents the inner development of this specific literary tradition after three hundred years of development. Simply put, the original corpus of the PhD dissertation was placed in diachronic comparison with a</w:t>
      </w:r>
      <w:r>
        <w:t xml:space="preserve">n early and </w:t>
      </w:r>
      <w:proofErr w:type="gramStart"/>
      <w:r>
        <w:t>a late corp</w:t>
      </w:r>
      <w:r>
        <w:t>ora</w:t>
      </w:r>
      <w:proofErr w:type="gramEnd"/>
      <w:r>
        <w:t>.</w:t>
      </w:r>
    </w:p>
    <w:p w:rsidR="009319E3" w:rsidRDefault="00627AA8">
      <w:r>
        <w:t xml:space="preserve">The percentage of figurative words in the Book of Psalms is 14% and in the poetry of </w:t>
      </w:r>
      <w:proofErr w:type="spellStart"/>
      <w:r>
        <w:t>Pinchas</w:t>
      </w:r>
      <w:proofErr w:type="spellEnd"/>
      <w:r>
        <w:t xml:space="preserve"> 9%. </w:t>
      </w:r>
      <w:proofErr w:type="gramStart"/>
      <w:r>
        <w:t>So</w:t>
      </w:r>
      <w:proofErr w:type="gramEnd"/>
      <w:r>
        <w:t xml:space="preserve">, on comparing the two, it appears that the original corpus of the dissertation was not so under-figurative as seemed at first </w:t>
      </w:r>
      <w:r>
        <w:t xml:space="preserve">sight. In fact, it stands in between the classical book of Hebrew poetry, the Psalms, and a later poet that belonged directly to the literary tradition of </w:t>
      </w:r>
      <w:proofErr w:type="spellStart"/>
      <w:r>
        <w:rPr>
          <w:rStyle w:val="dhqterm"/>
        </w:rPr>
        <w:t>piyyut</w:t>
      </w:r>
      <w:proofErr w:type="spellEnd"/>
      <w:r>
        <w:t>. It is hard to draw a conclusion solely from these quantitative observations with regard to th</w:t>
      </w:r>
      <w:r>
        <w:t xml:space="preserve">e history of Hebrew poetry in its diachronic development as far as the usage of figurative language is concerned, yet it definitely marks a promising scholarly path for future studies. </w:t>
      </w:r>
    </w:p>
    <w:p w:rsidR="009319E3" w:rsidRDefault="00627AA8">
      <w:r>
        <w:t>In other cases, the digital reexamination refuted findings in the diss</w:t>
      </w:r>
      <w:r>
        <w:t xml:space="preserve">ertation. One of the meaningful categories for the analysis in the dissertation was the relation between figurative language and the specific genre or sub-genre of the poems. </w:t>
      </w:r>
      <w:proofErr w:type="spellStart"/>
      <w:r>
        <w:rPr>
          <w:rStyle w:val="dhqterm"/>
        </w:rPr>
        <w:t>Piyyut</w:t>
      </w:r>
      <w:proofErr w:type="spellEnd"/>
      <w:r>
        <w:t xml:space="preserve"> is characterized by a strict generic classification and naturally some (su</w:t>
      </w:r>
      <w:r>
        <w:t>b</w:t>
      </w:r>
      <w:proofErr w:type="gramStart"/>
      <w:r>
        <w:t>)genres</w:t>
      </w:r>
      <w:proofErr w:type="gramEnd"/>
      <w:r>
        <w:t xml:space="preserve"> tend to use figurative language more than others. The quantification of the results allowed one to examine easily what the figurative density (the ratio between figurative and non-figurative words) of each genre might be, and here, too, the result</w:t>
      </w:r>
      <w:r>
        <w:t xml:space="preserve">s corroborated some of the initial findings while refuting others. Most notably is the genre of the </w:t>
      </w:r>
      <w:proofErr w:type="spellStart"/>
      <w:r>
        <w:rPr>
          <w:rStyle w:val="dhqterm"/>
        </w:rPr>
        <w:t>Hosha’not</w:t>
      </w:r>
      <w:proofErr w:type="spellEnd"/>
      <w:r>
        <w:t xml:space="preserve"> (hosanna), which ranked at 25</w:t>
      </w:r>
      <w:r>
        <w:t>%</w:t>
      </w:r>
      <w:r>
        <w:t xml:space="preserve"> of figurative density. That is to say, in general, every fourth word is figurative. If we compare this phenomenon to the overall figurative density of the corpus, which is 11%, it really stands out. Curiously, in </w:t>
      </w:r>
      <w:proofErr w:type="spellStart"/>
      <w:r>
        <w:t>Münz</w:t>
      </w:r>
      <w:proofErr w:type="spellEnd"/>
      <w:r>
        <w:t xml:space="preserve">-Manor’s dissertation it </w:t>
      </w:r>
      <w:proofErr w:type="gramStart"/>
      <w:r>
        <w:t>was noted</w:t>
      </w:r>
      <w:proofErr w:type="gramEnd"/>
      <w:r>
        <w:t>, in</w:t>
      </w:r>
      <w:r>
        <w:t xml:space="preserve"> passing to be honest, that this genre is </w:t>
      </w:r>
      <w:r>
        <w:rPr>
          <w:rStyle w:val="dhqemphasis"/>
        </w:rPr>
        <w:t>low</w:t>
      </w:r>
      <w:r>
        <w:t xml:space="preserve"> on figurative language (</w:t>
      </w:r>
      <w:proofErr w:type="spellStart"/>
      <w:r>
        <w:t>Münz</w:t>
      </w:r>
      <w:proofErr w:type="spellEnd"/>
      <w:r>
        <w:t xml:space="preserve">-Manor 2006, 61). Where did such an incorrect assertion come from? The </w:t>
      </w:r>
      <w:proofErr w:type="spellStart"/>
      <w:r>
        <w:rPr>
          <w:rStyle w:val="dhqterm"/>
        </w:rPr>
        <w:t>Hosha’not</w:t>
      </w:r>
      <w:proofErr w:type="spellEnd"/>
      <w:r>
        <w:t xml:space="preserve"> are </w:t>
      </w:r>
      <w:proofErr w:type="gramStart"/>
      <w:r>
        <w:t>very short</w:t>
      </w:r>
      <w:proofErr w:type="gramEnd"/>
      <w:r>
        <w:t xml:space="preserve"> and in the style of a litany, a list of attributes of the people of Israel. </w:t>
      </w:r>
      <w:proofErr w:type="gramStart"/>
      <w:r>
        <w:t>So</w:t>
      </w:r>
      <w:proofErr w:type="gramEnd"/>
      <w:r>
        <w:t xml:space="preserve"> even if</w:t>
      </w:r>
      <w:r>
        <w:t xml:space="preserve"> many of these epithets are figurative, the poem as a whole does not sound very figurative. Here we encounter an interesting case where the quantitative and the qualitative represent separate lines that do not meet while both </w:t>
      </w:r>
      <w:r>
        <w:rPr>
          <w:rStyle w:val="dhqemphasis"/>
        </w:rPr>
        <w:t>are</w:t>
      </w:r>
      <w:r>
        <w:t xml:space="preserve"> valid. Quantitatively, the</w:t>
      </w:r>
      <w:r>
        <w:t>re are many figurative words, however, their aesthetic impression is low and possibly does not call for a detailed literary analysis; or does it? We do not think we can or should decide on such matters, but it demonstrates quite nicely that opening the doo</w:t>
      </w:r>
      <w:r>
        <w:t xml:space="preserve">r to quantitative considerations expands the literary toolkit and the hermeneutical possibilities. </w:t>
      </w:r>
    </w:p>
    <w:p w:rsidR="009319E3" w:rsidRDefault="009319E3">
      <w:pPr>
        <w:spacing w:before="240" w:after="280"/>
        <w:jc w:val="both"/>
        <w:rPr>
          <w:rFonts w:eastAsia="Times New Roman"/>
          <w:color w:val="000000"/>
          <w:sz w:val="24"/>
          <w:szCs w:val="24"/>
        </w:rPr>
      </w:pPr>
    </w:p>
    <w:p w:rsidR="009319E3" w:rsidRDefault="00627AA8">
      <w:pPr>
        <w:pStyle w:val="Heading2"/>
        <w:rPr>
          <w:rFonts w:eastAsia="Times New Roman"/>
        </w:rPr>
      </w:pPr>
      <w:r>
        <w:rPr>
          <w:rFonts w:eastAsia="Times New Roman"/>
        </w:rPr>
        <w:t>Manual Annotating in the Digital Age as a Close Reading Practice</w:t>
      </w:r>
    </w:p>
    <w:p w:rsidR="009319E3" w:rsidRDefault="00627AA8">
      <w:r>
        <w:t xml:space="preserve">At first glance, the transition described above from paper-based manual annotating to </w:t>
      </w:r>
      <w:r>
        <w:t>computer-assisted manual annotating, which undoubtedly provides better analytical capabilities (</w:t>
      </w:r>
      <w:proofErr w:type="spellStart"/>
      <w:r>
        <w:t>Jacke</w:t>
      </w:r>
      <w:proofErr w:type="spellEnd"/>
      <w:r>
        <w:t xml:space="preserve"> 2018), should lead to research which </w:t>
      </w:r>
      <w:r>
        <w:lastRenderedPageBreak/>
        <w:t>can be measured quantitatively, and whose conclusions will – almost by definition – be more robust. Simply put, altho</w:t>
      </w:r>
      <w:r>
        <w:t xml:space="preserve">ugh the research procedure was essentially the same, what </w:t>
      </w:r>
      <w:proofErr w:type="spellStart"/>
      <w:r>
        <w:t>Münz</w:t>
      </w:r>
      <w:proofErr w:type="spellEnd"/>
      <w:r>
        <w:t>-Manor was able to do for the first time with the digital tool</w:t>
      </w:r>
      <w:r>
        <w:t xml:space="preserve"> allowed him to say clearer things about the entire corpus. In other words, even in this seemingly modest case, the transition to a</w:t>
      </w:r>
      <w:r>
        <w:t xml:space="preserve"> digital tool might well have coincided with a certain and widespread perception of the adopting of the computational option as a move in the direction of objectivity, </w:t>
      </w:r>
      <w:proofErr w:type="spellStart"/>
      <w:r>
        <w:t>scientification</w:t>
      </w:r>
      <w:proofErr w:type="spellEnd"/>
      <w:r>
        <w:t>, and the like. However, as we shall see, and as other scholars have alre</w:t>
      </w:r>
      <w:r>
        <w:t xml:space="preserve">ady argued (for </w:t>
      </w:r>
      <w:proofErr w:type="gramStart"/>
      <w:r>
        <w:t>example</w:t>
      </w:r>
      <w:r>
        <w:rPr>
          <w:rFonts w:cstheme="majorBidi"/>
          <w:color w:val="000000" w:themeColor="text1"/>
        </w:rPr>
        <w:t>:</w:t>
      </w:r>
      <w:proofErr w:type="gramEnd"/>
      <w:r>
        <w:rPr>
          <w:rFonts w:cstheme="majorBidi"/>
          <w:color w:val="000000" w:themeColor="text1"/>
        </w:rPr>
        <w:t xml:space="preserve"> </w:t>
      </w:r>
      <w:proofErr w:type="spellStart"/>
      <w:r>
        <w:rPr>
          <w:rFonts w:eastAsia="Roboto" w:cstheme="majorBidi"/>
          <w:color w:val="000000" w:themeColor="text1"/>
        </w:rPr>
        <w:t>Rieder</w:t>
      </w:r>
      <w:proofErr w:type="spellEnd"/>
      <w:r>
        <w:rPr>
          <w:rFonts w:eastAsia="Roboto" w:cstheme="majorBidi"/>
          <w:color w:val="000000" w:themeColor="text1"/>
        </w:rPr>
        <w:t xml:space="preserve"> and </w:t>
      </w:r>
      <w:proofErr w:type="spellStart"/>
      <w:r>
        <w:rPr>
          <w:rFonts w:eastAsia="Roboto" w:cstheme="majorBidi"/>
          <w:color w:val="000000" w:themeColor="text1"/>
        </w:rPr>
        <w:t>Röhle</w:t>
      </w:r>
      <w:proofErr w:type="spellEnd"/>
      <w:r>
        <w:rPr>
          <w:rFonts w:eastAsia="Roboto" w:cstheme="majorBidi"/>
          <w:color w:val="000000" w:themeColor="text1"/>
        </w:rPr>
        <w:t xml:space="preserve"> 2012</w:t>
      </w:r>
      <w:r>
        <w:rPr>
          <w:rFonts w:ascii="Roboto" w:eastAsia="Roboto" w:hAnsi="Roboto" w:cs="Roboto"/>
          <w:color w:val="444746"/>
          <w:sz w:val="21"/>
          <w:szCs w:val="21"/>
        </w:rPr>
        <w:t>)</w:t>
      </w:r>
      <w:r>
        <w:rPr>
          <w:rFonts w:ascii="Roboto" w:eastAsia="Roboto" w:hAnsi="Roboto" w:cs="Roboto"/>
          <w:color w:val="444746"/>
          <w:sz w:val="21"/>
          <w:szCs w:val="21"/>
        </w:rPr>
        <w:t>,</w:t>
      </w:r>
      <w:r>
        <w:rPr>
          <w:rFonts w:ascii="Roboto" w:eastAsia="Roboto" w:hAnsi="Roboto" w:cs="Roboto"/>
          <w:color w:val="444746"/>
          <w:sz w:val="21"/>
          <w:szCs w:val="21"/>
        </w:rPr>
        <w:t xml:space="preserve"> </w:t>
      </w:r>
      <w:r>
        <w:t>the picture is more complex, since, even in such a case, this move has a price.</w:t>
      </w:r>
    </w:p>
    <w:p w:rsidR="009319E3" w:rsidRDefault="00627AA8">
      <w:r>
        <w:t xml:space="preserve">To begin with, we must ask ourselves if, and to what extent, the computer-assisted manual annotating is really so conceptually </w:t>
      </w:r>
      <w:r>
        <w:t xml:space="preserve">similar to the non-computerized manual one. Manual annotation in the digital humanities </w:t>
      </w:r>
      <w:proofErr w:type="gramStart"/>
      <w:r>
        <w:t>is sometimes described</w:t>
      </w:r>
      <w:proofErr w:type="gramEnd"/>
      <w:r>
        <w:t xml:space="preserve"> as an area of the good old close reading within the new realm of distant reading. This is both true and not true: it is true because, unlike some</w:t>
      </w:r>
      <w:r>
        <w:t xml:space="preserve"> algorithmic analytic </w:t>
      </w:r>
      <w:proofErr w:type="gramStart"/>
      <w:r>
        <w:t>methods which</w:t>
      </w:r>
      <w:proofErr w:type="gramEnd"/>
      <w:r>
        <w:t xml:space="preserve"> are now very common in computational literary studies, human digital annotation is based on sensitive attention to every detail in the text, and is definitely a way of </w:t>
      </w:r>
      <w:r>
        <w:rPr>
          <w:rStyle w:val="dhqemphasis"/>
        </w:rPr>
        <w:t>reading</w:t>
      </w:r>
      <w:r>
        <w:t xml:space="preserve">. </w:t>
      </w:r>
      <w:proofErr w:type="gramStart"/>
      <w:r>
        <w:t>And it is not true, because, unlike close r</w:t>
      </w:r>
      <w:r>
        <w:t>eading, annotation in digital humanities is usually supposed to be based not only on clearly defined categories, but also on much more developed systematic thought, which, in turn, affects the scope of annotation: Often, a modest and well-defined annotatin</w:t>
      </w:r>
      <w:r>
        <w:t>g task is expanded to encompass many more phenomena, in an attempt to fully exploit the opportunities inherent in more and more annotated data.</w:t>
      </w:r>
      <w:proofErr w:type="gramEnd"/>
      <w:r>
        <w:t xml:space="preserve"> Traditional close reading </w:t>
      </w:r>
      <w:proofErr w:type="gramStart"/>
      <w:r>
        <w:t>is not adversely affected</w:t>
      </w:r>
      <w:proofErr w:type="gramEnd"/>
      <w:r>
        <w:t xml:space="preserve"> by this consideration. This problem, in brief, stems from th</w:t>
      </w:r>
      <w:r>
        <w:t xml:space="preserve">e multifaceted nature of digital modeling operations – including annotating, as a form of modeling: </w:t>
      </w:r>
      <w:r>
        <w:t>s</w:t>
      </w:r>
      <w:r>
        <w:t xml:space="preserve">uch operations sometimes seek to focus on a specific pre-defined research question, at the same time as seeking to prepare the research object for future </w:t>
      </w:r>
      <w:r>
        <w:t xml:space="preserve">analysis, based on as-yet-unknown questions (Flanders and </w:t>
      </w:r>
      <w:proofErr w:type="spellStart"/>
      <w:r>
        <w:t>Jannidis</w:t>
      </w:r>
      <w:proofErr w:type="spellEnd"/>
      <w:r>
        <w:t xml:space="preserve"> 2016). As a result, manual-annotation-based projects tend to lack (or, better, to challenge) another important and characteristic feature of close reading: sampling. As Paul Fleming puts it</w:t>
      </w:r>
      <w:r>
        <w:t>, “</w:t>
      </w:r>
      <w:r>
        <w:rPr>
          <w:rStyle w:val="dhqcitation"/>
        </w:rPr>
        <w:t>an essential element of close reading relies not just on the quality of the reading performed, but also on the example chosen. It has to be the right example</w:t>
      </w:r>
      <w:r>
        <w:t xml:space="preserve">” (Fleming 2017, 437). It is not surprising, then, that in </w:t>
      </w:r>
      <w:proofErr w:type="spellStart"/>
      <w:r>
        <w:t>Münz</w:t>
      </w:r>
      <w:proofErr w:type="spellEnd"/>
      <w:r>
        <w:t xml:space="preserve">-Manor’s initial work, a </w:t>
      </w:r>
      <w:proofErr w:type="gramStart"/>
      <w:r>
        <w:t>sort of</w:t>
      </w:r>
      <w:proofErr w:type="gramEnd"/>
      <w:r>
        <w:t xml:space="preserve"> disconnect between the annotation process and the body of the dissertation chapters becomes apparent: while each chapter chooses the ‘right example’, these examples weren’t chosen for their </w:t>
      </w:r>
      <w:proofErr w:type="spellStart"/>
      <w:r>
        <w:t>representativity</w:t>
      </w:r>
      <w:proofErr w:type="spellEnd"/>
      <w:r>
        <w:t xml:space="preserve">, but because they were interesting or important </w:t>
      </w:r>
      <w:r>
        <w:t xml:space="preserve">to the author for some reason or other. The aim of the annotating process, by contrast, was only to prepare an infrastructure, and in the </w:t>
      </w:r>
      <w:proofErr w:type="gramStart"/>
      <w:r>
        <w:t>end</w:t>
      </w:r>
      <w:proofErr w:type="gramEnd"/>
      <w:r>
        <w:t xml:space="preserve"> that infrastructure remained largely in the shadows. </w:t>
      </w:r>
    </w:p>
    <w:p w:rsidR="009319E3" w:rsidRDefault="00627AA8">
      <w:pPr>
        <w:rPr>
          <w:color w:val="000000"/>
        </w:rPr>
      </w:pPr>
      <w:r>
        <w:t xml:space="preserve">How much room is there for sample-based research in a </w:t>
      </w:r>
      <w:proofErr w:type="gramStart"/>
      <w:r>
        <w:t>comput</w:t>
      </w:r>
      <w:r>
        <w:t>ationally-based</w:t>
      </w:r>
      <w:proofErr w:type="gramEnd"/>
      <w:r>
        <w:t xml:space="preserve"> annotation process? Could a particular concept of categorization support it? </w:t>
      </w:r>
      <w:r>
        <w:rPr>
          <w:color w:val="000000"/>
        </w:rPr>
        <w:t>Sampling of a certain p</w:t>
      </w:r>
      <w:r>
        <w:t xml:space="preserve">ortion of a larger corpus </w:t>
      </w:r>
      <w:r>
        <w:rPr>
          <w:color w:val="000000"/>
        </w:rPr>
        <w:t>is certainly justified in the context of traditional literature research. It reflects the gap between the amount o</w:t>
      </w:r>
      <w:r>
        <w:rPr>
          <w:color w:val="000000"/>
        </w:rPr>
        <w:t xml:space="preserve">f data prepared and the relatively free discussions that do not necessarily derive from it. It is, among other things, what gives this kind of research freedom of interpretation and room for creative </w:t>
      </w:r>
      <w:proofErr w:type="gramStart"/>
      <w:r>
        <w:rPr>
          <w:color w:val="000000"/>
        </w:rPr>
        <w:t>conceptualization which</w:t>
      </w:r>
      <w:proofErr w:type="gramEnd"/>
      <w:r>
        <w:rPr>
          <w:color w:val="000000"/>
        </w:rPr>
        <w:t xml:space="preserve"> is not </w:t>
      </w:r>
      <w:r>
        <w:t>necessarily</w:t>
      </w:r>
      <w:r>
        <w:rPr>
          <w:color w:val="000000"/>
        </w:rPr>
        <w:t xml:space="preserve"> less rel</w:t>
      </w:r>
      <w:r>
        <w:t>iable</w:t>
      </w:r>
      <w:r>
        <w:t xml:space="preserve">. </w:t>
      </w:r>
      <w:r>
        <w:rPr>
          <w:color w:val="000000"/>
        </w:rPr>
        <w:t xml:space="preserve">Choosing the right example, then, is one of the most effective </w:t>
      </w:r>
      <w:r>
        <w:t>ways of</w:t>
      </w:r>
      <w:r>
        <w:rPr>
          <w:color w:val="000000"/>
        </w:rPr>
        <w:t xml:space="preserve"> moving between detail-</w:t>
      </w:r>
      <w:proofErr w:type="spellStart"/>
      <w:r>
        <w:rPr>
          <w:color w:val="000000"/>
        </w:rPr>
        <w:t>orientedness</w:t>
      </w:r>
      <w:proofErr w:type="spellEnd"/>
      <w:r>
        <w:rPr>
          <w:color w:val="000000"/>
        </w:rPr>
        <w:t xml:space="preserve"> and generalization, which is the traditional way to see the wood for the trees. However, a quantitative approach that takes itself seriously may necessarily limit </w:t>
      </w:r>
      <w:r>
        <w:t>itself from using such a method,</w:t>
      </w:r>
      <w:r>
        <w:rPr>
          <w:color w:val="000000"/>
        </w:rPr>
        <w:t xml:space="preserve"> even in relatively simpl</w:t>
      </w:r>
      <w:r>
        <w:rPr>
          <w:color w:val="000000"/>
        </w:rPr>
        <w:t xml:space="preserve">e </w:t>
      </w:r>
      <w:proofErr w:type="gramStart"/>
      <w:r>
        <w:rPr>
          <w:color w:val="000000"/>
        </w:rPr>
        <w:t>cases which</w:t>
      </w:r>
      <w:proofErr w:type="gramEnd"/>
      <w:r>
        <w:rPr>
          <w:color w:val="000000"/>
        </w:rPr>
        <w:t xml:space="preserve"> do not give up on human reading in favor of completely computational automation. Instead of highlighting the most </w:t>
      </w:r>
      <w:r>
        <w:rPr>
          <w:color w:val="000000"/>
        </w:rPr>
        <w:lastRenderedPageBreak/>
        <w:t xml:space="preserve">interesting cases, it will highlight only those that </w:t>
      </w:r>
      <w:r>
        <w:rPr>
          <w:color w:val="000000"/>
        </w:rPr>
        <w:t>‘</w:t>
      </w:r>
      <w:r>
        <w:rPr>
          <w:color w:val="000000"/>
        </w:rPr>
        <w:t>actually</w:t>
      </w:r>
      <w:r>
        <w:rPr>
          <w:color w:val="000000"/>
        </w:rPr>
        <w:t>’</w:t>
      </w:r>
      <w:r>
        <w:rPr>
          <w:color w:val="000000"/>
        </w:rPr>
        <w:t xml:space="preserve"> – that is, statistically – represent something broader than </w:t>
      </w:r>
      <w:proofErr w:type="gramStart"/>
      <w:r>
        <w:rPr>
          <w:color w:val="000000"/>
        </w:rPr>
        <w:t>th</w:t>
      </w:r>
      <w:r>
        <w:rPr>
          <w:color w:val="000000"/>
        </w:rPr>
        <w:t>emselves</w:t>
      </w:r>
      <w:proofErr w:type="gramEnd"/>
      <w:r>
        <w:rPr>
          <w:color w:val="000000"/>
        </w:rPr>
        <w:t xml:space="preserve">. That </w:t>
      </w:r>
      <w:proofErr w:type="gramStart"/>
      <w:r>
        <w:rPr>
          <w:color w:val="000000"/>
        </w:rPr>
        <w:t>being said</w:t>
      </w:r>
      <w:proofErr w:type="gramEnd"/>
      <w:r>
        <w:rPr>
          <w:color w:val="000000"/>
        </w:rPr>
        <w:t>, how can one bridge this gap in computational literary studies, without giving up systematic category-based annotation? Even when annotation is driven by interpretive considerations, at the end of the process a layer of informatio</w:t>
      </w:r>
      <w:r>
        <w:rPr>
          <w:color w:val="000000"/>
        </w:rPr>
        <w:t xml:space="preserve">n is obtained that is perceived as </w:t>
      </w:r>
      <w:proofErr w:type="gramStart"/>
      <w:r>
        <w:rPr>
          <w:color w:val="000000"/>
        </w:rPr>
        <w:t>rigid,</w:t>
      </w:r>
      <w:proofErr w:type="gramEnd"/>
      <w:r>
        <w:rPr>
          <w:color w:val="000000"/>
        </w:rPr>
        <w:t xml:space="preserve"> whose reprocessing with statistical tools may not reveal its interpretive richness. </w:t>
      </w:r>
      <w:proofErr w:type="gramStart"/>
      <w:r>
        <w:rPr>
          <w:color w:val="000000"/>
        </w:rPr>
        <w:t>Doesn</w:t>
      </w:r>
      <w:r>
        <w:rPr>
          <w:color w:val="000000"/>
        </w:rPr>
        <w:t>’</w:t>
      </w:r>
      <w:r>
        <w:rPr>
          <w:color w:val="000000"/>
        </w:rPr>
        <w:t>t</w:t>
      </w:r>
      <w:proofErr w:type="gramEnd"/>
      <w:r>
        <w:rPr>
          <w:color w:val="000000"/>
        </w:rPr>
        <w:t xml:space="preserve"> the meticulousness of manual annotating avoid the additional interpretive step beyond what emerges directly from the accu</w:t>
      </w:r>
      <w:r>
        <w:rPr>
          <w:color w:val="000000"/>
        </w:rPr>
        <w:t xml:space="preserve">mulation of data? Do generalizations, in the digital age, have to be more modest, </w:t>
      </w:r>
      <w:r>
        <w:t>more</w:t>
      </w:r>
      <w:r>
        <w:rPr>
          <w:color w:val="000000"/>
        </w:rPr>
        <w:t xml:space="preserve"> data-driven? </w:t>
      </w:r>
    </w:p>
    <w:p w:rsidR="009319E3" w:rsidRDefault="00627AA8">
      <w:r>
        <w:t>To put it another way, is the transition between the carefully annotated data to what can (and should) be said about such data still possible? This becomes</w:t>
      </w:r>
      <w:r>
        <w:t xml:space="preserve"> even more complicated when – typically of digital humanities – ‘the wood’ is not one text, but many, which are now being </w:t>
      </w:r>
      <w:proofErr w:type="gramStart"/>
      <w:r>
        <w:t>observed</w:t>
      </w:r>
      <w:proofErr w:type="gramEnd"/>
      <w:r>
        <w:t xml:space="preserve"> and analyzed through a well-developed abstract category system. </w:t>
      </w:r>
    </w:p>
    <w:p w:rsidR="009319E3" w:rsidRDefault="00627AA8">
      <w:r>
        <w:t>Taking the analogy further, if the text is a tree, then, whe</w:t>
      </w:r>
      <w:r>
        <w:t>n we label its parts, we also give names and definitions to the shape of its branches, to the texture of its leaves, to the taste of its fruits. But since our corpus is a forest that contains many texts – many ‘trees’ – as is usually the case in computatio</w:t>
      </w:r>
      <w:r>
        <w:t>nal literary studies, when we then want to understand the forest as such, we can no longer pay attention to every branch, leaf, and fruit. Generalizing about a tree means talking about the entirety of its branches, leaves, roots, and fruits. Generalizing a</w:t>
      </w:r>
      <w:r>
        <w:t>bout a forest means talking about the entirety of its trees. At this point, the connection between the parts of individual trees and the entire forest might become increasingly blurred. To be clear, this is not another version of Franco Moretti’s distant r</w:t>
      </w:r>
      <w:r>
        <w:t xml:space="preserve">eading, because, unlike Moretti, when we seriously annotate text after text we </w:t>
      </w:r>
      <w:r>
        <w:rPr>
          <w:i/>
        </w:rPr>
        <w:t xml:space="preserve">do </w:t>
      </w:r>
      <w:r>
        <w:t xml:space="preserve">interpret it. However, in the end, even if we find the most creative ways to build a database of texts that classifies them </w:t>
      </w:r>
      <w:proofErr w:type="gramStart"/>
      <w:r>
        <w:t>on the basis of</w:t>
      </w:r>
      <w:proofErr w:type="gramEnd"/>
      <w:r>
        <w:t xml:space="preserve"> a complicated calculation of all t</w:t>
      </w:r>
      <w:r>
        <w:t xml:space="preserve">heir annotations and internal relationships, in the end, </w:t>
      </w:r>
      <w:r>
        <w:rPr>
          <w:rStyle w:val="dhqemphasis"/>
        </w:rPr>
        <w:t>some</w:t>
      </w:r>
      <w:r>
        <w:rPr>
          <w:i/>
        </w:rPr>
        <w:t xml:space="preserve"> </w:t>
      </w:r>
      <w:r>
        <w:t>degree of reduction is almost inevitable.</w:t>
      </w:r>
    </w:p>
    <w:p w:rsidR="009319E3" w:rsidRDefault="00627AA8">
      <w:r>
        <w:t xml:space="preserve">Admittedly, it is complicated even at the level of one tree taken as a whole: Anyone who has experienced the transition from text annotation to text </w:t>
      </w:r>
      <w:r>
        <w:rPr>
          <w:rStyle w:val="dhqemphasis"/>
        </w:rPr>
        <w:t>cla</w:t>
      </w:r>
      <w:r>
        <w:rPr>
          <w:rStyle w:val="dhqemphasis"/>
        </w:rPr>
        <w:t>ssification</w:t>
      </w:r>
      <w:r>
        <w:t xml:space="preserve"> knows that it is not an easy transition. Text annotation is a device designed to break down texts; text classification </w:t>
      </w:r>
      <w:r>
        <w:t>–</w:t>
      </w:r>
      <w:r>
        <w:t xml:space="preserve"> and genre classification is a good example of this </w:t>
      </w:r>
      <w:r>
        <w:t>–</w:t>
      </w:r>
      <w:r>
        <w:t xml:space="preserve"> is a device designed to connect their parts together, in order to achi</w:t>
      </w:r>
      <w:r>
        <w:t>eve at least one generalization regarding the text – one that facilitates comparing it to other texts on a well-defined basis.</w:t>
      </w:r>
      <w:r>
        <w:rPr>
          <w:rStyle w:val="Funotenanker"/>
        </w:rPr>
        <w:footnoteReference w:id="4"/>
      </w:r>
    </w:p>
    <w:p w:rsidR="009319E3" w:rsidRDefault="00627AA8">
      <w:r>
        <w:t xml:space="preserve">If we follow Andrew Piper’s attitude to generalizations, as described in “Can We Be Wrong? The Problem of Textual Evidence in a </w:t>
      </w:r>
      <w:r>
        <w:t xml:space="preserve">Time of Data” (2020), it seems that the answers to the challenge phrased above would be relatively clear. In response to one of </w:t>
      </w:r>
      <w:proofErr w:type="gramStart"/>
      <w:r>
        <w:t>his book’s manuscript’s</w:t>
      </w:r>
      <w:proofErr w:type="gramEnd"/>
      <w:r>
        <w:t xml:space="preserve"> readers, who wrote that “</w:t>
      </w:r>
      <w:r>
        <w:rPr>
          <w:rStyle w:val="dhqcitation"/>
        </w:rPr>
        <w:t>this sounds awfully boring</w:t>
      </w:r>
      <w:r>
        <w:t>”, Piper playfully agrees: “</w:t>
      </w:r>
      <w:r>
        <w:rPr>
          <w:rStyle w:val="dhqcitation"/>
        </w:rPr>
        <w:t>It is! Generalizations sh</w:t>
      </w:r>
      <w:r>
        <w:rPr>
          <w:rStyle w:val="dhqcitation"/>
        </w:rPr>
        <w:t>ould be boring, cautious, incremental, and slow</w:t>
      </w:r>
      <w:r>
        <w:t>” (Piper 2020, 60). It is impossible to deny the logic of this approach, which expresses a central element in the research experience in the age of data. It is hard, however, not to feel the stark contrast bet</w:t>
      </w:r>
      <w:r>
        <w:t xml:space="preserve">ween this approach and </w:t>
      </w:r>
      <w:r>
        <w:lastRenderedPageBreak/>
        <w:t>that of, say, Jonathan Culler, who offers the opposite perspective of the pre-computational age: “</w:t>
      </w:r>
      <w:r>
        <w:rPr>
          <w:rStyle w:val="dhqcitation"/>
        </w:rPr>
        <w:t>Moderate interpretation […] though it may have value in some circumstances, is of little interest […]</w:t>
      </w:r>
      <w:r>
        <w:rPr>
          <w:rStyle w:val="dhqcitation"/>
        </w:rPr>
        <w:t>.</w:t>
      </w:r>
      <w:r>
        <w:rPr>
          <w:rStyle w:val="dhqcitation"/>
        </w:rPr>
        <w:t xml:space="preserve"> Many ‘extreme’ interpretations, </w:t>
      </w:r>
      <w:r>
        <w:rPr>
          <w:rStyle w:val="dhqcitation"/>
        </w:rPr>
        <w:t>like many moderate interpretations, will no doubt have little impact, because they are judged unpersuasive or redundant or irrelevant or boring, but if they are extreme, they have a better chance</w:t>
      </w:r>
      <w:r>
        <w:rPr>
          <w:rStyle w:val="dhqcitation"/>
        </w:rPr>
        <w:t xml:space="preserve"> [</w:t>
      </w:r>
      <w:r>
        <w:rPr>
          <w:rStyle w:val="dhqcitation"/>
        </w:rPr>
        <w:t>…</w:t>
      </w:r>
      <w:r>
        <w:rPr>
          <w:rStyle w:val="dhqcitation"/>
        </w:rPr>
        <w:t>]</w:t>
      </w:r>
      <w:r>
        <w:rPr>
          <w:rStyle w:val="dhqcitation"/>
        </w:rPr>
        <w:t xml:space="preserve"> of bringing to light connections or implications not pre</w:t>
      </w:r>
      <w:r>
        <w:rPr>
          <w:rStyle w:val="dhqcitation"/>
        </w:rPr>
        <w:t>viously noticed or reflected on than if they strive to remain ‘sound’ or moderate</w:t>
      </w:r>
      <w:r>
        <w:t>” (Culler 1992, 110).</w:t>
      </w:r>
    </w:p>
    <w:p w:rsidR="009319E3" w:rsidRDefault="00627AA8">
      <w:r>
        <w:t>The question then is – can we do both? Is it possible to be content with modest generalizations, as Piper recommends, while at the same time going far in</w:t>
      </w:r>
      <w:r>
        <w:t xml:space="preserve">to the bold realms of over-interpretations, as Culler recommends? </w:t>
      </w:r>
    </w:p>
    <w:p w:rsidR="009319E3" w:rsidRDefault="00627AA8">
      <w:pPr>
        <w:rPr>
          <w:rFonts w:ascii="Roboto" w:eastAsia="Roboto" w:hAnsi="Roboto" w:cs="Roboto"/>
          <w:sz w:val="21"/>
          <w:szCs w:val="21"/>
        </w:rPr>
      </w:pPr>
      <w:r>
        <w:t xml:space="preserve">In answering this question, we assume that Culler is not talking about </w:t>
      </w:r>
      <w:r>
        <w:rPr>
          <w:i/>
        </w:rPr>
        <w:t xml:space="preserve">false </w:t>
      </w:r>
      <w:r>
        <w:t xml:space="preserve">generalization, but </w:t>
      </w:r>
      <w:r>
        <w:rPr>
          <w:rStyle w:val="dhqemphasis"/>
        </w:rPr>
        <w:t>speculative</w:t>
      </w:r>
      <w:r>
        <w:t xml:space="preserve"> ones: Thought-provoking generalizations that are not derived directly from the d</w:t>
      </w:r>
      <w:r>
        <w:t xml:space="preserve">ata, and whose relation to the data may even be questionable, </w:t>
      </w:r>
      <w:proofErr w:type="gramStart"/>
      <w:r>
        <w:t>but nevertheless</w:t>
      </w:r>
      <w:proofErr w:type="gramEnd"/>
      <w:r>
        <w:t xml:space="preserve"> reveal a different kind of truth. When we put the debate this way, with all due respect to data-driven research, there is no reason to deny the importance and the fruitfulness o</w:t>
      </w:r>
      <w:r>
        <w:t xml:space="preserve">f more radical hypothesis-driven research </w:t>
      </w:r>
      <w:r>
        <w:t>–</w:t>
      </w:r>
      <w:r>
        <w:t xml:space="preserve"> especially not in computational literary studies (or other sub-fields of digital humanities). </w:t>
      </w:r>
      <w:proofErr w:type="gramStart"/>
      <w:r>
        <w:t>And</w:t>
      </w:r>
      <w:proofErr w:type="gramEnd"/>
      <w:r>
        <w:t xml:space="preserve"> here, we believe, categories, which sometimes appear to serve as a means to enrich data in a relatively robust manner, do not have to be thought of as a hind</w:t>
      </w:r>
      <w:r>
        <w:t xml:space="preserve">rance – a device that prevents speculation – but rather as something to work with; as a valuable source of inspiration. Indeed, in what follows we introduce a tool that is designed, among other things, to enable just that: </w:t>
      </w:r>
      <w:r>
        <w:t>a</w:t>
      </w:r>
      <w:r>
        <w:t xml:space="preserve">t </w:t>
      </w:r>
      <w:proofErr w:type="gramStart"/>
      <w:r>
        <w:t>one and the</w:t>
      </w:r>
      <w:proofErr w:type="gramEnd"/>
      <w:r>
        <w:t xml:space="preserve"> same time to take</w:t>
      </w:r>
      <w:r>
        <w:t xml:space="preserve"> advantage of categorization while also fostering speculation. </w:t>
      </w:r>
    </w:p>
    <w:p w:rsidR="009319E3" w:rsidRDefault="009319E3">
      <w:pPr>
        <w:spacing w:before="240" w:after="280"/>
        <w:jc w:val="both"/>
        <w:rPr>
          <w:rFonts w:ascii="Roboto" w:eastAsia="Roboto" w:hAnsi="Roboto" w:cs="Roboto"/>
          <w:color w:val="000000"/>
          <w:sz w:val="21"/>
          <w:szCs w:val="21"/>
        </w:rPr>
      </w:pPr>
    </w:p>
    <w:p w:rsidR="009319E3" w:rsidRDefault="00627AA8">
      <w:pPr>
        <w:pStyle w:val="Heading2"/>
        <w:rPr>
          <w:rFonts w:eastAsia="Times New Roman"/>
        </w:rPr>
      </w:pPr>
      <w:r>
        <w:rPr>
          <w:rFonts w:eastAsia="Times New Roman"/>
        </w:rPr>
        <w:t xml:space="preserve">Visualization as Hermeneutical Tool: Introducing </w:t>
      </w:r>
      <w:proofErr w:type="spellStart"/>
      <w:r>
        <w:rPr>
          <w:rFonts w:eastAsia="Times New Roman"/>
        </w:rPr>
        <w:t>ViS-À-ViS</w:t>
      </w:r>
      <w:proofErr w:type="spellEnd"/>
      <w:r>
        <w:rPr>
          <w:rStyle w:val="Funotenanker"/>
          <w:rFonts w:eastAsia="Times New Roman"/>
        </w:rPr>
        <w:footnoteReference w:id="5"/>
      </w:r>
    </w:p>
    <w:p w:rsidR="009319E3" w:rsidRDefault="00627AA8">
      <w:r>
        <w:t xml:space="preserve">One of the problems with annotating projects of the type that Wendell </w:t>
      </w:r>
      <w:proofErr w:type="spellStart"/>
      <w:r>
        <w:t>Piez</w:t>
      </w:r>
      <w:proofErr w:type="spellEnd"/>
      <w:r>
        <w:t xml:space="preserve"> described as </w:t>
      </w:r>
      <w:r>
        <w:t>‘</w:t>
      </w:r>
      <w:r>
        <w:t>hermeneutic markup</w:t>
      </w:r>
      <w:r>
        <w:t>’</w:t>
      </w:r>
      <w:r>
        <w:t xml:space="preserve"> (</w:t>
      </w:r>
      <w:proofErr w:type="spellStart"/>
      <w:r>
        <w:t>Piez</w:t>
      </w:r>
      <w:proofErr w:type="spellEnd"/>
      <w:r>
        <w:t xml:space="preserve"> 2010), and whi</w:t>
      </w:r>
      <w:r>
        <w:t xml:space="preserve">ch CATMA reflects (Meister 2014; </w:t>
      </w:r>
      <w:proofErr w:type="spellStart"/>
      <w:r>
        <w:t>Horstmann</w:t>
      </w:r>
      <w:proofErr w:type="spellEnd"/>
      <w:r>
        <w:t xml:space="preserve"> 2020), is that this type of tagging strongly encourages a focusing on details – on the parts of the tree – and often makes it difficult to see the whole picture, the ‘wood’. Even when the user analyzes the annotat</w:t>
      </w:r>
      <w:r>
        <w:t>ed material, their analysis is usually question-dependent, revealing a small subset of the dimensions of the tagging. At this point, we believe, the need for an advanced visualization of the hermeneutic metadata, that is, the manual annotations, becomes ur</w:t>
      </w:r>
      <w:r>
        <w:t xml:space="preserve">gent – and this is where the tool that </w:t>
      </w:r>
      <w:proofErr w:type="gramStart"/>
      <w:r>
        <w:t>will be described</w:t>
      </w:r>
      <w:proofErr w:type="gramEnd"/>
      <w:r>
        <w:t xml:space="preserve"> below comes into play. While visualization can be question-dependent, it </w:t>
      </w:r>
      <w:proofErr w:type="gramStart"/>
      <w:r>
        <w:t>can also be used</w:t>
      </w:r>
      <w:proofErr w:type="gramEnd"/>
      <w:r>
        <w:t xml:space="preserve"> more freely. </w:t>
      </w:r>
      <w:proofErr w:type="gramStart"/>
      <w:r>
        <w:t>And</w:t>
      </w:r>
      <w:proofErr w:type="gramEnd"/>
      <w:r>
        <w:t xml:space="preserve"> despite all the problems associated with it, we assume, like many others, that this is one o</w:t>
      </w:r>
      <w:r>
        <w:t xml:space="preserve">f the most important paths for distant reading; there is no other way to see all the details from above (Drucker 2011; Moretti and </w:t>
      </w:r>
      <w:proofErr w:type="spellStart"/>
      <w:r>
        <w:t>Sobchuk</w:t>
      </w:r>
      <w:proofErr w:type="spellEnd"/>
      <w:r>
        <w:t xml:space="preserve"> 2019). Recently Franco Moretti commented that no way </w:t>
      </w:r>
      <w:proofErr w:type="gramStart"/>
      <w:r>
        <w:t>has yet been found</w:t>
      </w:r>
      <w:proofErr w:type="gramEnd"/>
      <w:r>
        <w:t xml:space="preserve"> for an adequate synthesis of text-</w:t>
      </w:r>
      <w:r>
        <w:lastRenderedPageBreak/>
        <w:t>interpretat</w:t>
      </w:r>
      <w:r>
        <w:t>ion with corpus-visualization (Moretti 2020). We hope that the idea presented here advances us towards a possible solution.</w:t>
      </w:r>
    </w:p>
    <w:p w:rsidR="009319E3" w:rsidRDefault="00627AA8">
      <w:r>
        <w:t xml:space="preserve">It </w:t>
      </w:r>
      <w:proofErr w:type="gramStart"/>
      <w:r>
        <w:t>should be noted</w:t>
      </w:r>
      <w:proofErr w:type="gramEnd"/>
      <w:r>
        <w:t xml:space="preserve"> in this context that, unlike </w:t>
      </w:r>
      <w:r>
        <w:rPr>
          <w:rStyle w:val="dhqemphasis"/>
        </w:rPr>
        <w:t>close reading</w:t>
      </w:r>
      <w:r>
        <w:t xml:space="preserve">, where the scholar actually reads the text closely, </w:t>
      </w:r>
      <w:r>
        <w:rPr>
          <w:rStyle w:val="dhqemphasis"/>
        </w:rPr>
        <w:t xml:space="preserve">distant reading </w:t>
      </w:r>
      <w:r>
        <w:t xml:space="preserve">– </w:t>
      </w:r>
      <w:r>
        <w:t>regardless of its specific history (Ross 2014; Herrnstein-Smith 2016; Underwood 2017) – is better understood as a metaphor. In other words, the reader extracts meaning from the corpus without actually reading it, à la Moretti. Analyzing text via visualizat</w:t>
      </w:r>
      <w:r>
        <w:t xml:space="preserve">ion, then, is a perfect example of “reading” a text, without reading it at all. But, in our case, the fact that the visualization of the entire corpus is based on actual reading </w:t>
      </w:r>
      <w:r>
        <w:t>–</w:t>
      </w:r>
      <w:r>
        <w:t xml:space="preserve"> on quite sensitive reading </w:t>
      </w:r>
      <w:r>
        <w:t>–</w:t>
      </w:r>
      <w:r>
        <w:t xml:space="preserve"> makes this act of reading-through-visualization</w:t>
      </w:r>
      <w:r>
        <w:t xml:space="preserve"> </w:t>
      </w:r>
      <w:r>
        <w:rPr>
          <w:i/>
        </w:rPr>
        <w:t>a bit more</w:t>
      </w:r>
      <w:r>
        <w:t xml:space="preserve"> a way of reading in the original sense:</w:t>
      </w:r>
      <w:r>
        <w:t xml:space="preserve"> the ‘trees’, if you like, are still there.</w:t>
      </w:r>
    </w:p>
    <w:p w:rsidR="009319E3" w:rsidRDefault="00627AA8">
      <w:pPr>
        <w:rPr>
          <w:sz w:val="32"/>
          <w:szCs w:val="32"/>
        </w:rPr>
      </w:pPr>
      <w:r>
        <w:t xml:space="preserve">CATMA is a powerful and flexible tool that focuses on </w:t>
      </w:r>
      <w:proofErr w:type="gramStart"/>
      <w:r>
        <w:t>annotation,</w:t>
      </w:r>
      <w:proofErr w:type="gramEnd"/>
      <w:r>
        <w:t xml:space="preserve"> hence its visualization capabilities are basic. This reality was the incentive for the creatio</w:t>
      </w:r>
      <w:r>
        <w:t xml:space="preserve">n of a separate tool, </w:t>
      </w:r>
      <w:hyperlink r:id="rId6">
        <w:proofErr w:type="spellStart"/>
        <w:r>
          <w:rPr>
            <w:color w:val="1155CC"/>
            <w:u w:val="single"/>
          </w:rPr>
          <w:t>ViS-À-ViS</w:t>
        </w:r>
        <w:proofErr w:type="spellEnd"/>
      </w:hyperlink>
      <w:r>
        <w:t xml:space="preserve">, that enables the user to visualize the annotated text, the annotations (by one or more annotators) and even the </w:t>
      </w:r>
      <w:proofErr w:type="spellStart"/>
      <w:r>
        <w:t>tagset</w:t>
      </w:r>
      <w:proofErr w:type="spellEnd"/>
      <w:r>
        <w:t xml:space="preserve"> itself (</w:t>
      </w:r>
      <w:proofErr w:type="spellStart"/>
      <w:r>
        <w:t>Münz</w:t>
      </w:r>
      <w:proofErr w:type="spellEnd"/>
      <w:r>
        <w:t>-Manor et al. 2020). That being said, follo</w:t>
      </w:r>
      <w:r>
        <w:t>wing Johanna Drucker’s call for more humanities-oriented visualizations (Drucker 2011), the tool seeks to provide users with more than mere visualizations, namely, it provides an interface that supports what might be called speculative hermeneutics, by all</w:t>
      </w:r>
      <w:r>
        <w:t>owing for a smooth transition between the smallest detail and the entire picture, and doing so in a playful manner. By this, we mean that the tool provides the opportunity to “play” with the visualizations of the individual texts, and group them in various</w:t>
      </w:r>
      <w:r>
        <w:t xml:space="preserve"> configurations according to their similarity or dissimilarity, with the aim of providing the users with a fresh insight into the text and its annotations.</w:t>
      </w:r>
      <w:r>
        <w:rPr>
          <w:sz w:val="28"/>
          <w:szCs w:val="28"/>
        </w:rPr>
        <w:t xml:space="preserve"> </w:t>
      </w:r>
      <w:r>
        <w:t>One can think in this context of a partial similarity between this tool and the famous visualization</w:t>
      </w:r>
      <w:r>
        <w:t xml:space="preserve"> tool </w:t>
      </w:r>
      <w:proofErr w:type="spellStart"/>
      <w:r>
        <w:t>Voyant</w:t>
      </w:r>
      <w:proofErr w:type="spellEnd"/>
      <w:r>
        <w:t xml:space="preserve"> (Sinclair and Rockwell 2016): while </w:t>
      </w:r>
      <w:proofErr w:type="spellStart"/>
      <w:r>
        <w:t>Voyant</w:t>
      </w:r>
      <w:proofErr w:type="spellEnd"/>
      <w:r>
        <w:t xml:space="preserve"> focuses on the text, in a </w:t>
      </w:r>
      <w:proofErr w:type="gramStart"/>
      <w:r>
        <w:t>way</w:t>
      </w:r>
      <w:proofErr w:type="gramEnd"/>
      <w:r>
        <w:t xml:space="preserve"> that encourages free speculations, our tool does the same with annotations as the object of analysis.</w:t>
      </w:r>
      <w:r>
        <w:rPr>
          <w:sz w:val="32"/>
          <w:szCs w:val="32"/>
        </w:rPr>
        <w:t xml:space="preserve"> </w:t>
      </w:r>
    </w:p>
    <w:p w:rsidR="009319E3" w:rsidRDefault="00627AA8">
      <w:r>
        <w:t xml:space="preserve">In more than one way, </w:t>
      </w:r>
      <w:proofErr w:type="spellStart"/>
      <w:r>
        <w:t>ViS-À-ViS</w:t>
      </w:r>
      <w:proofErr w:type="spellEnd"/>
      <w:r>
        <w:t xml:space="preserve"> is following in the footsteps of an</w:t>
      </w:r>
      <w:r>
        <w:t>other project in the CATMA ecosystem, Stereoscope.</w:t>
      </w:r>
      <w:r>
        <w:rPr>
          <w:rStyle w:val="Funotenanker"/>
        </w:rPr>
        <w:footnoteReference w:id="6"/>
      </w:r>
      <w:r>
        <w:t xml:space="preserve"> According to the developers: “</w:t>
      </w:r>
      <w:r>
        <w:rPr>
          <w:rStyle w:val="dhqcitation"/>
        </w:rPr>
        <w:t>Stereoscope is a web-based software prototype for visualizing two core processes of literary studies: hermeneutic exploration of textual meaning and construction of arguments</w:t>
      </w:r>
      <w:r>
        <w:rPr>
          <w:rStyle w:val="dhqcitation"/>
        </w:rPr>
        <w:t xml:space="preserve"> about texts</w:t>
      </w:r>
      <w:r>
        <w:t>” (</w:t>
      </w:r>
      <w:proofErr w:type="spellStart"/>
      <w:r>
        <w:t>Kleymann</w:t>
      </w:r>
      <w:proofErr w:type="spellEnd"/>
      <w:r>
        <w:t xml:space="preserve"> and </w:t>
      </w:r>
      <w:proofErr w:type="spellStart"/>
      <w:r>
        <w:t>Stange</w:t>
      </w:r>
      <w:proofErr w:type="spellEnd"/>
      <w:r>
        <w:t xml:space="preserve"> 2021). </w:t>
      </w:r>
      <w:proofErr w:type="gramStart"/>
      <w:r>
        <w:t xml:space="preserve">According to </w:t>
      </w:r>
      <w:proofErr w:type="spellStart"/>
      <w:r>
        <w:t>Kleymann</w:t>
      </w:r>
      <w:proofErr w:type="spellEnd"/>
      <w:r>
        <w:t xml:space="preserve"> and </w:t>
      </w:r>
      <w:proofErr w:type="spellStart"/>
      <w:r>
        <w:t>Stange</w:t>
      </w:r>
      <w:proofErr w:type="spellEnd"/>
      <w:r>
        <w:t xml:space="preserve">, the developers of the tool, its core principle is what they call </w:t>
      </w:r>
      <w:r>
        <w:rPr>
          <w:rStyle w:val="dhqemphasis"/>
        </w:rPr>
        <w:t>Hermeneutical Visualization</w:t>
      </w:r>
      <w:r>
        <w:t>, which is defined as follows: “</w:t>
      </w:r>
      <w:r>
        <w:rPr>
          <w:rStyle w:val="dhqcitation"/>
        </w:rPr>
        <w:t>The use of computer-supported, interactive, visual repre</w:t>
      </w:r>
      <w:r>
        <w:rPr>
          <w:rStyle w:val="dhqcitation"/>
        </w:rPr>
        <w:t>sentations of text annotations to manipulate, reconfigure and explore them in order to create visual interpretations that can be used as arguments and allow a critical reflection of the hermeneutic process in light of a research question</w:t>
      </w:r>
      <w:r>
        <w:t>”.</w:t>
      </w:r>
      <w:proofErr w:type="gramEnd"/>
      <w:r>
        <w:t xml:space="preserve"> </w:t>
      </w:r>
      <w:proofErr w:type="spellStart"/>
      <w:r>
        <w:t>ViS-À-ViS</w:t>
      </w:r>
      <w:proofErr w:type="spellEnd"/>
      <w:r>
        <w:t xml:space="preserve"> contin</w:t>
      </w:r>
      <w:r>
        <w:t>ues Stereoscope’s vector, but shapes and conceptualizes it differently.</w:t>
      </w:r>
    </w:p>
    <w:p w:rsidR="009319E3" w:rsidRDefault="00627AA8">
      <w:r>
        <w:lastRenderedPageBreak/>
        <w:t>In what follows, we present a number of screenshots from the tool that exemplify its various features and capabilities.</w:t>
      </w:r>
      <w:r>
        <w:rPr>
          <w:rStyle w:val="Funotenanker"/>
        </w:rPr>
        <w:footnoteReference w:id="7"/>
      </w:r>
      <w:r>
        <w:t xml:space="preserve"> We are using texts from the above-mentioned project on figurative language in </w:t>
      </w:r>
      <w:proofErr w:type="spellStart"/>
      <w:r>
        <w:rPr>
          <w:rStyle w:val="dhqterm"/>
        </w:rPr>
        <w:t>piyyut</w:t>
      </w:r>
      <w:proofErr w:type="spellEnd"/>
      <w:r>
        <w:t xml:space="preserve">, but the tool supports any other language supported by CATMA. The main user interface of the tool </w:t>
      </w:r>
      <w:proofErr w:type="gramStart"/>
      <w:r>
        <w:t>is shown</w:t>
      </w:r>
      <w:proofErr w:type="gramEnd"/>
      <w:r>
        <w:t xml:space="preserve"> below (figure no. 1):</w:t>
      </w:r>
    </w:p>
    <w:p w:rsidR="009319E3" w:rsidRDefault="009319E3">
      <w:pPr>
        <w:spacing w:before="240" w:after="280"/>
        <w:jc w:val="both"/>
        <w:rPr>
          <w:rFonts w:eastAsia="Times New Roman"/>
          <w:color w:val="000000"/>
          <w:sz w:val="24"/>
          <w:szCs w:val="24"/>
        </w:rPr>
      </w:pPr>
    </w:p>
    <w:p w:rsidR="009319E3" w:rsidRDefault="00627AA8">
      <w:pPr>
        <w:spacing w:before="240" w:after="280"/>
        <w:jc w:val="center"/>
        <w:rPr>
          <w:rFonts w:eastAsia="Times New Roman"/>
          <w:color w:val="000000"/>
          <w:sz w:val="24"/>
          <w:szCs w:val="24"/>
        </w:rPr>
      </w:pPr>
      <w:r>
        <w:rPr>
          <w:noProof/>
          <w:lang w:bidi="he-IL"/>
        </w:rPr>
        <w:drawing>
          <wp:inline distT="0" distB="0" distL="0" distR="0">
            <wp:extent cx="3881755" cy="2120900"/>
            <wp:effectExtent l="0" t="0" r="0" b="0"/>
            <wp:docPr id="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pic:cNvPicPr>
                      <a:picLocks noChangeAspect="1" noChangeArrowheads="1"/>
                    </pic:cNvPicPr>
                  </pic:nvPicPr>
                  <pic:blipFill>
                    <a:blip r:embed="rId7"/>
                    <a:stretch>
                      <a:fillRect/>
                    </a:stretch>
                  </pic:blipFill>
                  <pic:spPr bwMode="auto">
                    <a:xfrm>
                      <a:off x="0" y="0"/>
                      <a:ext cx="3881755" cy="2120900"/>
                    </a:xfrm>
                    <a:prstGeom prst="rect">
                      <a:avLst/>
                    </a:prstGeom>
                  </pic:spPr>
                </pic:pic>
              </a:graphicData>
            </a:graphic>
          </wp:inline>
        </w:drawing>
      </w:r>
    </w:p>
    <w:p w:rsidR="009319E3" w:rsidRDefault="00627AA8">
      <w:pPr>
        <w:pStyle w:val="dhqcaption"/>
      </w:pPr>
      <w:r>
        <w:t xml:space="preserve">Figure no. 1 - </w:t>
      </w:r>
      <w:proofErr w:type="spellStart"/>
      <w:r>
        <w:t>ViS-À-ViS</w:t>
      </w:r>
      <w:proofErr w:type="spellEnd"/>
      <w:r>
        <w:t>’ Main Interfa</w:t>
      </w:r>
      <w:r>
        <w:t>ce</w:t>
      </w:r>
    </w:p>
    <w:p w:rsidR="009319E3" w:rsidRDefault="009319E3">
      <w:pPr>
        <w:shd w:val="clear" w:color="auto" w:fill="FFFFFF"/>
        <w:spacing w:before="240" w:after="240"/>
        <w:jc w:val="both"/>
        <w:rPr>
          <w:rFonts w:eastAsia="Times New Roman"/>
          <w:color w:val="000000"/>
          <w:sz w:val="24"/>
          <w:szCs w:val="24"/>
        </w:rPr>
      </w:pPr>
    </w:p>
    <w:p w:rsidR="009319E3" w:rsidRDefault="00627AA8">
      <w:r>
        <w:t xml:space="preserve">The left-hand pane presents different viewing modes (Browse Texts, Browse </w:t>
      </w:r>
      <w:proofErr w:type="spellStart"/>
      <w:r>
        <w:t>Tagset</w:t>
      </w:r>
      <w:proofErr w:type="spellEnd"/>
      <w:r>
        <w:t xml:space="preserve">, Gallery and Boards) as well as the Import Manager. </w:t>
      </w:r>
      <w:proofErr w:type="gramStart"/>
      <w:r>
        <w:t xml:space="preserve">Each of the viewing modes enables the user to look at the annotated corpus from a different perspective: in Browse </w:t>
      </w:r>
      <w:r>
        <w:t>T</w:t>
      </w:r>
      <w:r>
        <w:t>ex</w:t>
      </w:r>
      <w:r>
        <w:t>t</w:t>
      </w:r>
      <w:r>
        <w:t>s</w:t>
      </w:r>
      <w:r>
        <w:t xml:space="preserve">, the view which is selected in this screenshot, the list of texts appears to the left, with the associated charts (in this case a Gantt) showing the annotations according to the different tags in the </w:t>
      </w:r>
      <w:proofErr w:type="spellStart"/>
      <w:r>
        <w:t>tagset</w:t>
      </w:r>
      <w:proofErr w:type="spellEnd"/>
      <w:r>
        <w:t>, and, on the right, the text itself with the s</w:t>
      </w:r>
      <w:r>
        <w:t>pecific tag that the user is hovering over highlighted.</w:t>
      </w:r>
      <w:proofErr w:type="gramEnd"/>
      <w:r>
        <w:t xml:space="preserve"> The Gantt itself presents the different tags across the text, with the beginning of the text furthest on the left and the end furthest on the right. In other words, what we are visualizing here is the</w:t>
      </w:r>
      <w:r>
        <w:t xml:space="preserve"> distribution of the various annotations as they </w:t>
      </w:r>
      <w:proofErr w:type="gramStart"/>
      <w:r>
        <w:t>are spread out</w:t>
      </w:r>
      <w:proofErr w:type="gramEnd"/>
      <w:r>
        <w:t xml:space="preserve"> in the text. A selection of specific tags from the </w:t>
      </w:r>
      <w:proofErr w:type="spellStart"/>
      <w:r>
        <w:t>tagset</w:t>
      </w:r>
      <w:proofErr w:type="spellEnd"/>
      <w:r>
        <w:t xml:space="preserve"> is available in a feature that </w:t>
      </w:r>
      <w:proofErr w:type="gramStart"/>
      <w:r>
        <w:t>will be described</w:t>
      </w:r>
      <w:proofErr w:type="gramEnd"/>
      <w:r>
        <w:t xml:space="preserve"> later. </w:t>
      </w:r>
    </w:p>
    <w:p w:rsidR="009319E3" w:rsidRDefault="00627AA8">
      <w:r>
        <w:lastRenderedPageBreak/>
        <w:t>On the upper pane on the right hand side, five different charts are available</w:t>
      </w:r>
      <w:r>
        <w:t>: Gantt, Stacked Area, Sunburst, Force-Directed Network and Bubble. Here, for example, is a screenshot of the same text with Stacked Area selected (figure no. 2):</w:t>
      </w: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drawing>
          <wp:inline distT="0" distB="0" distL="0" distR="0">
            <wp:extent cx="4529455" cy="2489200"/>
            <wp:effectExtent l="0" t="0" r="0"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tretch>
                      <a:fillRect/>
                    </a:stretch>
                  </pic:blipFill>
                  <pic:spPr bwMode="auto">
                    <a:xfrm>
                      <a:off x="0" y="0"/>
                      <a:ext cx="4529455" cy="2489200"/>
                    </a:xfrm>
                    <a:prstGeom prst="rect">
                      <a:avLst/>
                    </a:prstGeom>
                  </pic:spPr>
                </pic:pic>
              </a:graphicData>
            </a:graphic>
          </wp:inline>
        </w:drawing>
      </w:r>
    </w:p>
    <w:p w:rsidR="009319E3" w:rsidRDefault="00627AA8">
      <w:pPr>
        <w:pStyle w:val="dhqcaption"/>
      </w:pPr>
      <w:r>
        <w:t xml:space="preserve"> Figure no. 2 - Stacked Area View</w:t>
      </w:r>
    </w:p>
    <w:p w:rsidR="009319E3" w:rsidRDefault="009319E3">
      <w:pPr>
        <w:shd w:val="clear" w:color="auto" w:fill="FFFFFF"/>
        <w:spacing w:before="240" w:after="240"/>
        <w:jc w:val="both"/>
        <w:rPr>
          <w:rFonts w:eastAsia="Times New Roman"/>
          <w:color w:val="000000"/>
          <w:sz w:val="24"/>
          <w:szCs w:val="24"/>
        </w:rPr>
      </w:pPr>
    </w:p>
    <w:p w:rsidR="009319E3" w:rsidRDefault="00627AA8">
      <w:pPr>
        <w:rPr>
          <w:color w:val="000000"/>
        </w:rPr>
      </w:pPr>
      <w:r>
        <w:t xml:space="preserve">This visualization is similar on the one hand to the </w:t>
      </w:r>
      <w:r>
        <w:t xml:space="preserve">Gantt as it presents a “diachronic” (x-axis) overview of the annotations in the text. On the other hand, it provides a more nuanced representation of the dynamics between the various annotations on the “synchronic” (y-axis) level. </w:t>
      </w:r>
      <w:proofErr w:type="gramStart"/>
      <w:r>
        <w:t>Hence</w:t>
      </w:r>
      <w:proofErr w:type="gramEnd"/>
      <w:r>
        <w:t xml:space="preserve"> it enables the scho</w:t>
      </w:r>
      <w:r>
        <w:t>lar to detect general patterns throughout the course of the text as well as patterns in the interaction between the tags at specific parts thereof. What is more, t</w:t>
      </w:r>
      <w:r>
        <w:rPr>
          <w:color w:val="000000"/>
        </w:rPr>
        <w:t xml:space="preserve">his visualization is interactive, and with a single </w:t>
      </w:r>
      <w:proofErr w:type="gramStart"/>
      <w:r>
        <w:rPr>
          <w:color w:val="000000"/>
        </w:rPr>
        <w:t>click</w:t>
      </w:r>
      <w:proofErr w:type="gramEnd"/>
      <w:r>
        <w:rPr>
          <w:color w:val="000000"/>
        </w:rPr>
        <w:t xml:space="preserve"> a tag can be added or withdrawn fro</w:t>
      </w:r>
      <w:r>
        <w:rPr>
          <w:color w:val="000000"/>
        </w:rPr>
        <w:t>m the screen, thus enabling the user to play with the visualization and consider different views and interpretation modes. Here, one of the core features of the tool comes into play, one that gives it its experimental nature, namely, the ability not only t</w:t>
      </w:r>
      <w:r>
        <w:rPr>
          <w:color w:val="000000"/>
        </w:rPr>
        <w:t xml:space="preserve">o visualize the annotations statically but also to add or eliminate some of them in order to reveal different aspects of the texts and the patterns embedded within them. </w:t>
      </w:r>
    </w:p>
    <w:p w:rsidR="009319E3" w:rsidRDefault="00627AA8">
      <w:r>
        <w:t xml:space="preserve">Other charts offer the opportunity to present aggregative views. For example, in the </w:t>
      </w:r>
      <w:r>
        <w:t>sunburst chart, the user can visualize one text (figure no. 3):</w:t>
      </w: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lastRenderedPageBreak/>
        <w:drawing>
          <wp:inline distT="0" distB="0" distL="0" distR="0">
            <wp:extent cx="4204970" cy="2311400"/>
            <wp:effectExtent l="0" t="0" r="0" b="0"/>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9"/>
                    <a:stretch>
                      <a:fillRect/>
                    </a:stretch>
                  </pic:blipFill>
                  <pic:spPr bwMode="auto">
                    <a:xfrm>
                      <a:off x="0" y="0"/>
                      <a:ext cx="4204970" cy="2311400"/>
                    </a:xfrm>
                    <a:prstGeom prst="rect">
                      <a:avLst/>
                    </a:prstGeom>
                  </pic:spPr>
                </pic:pic>
              </a:graphicData>
            </a:graphic>
          </wp:inline>
        </w:drawing>
      </w:r>
    </w:p>
    <w:p w:rsidR="009319E3" w:rsidRDefault="00627AA8">
      <w:pPr>
        <w:pStyle w:val="dhqcaption"/>
      </w:pPr>
      <w:r>
        <w:t>Figure no. 3 - Sunburst View</w:t>
      </w:r>
    </w:p>
    <w:p w:rsidR="009319E3" w:rsidRDefault="009319E3">
      <w:pPr>
        <w:shd w:val="clear" w:color="auto" w:fill="FFFFFF"/>
        <w:spacing w:before="240" w:after="240"/>
        <w:jc w:val="both"/>
        <w:rPr>
          <w:rFonts w:eastAsia="Times New Roman"/>
          <w:color w:val="000000"/>
          <w:sz w:val="24"/>
          <w:szCs w:val="24"/>
        </w:rPr>
      </w:pPr>
    </w:p>
    <w:p w:rsidR="009319E3" w:rsidRDefault="00627AA8">
      <w:proofErr w:type="gramStart"/>
      <w:r>
        <w:t>Or</w:t>
      </w:r>
      <w:proofErr w:type="gramEnd"/>
      <w:r>
        <w:t xml:space="preserve"> several (figure no. 4):</w:t>
      </w:r>
    </w:p>
    <w:p w:rsidR="009319E3" w:rsidRDefault="00627AA8">
      <w:pPr>
        <w:shd w:val="clear" w:color="auto" w:fill="FFFFFF"/>
        <w:spacing w:before="240" w:after="240"/>
        <w:jc w:val="center"/>
        <w:rPr>
          <w:rFonts w:eastAsia="Times New Roman"/>
          <w:color w:val="000000"/>
          <w:sz w:val="24"/>
          <w:szCs w:val="24"/>
        </w:rPr>
      </w:pPr>
      <w:r>
        <w:rPr>
          <w:noProof/>
          <w:lang w:bidi="he-IL"/>
        </w:rPr>
        <w:drawing>
          <wp:inline distT="0" distB="0" distL="0" distR="0">
            <wp:extent cx="3931920" cy="2160905"/>
            <wp:effectExtent l="0" t="0" r="0" b="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noChangeArrowheads="1"/>
                    </pic:cNvPicPr>
                  </pic:nvPicPr>
                  <pic:blipFill>
                    <a:blip r:embed="rId10"/>
                    <a:stretch>
                      <a:fillRect/>
                    </a:stretch>
                  </pic:blipFill>
                  <pic:spPr bwMode="auto">
                    <a:xfrm>
                      <a:off x="0" y="0"/>
                      <a:ext cx="3931920" cy="2160905"/>
                    </a:xfrm>
                    <a:prstGeom prst="rect">
                      <a:avLst/>
                    </a:prstGeom>
                  </pic:spPr>
                </pic:pic>
              </a:graphicData>
            </a:graphic>
          </wp:inline>
        </w:drawing>
      </w:r>
    </w:p>
    <w:p w:rsidR="009319E3" w:rsidRDefault="00627AA8">
      <w:pPr>
        <w:pStyle w:val="dhqcaption"/>
      </w:pPr>
      <w:r>
        <w:t>Figure no.4 - Sunburst View - Aggregated</w:t>
      </w:r>
    </w:p>
    <w:p w:rsidR="009319E3" w:rsidRDefault="009319E3">
      <w:pPr>
        <w:shd w:val="clear" w:color="auto" w:fill="FFFFFF"/>
        <w:spacing w:before="240" w:after="240"/>
        <w:jc w:val="both"/>
        <w:rPr>
          <w:rFonts w:eastAsia="Times New Roman"/>
          <w:color w:val="000000"/>
          <w:sz w:val="24"/>
          <w:szCs w:val="24"/>
        </w:rPr>
      </w:pPr>
    </w:p>
    <w:p w:rsidR="009319E3" w:rsidRDefault="00627AA8">
      <w:r>
        <w:t xml:space="preserve">In each </w:t>
      </w:r>
      <w:proofErr w:type="gramStart"/>
      <w:r>
        <w:t>case</w:t>
      </w:r>
      <w:proofErr w:type="gramEnd"/>
      <w:r>
        <w:t xml:space="preserve"> the interactive chart presents the distribution of the selected tags in ter</w:t>
      </w:r>
      <w:r>
        <w:t>ms of their percentage in the entire text(s) – a very useful feature that offers a quantitative appraisal of the annotations. In practice, this functionality provides a powerful analytical tool for the scholar, who can precisely equate or differentiate bet</w:t>
      </w:r>
      <w:r>
        <w:t xml:space="preserve">ween different texts </w:t>
      </w:r>
      <w:proofErr w:type="gramStart"/>
      <w:r>
        <w:t>in the corpus or to compare different corpora</w:t>
      </w:r>
      <w:proofErr w:type="gramEnd"/>
      <w:r>
        <w:t xml:space="preserve">. Here, too, the interactivity of the visualization offers the scholar a high degree of flexibility in the exploration process. </w:t>
      </w:r>
    </w:p>
    <w:p w:rsidR="009319E3" w:rsidRDefault="00627AA8">
      <w:r>
        <w:lastRenderedPageBreak/>
        <w:t xml:space="preserve">Browse </w:t>
      </w:r>
      <w:proofErr w:type="spellStart"/>
      <w:r>
        <w:t>Tagset</w:t>
      </w:r>
      <w:proofErr w:type="spellEnd"/>
      <w:r>
        <w:t xml:space="preserve"> is another meaningful visualization option and </w:t>
      </w:r>
      <w:r>
        <w:t xml:space="preserve">one that needs to </w:t>
      </w:r>
      <w:proofErr w:type="gramStart"/>
      <w:r>
        <w:t>be singled out</w:t>
      </w:r>
      <w:proofErr w:type="gramEnd"/>
      <w:r>
        <w:t xml:space="preserve"> in the context of this article. Large, hierarchical </w:t>
      </w:r>
      <w:proofErr w:type="spellStart"/>
      <w:r>
        <w:t>tagsets</w:t>
      </w:r>
      <w:proofErr w:type="spellEnd"/>
      <w:r>
        <w:t xml:space="preserve"> are hard to grasp and visualize in CATMA, and </w:t>
      </w:r>
      <w:proofErr w:type="spellStart"/>
      <w:r>
        <w:t>ViS-À-ViS</w:t>
      </w:r>
      <w:proofErr w:type="spellEnd"/>
      <w:r>
        <w:t xml:space="preserve"> offers an interactive representation of the </w:t>
      </w:r>
      <w:proofErr w:type="spellStart"/>
      <w:r>
        <w:t>tagset</w:t>
      </w:r>
      <w:proofErr w:type="spellEnd"/>
      <w:r>
        <w:t xml:space="preserve"> in a network-oriented chart (figure no. 5):</w:t>
      </w: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drawing>
          <wp:inline distT="0" distB="0" distL="0" distR="0">
            <wp:extent cx="4452620" cy="2440305"/>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1"/>
                    <a:stretch>
                      <a:fillRect/>
                    </a:stretch>
                  </pic:blipFill>
                  <pic:spPr bwMode="auto">
                    <a:xfrm>
                      <a:off x="0" y="0"/>
                      <a:ext cx="4452620" cy="2440305"/>
                    </a:xfrm>
                    <a:prstGeom prst="rect">
                      <a:avLst/>
                    </a:prstGeom>
                  </pic:spPr>
                </pic:pic>
              </a:graphicData>
            </a:graphic>
          </wp:inline>
        </w:drawing>
      </w:r>
    </w:p>
    <w:p w:rsidR="009319E3" w:rsidRDefault="00627AA8">
      <w:pPr>
        <w:pStyle w:val="dhqcaption"/>
      </w:pPr>
      <w:r>
        <w:t>Figure no</w:t>
      </w:r>
      <w:r>
        <w:t xml:space="preserve">. 5 - Browse </w:t>
      </w:r>
      <w:proofErr w:type="spellStart"/>
      <w:r>
        <w:t>Tagset</w:t>
      </w:r>
      <w:proofErr w:type="spellEnd"/>
      <w:r>
        <w:t xml:space="preserve"> View</w:t>
      </w:r>
    </w:p>
    <w:p w:rsidR="009319E3" w:rsidRDefault="009319E3">
      <w:pPr>
        <w:shd w:val="clear" w:color="auto" w:fill="FFFFFF"/>
        <w:spacing w:before="240" w:after="240"/>
        <w:jc w:val="center"/>
        <w:rPr>
          <w:rFonts w:eastAsia="Times New Roman"/>
          <w:color w:val="000000"/>
          <w:sz w:val="24"/>
          <w:szCs w:val="24"/>
        </w:rPr>
      </w:pPr>
    </w:p>
    <w:p w:rsidR="009319E3" w:rsidRDefault="00627AA8">
      <w:r>
        <w:t xml:space="preserve">Here a representation of the </w:t>
      </w:r>
      <w:proofErr w:type="spellStart"/>
      <w:r>
        <w:t>tagset</w:t>
      </w:r>
      <w:proofErr w:type="spellEnd"/>
      <w:r>
        <w:t xml:space="preserve"> is visible and the interactive chart enables one to collapse or </w:t>
      </w:r>
      <w:proofErr w:type="spellStart"/>
      <w:r>
        <w:t>uncollapse</w:t>
      </w:r>
      <w:proofErr w:type="spellEnd"/>
      <w:r>
        <w:t xml:space="preserve"> the various levels. The size of each level relates to the number of children it has, which once more offers a useful in</w:t>
      </w:r>
      <w:r>
        <w:t xml:space="preserve">sight into the structure and inner hierarchy of the </w:t>
      </w:r>
      <w:proofErr w:type="spellStart"/>
      <w:r>
        <w:t>tagset</w:t>
      </w:r>
      <w:proofErr w:type="spellEnd"/>
      <w:r>
        <w:t>. Another option that relates to this chart is the ability to visualize the actual annotations in one text or again in an aggregated view (figure no. 6):</w:t>
      </w: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lastRenderedPageBreak/>
        <w:drawing>
          <wp:inline distT="0" distB="0" distL="0" distR="0">
            <wp:extent cx="4338955" cy="2392045"/>
            <wp:effectExtent l="0" t="0" r="0" b="0"/>
            <wp:docPr id="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a:picLocks noChangeAspect="1" noChangeArrowheads="1"/>
                    </pic:cNvPicPr>
                  </pic:nvPicPr>
                  <pic:blipFill>
                    <a:blip r:embed="rId12"/>
                    <a:stretch>
                      <a:fillRect/>
                    </a:stretch>
                  </pic:blipFill>
                  <pic:spPr bwMode="auto">
                    <a:xfrm>
                      <a:off x="0" y="0"/>
                      <a:ext cx="4338955" cy="2392045"/>
                    </a:xfrm>
                    <a:prstGeom prst="rect">
                      <a:avLst/>
                    </a:prstGeom>
                  </pic:spPr>
                </pic:pic>
              </a:graphicData>
            </a:graphic>
          </wp:inline>
        </w:drawing>
      </w:r>
    </w:p>
    <w:p w:rsidR="009319E3" w:rsidRDefault="00627AA8">
      <w:pPr>
        <w:pStyle w:val="dhqcaption"/>
      </w:pPr>
      <w:r>
        <w:t>Figure no. 6 - Force</w:t>
      </w:r>
      <w:r>
        <w:t>-</w:t>
      </w:r>
      <w:r>
        <w:t xml:space="preserve">Directed Network </w:t>
      </w:r>
      <w:proofErr w:type="spellStart"/>
      <w:r>
        <w:t>Ta</w:t>
      </w:r>
      <w:r>
        <w:t>gest</w:t>
      </w:r>
      <w:proofErr w:type="spellEnd"/>
      <w:r>
        <w:t xml:space="preserve"> View</w:t>
      </w:r>
    </w:p>
    <w:p w:rsidR="009319E3" w:rsidRDefault="009319E3">
      <w:pPr>
        <w:shd w:val="clear" w:color="auto" w:fill="FFFFFF"/>
        <w:spacing w:before="240" w:after="240"/>
        <w:jc w:val="center"/>
        <w:rPr>
          <w:rFonts w:eastAsia="Times New Roman"/>
          <w:color w:val="000000"/>
          <w:sz w:val="24"/>
          <w:szCs w:val="24"/>
        </w:rPr>
      </w:pPr>
    </w:p>
    <w:p w:rsidR="009319E3" w:rsidRDefault="00627AA8">
      <w:r>
        <w:t xml:space="preserve">In this case, the size of each category represents the number of annotations in a specific category in each text. Here, the visualization of categorization is not merely a metaphor but rather a concrete feature that enables the user ‘to see the </w:t>
      </w:r>
      <w:r>
        <w:t xml:space="preserve">wood </w:t>
      </w:r>
      <w:r>
        <w:rPr>
          <w:i/>
        </w:rPr>
        <w:t>and</w:t>
      </w:r>
      <w:r>
        <w:t xml:space="preserve"> the trees’. That is to say, if the Browse </w:t>
      </w:r>
      <w:proofErr w:type="spellStart"/>
      <w:r>
        <w:t>Tagset</w:t>
      </w:r>
      <w:proofErr w:type="spellEnd"/>
      <w:r>
        <w:t xml:space="preserve"> option visualizes the idea (in the platonic sense) of the </w:t>
      </w:r>
      <w:proofErr w:type="spellStart"/>
      <w:r>
        <w:t>tagset</w:t>
      </w:r>
      <w:proofErr w:type="spellEnd"/>
      <w:r>
        <w:t>, here we can watch the manifestation thereof in actual text(s). In other words, we see here the ‘wood’ and the ‘trees’ synchronically</w:t>
      </w:r>
      <w:r>
        <w:t xml:space="preserve">. </w:t>
      </w:r>
    </w:p>
    <w:p w:rsidR="009319E3" w:rsidRDefault="00627AA8">
      <w:r>
        <w:t xml:space="preserve">As was previously noted, CATMA, and </w:t>
      </w:r>
      <w:proofErr w:type="gramStart"/>
      <w:r>
        <w:t>thus also</w:t>
      </w:r>
      <w:proofErr w:type="gramEnd"/>
      <w:r>
        <w:t xml:space="preserve"> </w:t>
      </w:r>
      <w:proofErr w:type="spellStart"/>
      <w:r>
        <w:t>ViS-À-ViS</w:t>
      </w:r>
      <w:proofErr w:type="spellEnd"/>
      <w:r>
        <w:t>, support multiple annotations and annotators. This way the user can view side-by-side the annotations of two or more annotators in order to compare and analyze them. This turns the attention of the</w:t>
      </w:r>
      <w:r>
        <w:t xml:space="preserve"> scholar to the individual and subjective interpretation of each annotator and presents therefore another insight into potential patterns in the text. This in turn provides additional evidence for the corroboration or refutation of scholarly hypotheses abo</w:t>
      </w:r>
      <w:r>
        <w:t>ut the text and about the differences and similarities between the different annotators</w:t>
      </w:r>
      <w:r>
        <w:t xml:space="preserve"> (figure no. 7):</w:t>
      </w: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lastRenderedPageBreak/>
        <w:drawing>
          <wp:inline distT="0" distB="0" distL="0" distR="0">
            <wp:extent cx="3491230" cy="191897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3"/>
                    <a:stretch>
                      <a:fillRect/>
                    </a:stretch>
                  </pic:blipFill>
                  <pic:spPr bwMode="auto">
                    <a:xfrm>
                      <a:off x="0" y="0"/>
                      <a:ext cx="3491230" cy="1918970"/>
                    </a:xfrm>
                    <a:prstGeom prst="rect">
                      <a:avLst/>
                    </a:prstGeom>
                  </pic:spPr>
                </pic:pic>
              </a:graphicData>
            </a:graphic>
          </wp:inline>
        </w:drawing>
      </w:r>
    </w:p>
    <w:p w:rsidR="009319E3" w:rsidRDefault="00627AA8">
      <w:pPr>
        <w:pStyle w:val="dhqcaption"/>
      </w:pPr>
      <w:r>
        <w:t>Figure no.7 - Multi-Annotator Mode</w:t>
      </w:r>
    </w:p>
    <w:p w:rsidR="009319E3" w:rsidRDefault="009319E3">
      <w:pPr>
        <w:shd w:val="clear" w:color="auto" w:fill="FFFFFF"/>
        <w:spacing w:before="240" w:after="240"/>
        <w:jc w:val="center"/>
        <w:rPr>
          <w:rFonts w:eastAsia="Times New Roman"/>
          <w:color w:val="000000"/>
          <w:sz w:val="24"/>
          <w:szCs w:val="24"/>
        </w:rPr>
      </w:pPr>
    </w:p>
    <w:p w:rsidR="009319E3" w:rsidRDefault="00627AA8">
      <w:r>
        <w:t xml:space="preserve">Inter-annotator agreement (or lack thereof) is a fundamental term in computational linguistics and natural language processing, fields that seek to minimize human variation and to create standards (Plank 2022). In ‘traditional’ literary </w:t>
      </w:r>
      <w:proofErr w:type="gramStart"/>
      <w:r>
        <w:t>studies</w:t>
      </w:r>
      <w:proofErr w:type="gramEnd"/>
      <w:r>
        <w:t xml:space="preserve"> variation i</w:t>
      </w:r>
      <w:r>
        <w:t>s frequently the driving force of the hermeneutical process – and, as we argued elsewhere, we think it can and should be the same in the field of computational literary studies (</w:t>
      </w:r>
      <w:proofErr w:type="spellStart"/>
      <w:r>
        <w:t>Marienberg-Milikowsky</w:t>
      </w:r>
      <w:proofErr w:type="spellEnd"/>
      <w:r>
        <w:t xml:space="preserve"> et al. 2022). Instead of collapsing the variation into a</w:t>
      </w:r>
      <w:r>
        <w:t xml:space="preserve"> gold or a silver standard, </w:t>
      </w:r>
      <w:proofErr w:type="spellStart"/>
      <w:r>
        <w:t>ViS-À-ViS</w:t>
      </w:r>
      <w:proofErr w:type="spellEnd"/>
      <w:r>
        <w:t xml:space="preserve"> advocates for the visualization of multiplicity. In other words, instead of providing an answer concerning the “correct” annotation, it raises a question about it and promotes once more literary speculation. </w:t>
      </w:r>
    </w:p>
    <w:p w:rsidR="009319E3" w:rsidRDefault="00627AA8">
      <w:proofErr w:type="spellStart"/>
      <w:r>
        <w:t>ViS-À-ViS</w:t>
      </w:r>
      <w:proofErr w:type="spellEnd"/>
      <w:r>
        <w:t xml:space="preserve"> offers additional functionalities that enable the user to view miniature visualizations of different texts side by side (figure no. 8):</w:t>
      </w:r>
    </w:p>
    <w:p w:rsidR="009319E3" w:rsidRDefault="009319E3">
      <w:pPr>
        <w:jc w:val="both"/>
        <w:rPr>
          <w:rFonts w:eastAsia="Times New Roman"/>
          <w:color w:val="000000"/>
          <w:sz w:val="24"/>
          <w:szCs w:val="24"/>
        </w:rPr>
      </w:pPr>
    </w:p>
    <w:p w:rsidR="009319E3" w:rsidRDefault="009319E3">
      <w:pPr>
        <w:jc w:val="both"/>
        <w:rPr>
          <w:rFonts w:eastAsia="Times New Roman"/>
          <w:color w:val="000000"/>
          <w:sz w:val="24"/>
          <w:szCs w:val="24"/>
        </w:rPr>
      </w:pPr>
    </w:p>
    <w:p w:rsidR="009319E3" w:rsidRDefault="00627AA8">
      <w:pPr>
        <w:jc w:val="center"/>
        <w:rPr>
          <w:rFonts w:eastAsia="Times New Roman"/>
          <w:color w:val="000000"/>
          <w:sz w:val="24"/>
          <w:szCs w:val="24"/>
        </w:rPr>
      </w:pPr>
      <w:r>
        <w:rPr>
          <w:noProof/>
          <w:lang w:bidi="he-IL"/>
        </w:rPr>
        <w:drawing>
          <wp:inline distT="0" distB="0" distL="0" distR="0">
            <wp:extent cx="3766820" cy="207264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a:picLocks noChangeAspect="1" noChangeArrowheads="1"/>
                    </pic:cNvPicPr>
                  </pic:nvPicPr>
                  <pic:blipFill>
                    <a:blip r:embed="rId14"/>
                    <a:stretch>
                      <a:fillRect/>
                    </a:stretch>
                  </pic:blipFill>
                  <pic:spPr bwMode="auto">
                    <a:xfrm>
                      <a:off x="0" y="0"/>
                      <a:ext cx="3766820" cy="2072640"/>
                    </a:xfrm>
                    <a:prstGeom prst="rect">
                      <a:avLst/>
                    </a:prstGeom>
                  </pic:spPr>
                </pic:pic>
              </a:graphicData>
            </a:graphic>
          </wp:inline>
        </w:drawing>
      </w:r>
    </w:p>
    <w:p w:rsidR="009319E3" w:rsidRDefault="009319E3">
      <w:pPr>
        <w:jc w:val="both"/>
        <w:rPr>
          <w:rFonts w:eastAsia="Times New Roman"/>
          <w:color w:val="000000"/>
          <w:sz w:val="24"/>
          <w:szCs w:val="24"/>
        </w:rPr>
      </w:pPr>
    </w:p>
    <w:p w:rsidR="009319E3" w:rsidRDefault="00627AA8">
      <w:pPr>
        <w:pStyle w:val="dhqcaption"/>
      </w:pPr>
      <w:r>
        <w:lastRenderedPageBreak/>
        <w:t>Figure no. 8 - Gallery View</w:t>
      </w:r>
    </w:p>
    <w:p w:rsidR="009319E3" w:rsidRDefault="009319E3">
      <w:pPr>
        <w:shd w:val="clear" w:color="auto" w:fill="FFFFFF"/>
        <w:spacing w:before="240" w:after="240"/>
        <w:jc w:val="center"/>
        <w:rPr>
          <w:rFonts w:eastAsia="Times New Roman"/>
          <w:color w:val="000000"/>
          <w:sz w:val="24"/>
          <w:szCs w:val="24"/>
        </w:rPr>
      </w:pPr>
    </w:p>
    <w:p w:rsidR="009319E3" w:rsidRDefault="00627AA8">
      <w:r>
        <w:t>By aggregating the texts, the user can detect similar (or dissimilar) patterns and us</w:t>
      </w:r>
      <w:r>
        <w:t>e the Boards option to collect and divide them into different groups (figure no. 9):</w:t>
      </w:r>
    </w:p>
    <w:p w:rsidR="009319E3" w:rsidRDefault="009319E3">
      <w:pPr>
        <w:shd w:val="clear" w:color="auto" w:fill="FFFFFF"/>
        <w:spacing w:before="240" w:after="240"/>
        <w:jc w:val="both"/>
        <w:rPr>
          <w:rFonts w:eastAsia="Times New Roman"/>
          <w:color w:val="000000"/>
          <w:sz w:val="24"/>
          <w:szCs w:val="24"/>
        </w:rPr>
      </w:pPr>
    </w:p>
    <w:p w:rsidR="009319E3" w:rsidRDefault="009319E3">
      <w:pPr>
        <w:shd w:val="clear" w:color="auto" w:fill="FFFFFF"/>
        <w:spacing w:before="240" w:after="240"/>
        <w:jc w:val="both"/>
        <w:rPr>
          <w:rFonts w:eastAsia="Times New Roman"/>
          <w:color w:val="000000"/>
          <w:sz w:val="24"/>
          <w:szCs w:val="24"/>
        </w:rPr>
      </w:pPr>
    </w:p>
    <w:p w:rsidR="009319E3" w:rsidRDefault="00627AA8">
      <w:pPr>
        <w:shd w:val="clear" w:color="auto" w:fill="FFFFFF"/>
        <w:spacing w:before="240" w:after="240"/>
        <w:jc w:val="center"/>
        <w:rPr>
          <w:rFonts w:eastAsia="Times New Roman"/>
          <w:color w:val="000000"/>
          <w:sz w:val="24"/>
          <w:szCs w:val="24"/>
        </w:rPr>
      </w:pPr>
      <w:r>
        <w:rPr>
          <w:noProof/>
          <w:lang w:bidi="he-IL"/>
        </w:rPr>
        <w:drawing>
          <wp:inline distT="0" distB="0" distL="0" distR="0">
            <wp:extent cx="3561080" cy="195707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noChangeArrowheads="1"/>
                    </pic:cNvPicPr>
                  </pic:nvPicPr>
                  <pic:blipFill>
                    <a:blip r:embed="rId15"/>
                    <a:stretch>
                      <a:fillRect/>
                    </a:stretch>
                  </pic:blipFill>
                  <pic:spPr bwMode="auto">
                    <a:xfrm>
                      <a:off x="0" y="0"/>
                      <a:ext cx="3561080" cy="1957070"/>
                    </a:xfrm>
                    <a:prstGeom prst="rect">
                      <a:avLst/>
                    </a:prstGeom>
                  </pic:spPr>
                </pic:pic>
              </a:graphicData>
            </a:graphic>
          </wp:inline>
        </w:drawing>
      </w:r>
    </w:p>
    <w:p w:rsidR="009319E3" w:rsidRDefault="00627AA8">
      <w:pPr>
        <w:pStyle w:val="dhqcaption"/>
      </w:pPr>
      <w:r>
        <w:t>Figure no. 9 - Boards View</w:t>
      </w:r>
    </w:p>
    <w:p w:rsidR="009319E3" w:rsidRDefault="009319E3">
      <w:pPr>
        <w:shd w:val="clear" w:color="auto" w:fill="FFFFFF"/>
        <w:spacing w:before="240" w:after="240"/>
        <w:jc w:val="both"/>
        <w:rPr>
          <w:rFonts w:eastAsia="Times New Roman"/>
          <w:color w:val="000000"/>
          <w:sz w:val="24"/>
          <w:szCs w:val="24"/>
        </w:rPr>
      </w:pPr>
    </w:p>
    <w:p w:rsidR="009319E3" w:rsidRDefault="00627AA8">
      <w:r>
        <w:t xml:space="preserve">This exemplifies perfectly the speculative potential of </w:t>
      </w:r>
      <w:proofErr w:type="spellStart"/>
      <w:r>
        <w:t>ViS-À-ViS</w:t>
      </w:r>
      <w:proofErr w:type="spellEnd"/>
      <w:r>
        <w:t xml:space="preserve"> that enables the user to group, re-group and de-group texts according to </w:t>
      </w:r>
      <w:r>
        <w:t xml:space="preserve">flexible categories defined by him- or herself. Indeed, in the next section, we will exemplify how using these features enabled us to detect an unusual pattern, to explore it, and reach an interesting scholarly conclusion. </w:t>
      </w:r>
    </w:p>
    <w:p w:rsidR="009319E3" w:rsidRDefault="009319E3">
      <w:pPr>
        <w:spacing w:before="240" w:after="280"/>
        <w:jc w:val="both"/>
        <w:rPr>
          <w:rFonts w:eastAsia="Times New Roman"/>
          <w:color w:val="000000"/>
          <w:sz w:val="24"/>
          <w:szCs w:val="24"/>
        </w:rPr>
      </w:pPr>
    </w:p>
    <w:p w:rsidR="009319E3" w:rsidRDefault="00627AA8">
      <w:pPr>
        <w:pStyle w:val="Heading2"/>
        <w:rPr>
          <w:rFonts w:eastAsia="Times New Roman"/>
        </w:rPr>
      </w:pPr>
      <w:r>
        <w:rPr>
          <w:rFonts w:eastAsia="Times New Roman"/>
        </w:rPr>
        <w:t>Case Study (B): Hermeneutical V</w:t>
      </w:r>
      <w:r>
        <w:rPr>
          <w:rFonts w:eastAsia="Times New Roman"/>
        </w:rPr>
        <w:t xml:space="preserve">isualization   </w:t>
      </w:r>
    </w:p>
    <w:p w:rsidR="009319E3" w:rsidRDefault="00627AA8">
      <w:r>
        <w:t xml:space="preserve">The process of playful visualizations can sometimes lead to new revelations. Using </w:t>
      </w:r>
      <w:proofErr w:type="spellStart"/>
      <w:r>
        <w:t>ViS-À-ViS</w:t>
      </w:r>
      <w:proofErr w:type="spellEnd"/>
      <w:r>
        <w:t xml:space="preserve">’ various modes the scholar can skim through the corpus and look for (recurring) patterns or other notable features of the tagged texts. </w:t>
      </w:r>
      <w:r>
        <w:rPr>
          <w:lang w:bidi="he-IL"/>
        </w:rPr>
        <w:t xml:space="preserve">Indeed, it </w:t>
      </w:r>
      <w:r>
        <w:rPr>
          <w:lang w:bidi="he-IL"/>
        </w:rPr>
        <w:t xml:space="preserve">is very difficult to frame exactly this exploratory phase, to predict how long will it take or to predict its fruitfulness. In this </w:t>
      </w:r>
      <w:proofErr w:type="gramStart"/>
      <w:r>
        <w:rPr>
          <w:lang w:bidi="he-IL"/>
        </w:rPr>
        <w:t>case</w:t>
      </w:r>
      <w:proofErr w:type="gramEnd"/>
      <w:r>
        <w:rPr>
          <w:lang w:bidi="he-IL"/>
        </w:rPr>
        <w:t xml:space="preserve"> we set out by</w:t>
      </w:r>
      <w:r>
        <w:rPr>
          <w:lang w:bidi="he-IL"/>
        </w:rPr>
        <w:t xml:space="preserve"> using the Gallery View the </w:t>
      </w:r>
      <w:r>
        <w:t>Gantt and Stacked Area charts visualizations of the entire corpus, g</w:t>
      </w:r>
      <w:r>
        <w:t xml:space="preserve">enre by genre. We then created some Boards with “interesting” visualizations of specific poems and compared them one to the other. The whole process took roughly two weeks and at the end, this cross-genre </w:t>
      </w:r>
      <w:r>
        <w:lastRenderedPageBreak/>
        <w:t xml:space="preserve">exploration highlighted an “unusual” similarity in </w:t>
      </w:r>
      <w:r>
        <w:t xml:space="preserve">one of the Boards and sent us back to one of the sub-genre of the corpus, the </w:t>
      </w:r>
      <w:r>
        <w:rPr>
          <w:rStyle w:val="dhqterm"/>
        </w:rPr>
        <w:t xml:space="preserve">Seder </w:t>
      </w:r>
      <w:proofErr w:type="spellStart"/>
      <w:r>
        <w:rPr>
          <w:rStyle w:val="dhqterm"/>
        </w:rPr>
        <w:t>Avodah</w:t>
      </w:r>
      <w:proofErr w:type="spellEnd"/>
      <w:r>
        <w:rPr>
          <w:i/>
        </w:rPr>
        <w:t xml:space="preserve"> </w:t>
      </w:r>
      <w:r>
        <w:t>(order of sacrifices). The genre is a lengthy poem for the Day of Atonement that narrates and associates the creation of the world and the history of the first gener</w:t>
      </w:r>
      <w:r>
        <w:t xml:space="preserve">ations with the sacrificial ritual of the high priest in the Jerusalem Temple (Swartz and </w:t>
      </w:r>
      <w:proofErr w:type="spellStart"/>
      <w:r>
        <w:t>Yahalom</w:t>
      </w:r>
      <w:proofErr w:type="spellEnd"/>
      <w:r>
        <w:t xml:space="preserve"> 2005). The pattern that we recognized </w:t>
      </w:r>
      <w:proofErr w:type="gramStart"/>
      <w:r>
        <w:t>is characterized</w:t>
      </w:r>
      <w:proofErr w:type="gramEnd"/>
      <w:r>
        <w:t xml:space="preserve"> by a drop in the number of usages of figurative devices at a certain point in the poems, while towards </w:t>
      </w:r>
      <w:r>
        <w:t xml:space="preserve">the end of the composition the number rises again. The figures below visualize the annotations’ distribution in four </w:t>
      </w:r>
      <w:proofErr w:type="spellStart"/>
      <w:r>
        <w:rPr>
          <w:rStyle w:val="dhqterm"/>
        </w:rPr>
        <w:t>Avodah</w:t>
      </w:r>
      <w:proofErr w:type="spellEnd"/>
      <w:r>
        <w:t xml:space="preserve"> poems. The left-hand side represents the beginning of the text, and the right-hand side its end. The vertical axis represents the nu</w:t>
      </w:r>
      <w:r>
        <w:t xml:space="preserve">mber of figurative usages, aggregated per ten-percent chunks of the texts (figures no. 10): </w:t>
      </w:r>
    </w:p>
    <w:p w:rsidR="009319E3" w:rsidRDefault="009319E3">
      <w:pPr>
        <w:jc w:val="both"/>
        <w:rPr>
          <w:rFonts w:eastAsia="Times New Roman"/>
          <w:color w:val="000000"/>
          <w:sz w:val="24"/>
          <w:szCs w:val="24"/>
        </w:rPr>
      </w:pPr>
    </w:p>
    <w:p w:rsidR="009319E3" w:rsidRDefault="00627AA8">
      <w:pPr>
        <w:jc w:val="center"/>
        <w:rPr>
          <w:rFonts w:eastAsia="Times New Roman"/>
          <w:color w:val="000000"/>
          <w:sz w:val="24"/>
          <w:szCs w:val="24"/>
        </w:rPr>
      </w:pPr>
      <w:r>
        <w:rPr>
          <w:noProof/>
          <w:lang w:bidi="he-IL"/>
        </w:rPr>
        <w:drawing>
          <wp:inline distT="0" distB="0" distL="0" distR="0">
            <wp:extent cx="2195830" cy="188214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6"/>
                    <a:stretch>
                      <a:fillRect/>
                    </a:stretch>
                  </pic:blipFill>
                  <pic:spPr bwMode="auto">
                    <a:xfrm>
                      <a:off x="0" y="0"/>
                      <a:ext cx="2195830" cy="1882140"/>
                    </a:xfrm>
                    <a:prstGeom prst="rect">
                      <a:avLst/>
                    </a:prstGeom>
                  </pic:spPr>
                </pic:pic>
              </a:graphicData>
            </a:graphic>
          </wp:inline>
        </w:drawing>
      </w:r>
    </w:p>
    <w:p w:rsidR="009319E3" w:rsidRDefault="00627AA8">
      <w:pPr>
        <w:pStyle w:val="dhqcaption"/>
      </w:pPr>
      <w:r>
        <w:t>Fig. 10</w:t>
      </w:r>
      <w:r>
        <w:t>A -</w:t>
      </w:r>
      <w:r>
        <w:t xml:space="preserve"> Distribution of figurative devices in </w:t>
      </w:r>
      <w:r>
        <w:rPr>
          <w:rStyle w:val="dhqterm"/>
        </w:rPr>
        <w:t xml:space="preserve">Ata </w:t>
      </w:r>
      <w:proofErr w:type="spellStart"/>
      <w:r>
        <w:rPr>
          <w:rStyle w:val="dhqterm"/>
        </w:rPr>
        <w:t>konanta</w:t>
      </w:r>
      <w:proofErr w:type="spellEnd"/>
      <w:r>
        <w:rPr>
          <w:rStyle w:val="dhqterm"/>
        </w:rPr>
        <w:t xml:space="preserve"> </w:t>
      </w:r>
      <w:proofErr w:type="spellStart"/>
      <w:r>
        <w:rPr>
          <w:rStyle w:val="dhqterm"/>
        </w:rPr>
        <w:t>olam</w:t>
      </w:r>
      <w:proofErr w:type="spellEnd"/>
      <w:r>
        <w:rPr>
          <w:rStyle w:val="dhqterm"/>
        </w:rPr>
        <w:t xml:space="preserve"> </w:t>
      </w:r>
      <w:proofErr w:type="spellStart"/>
      <w:r>
        <w:rPr>
          <w:rStyle w:val="dhqterm"/>
        </w:rPr>
        <w:t>berov</w:t>
      </w:r>
      <w:proofErr w:type="spellEnd"/>
      <w:r>
        <w:rPr>
          <w:rStyle w:val="dhqterm"/>
        </w:rPr>
        <w:t xml:space="preserve"> </w:t>
      </w:r>
      <w:proofErr w:type="spellStart"/>
      <w:r>
        <w:rPr>
          <w:rStyle w:val="dhqterm"/>
        </w:rPr>
        <w:t>khesed</w:t>
      </w:r>
      <w:proofErr w:type="spellEnd"/>
    </w:p>
    <w:p w:rsidR="009319E3" w:rsidRDefault="009319E3">
      <w:pPr>
        <w:jc w:val="center"/>
        <w:rPr>
          <w:rFonts w:eastAsia="Times New Roman"/>
          <w:i/>
          <w:color w:val="000000"/>
          <w:sz w:val="24"/>
          <w:szCs w:val="24"/>
        </w:rPr>
      </w:pPr>
    </w:p>
    <w:p w:rsidR="009319E3" w:rsidRDefault="00627AA8">
      <w:pPr>
        <w:rPr>
          <w:rFonts w:eastAsia="Times New Roman"/>
          <w:i/>
          <w:color w:val="000000"/>
          <w:sz w:val="24"/>
          <w:szCs w:val="24"/>
        </w:rPr>
      </w:pPr>
      <w:r>
        <w:rPr>
          <w:rFonts w:eastAsia="Times New Roman"/>
          <w:i/>
          <w:noProof/>
          <w:color w:val="000000"/>
          <w:sz w:val="24"/>
          <w:szCs w:val="24"/>
          <w:lang w:bidi="he-IL"/>
        </w:rPr>
        <w:drawing>
          <wp:anchor distT="114300" distB="114300" distL="114300" distR="114300" simplePos="0" relativeHeight="14" behindDoc="0" locked="0" layoutInCell="0" allowOverlap="1">
            <wp:simplePos x="0" y="0"/>
            <wp:positionH relativeFrom="column">
              <wp:posOffset>1891030</wp:posOffset>
            </wp:positionH>
            <wp:positionV relativeFrom="paragraph">
              <wp:posOffset>281940</wp:posOffset>
            </wp:positionV>
            <wp:extent cx="2157730" cy="1842770"/>
            <wp:effectExtent l="0" t="0" r="0" b="0"/>
            <wp:wrapTopAndBottom/>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noChangeArrowheads="1"/>
                    </pic:cNvPicPr>
                  </pic:nvPicPr>
                  <pic:blipFill>
                    <a:blip r:embed="rId17"/>
                    <a:stretch>
                      <a:fillRect/>
                    </a:stretch>
                  </pic:blipFill>
                  <pic:spPr bwMode="auto">
                    <a:xfrm>
                      <a:off x="0" y="0"/>
                      <a:ext cx="2157730" cy="1842770"/>
                    </a:xfrm>
                    <a:prstGeom prst="rect">
                      <a:avLst/>
                    </a:prstGeom>
                  </pic:spPr>
                </pic:pic>
              </a:graphicData>
            </a:graphic>
          </wp:anchor>
        </w:drawing>
      </w:r>
    </w:p>
    <w:p w:rsidR="009319E3" w:rsidRDefault="009319E3">
      <w:pPr>
        <w:jc w:val="center"/>
        <w:rPr>
          <w:rFonts w:eastAsia="Times New Roman"/>
          <w:i/>
          <w:color w:val="000000"/>
          <w:sz w:val="24"/>
          <w:szCs w:val="24"/>
        </w:rPr>
      </w:pPr>
    </w:p>
    <w:p w:rsidR="009319E3" w:rsidRDefault="00627AA8">
      <w:pPr>
        <w:pStyle w:val="dhqcaption"/>
        <w:rPr>
          <w:rStyle w:val="dhqterm"/>
        </w:rPr>
      </w:pPr>
      <w:r>
        <w:rPr>
          <w:i/>
        </w:rPr>
        <w:t>Fig. 10</w:t>
      </w:r>
      <w:r>
        <w:rPr>
          <w:i/>
        </w:rPr>
        <w:t>B -</w:t>
      </w:r>
      <w:r>
        <w:t xml:space="preserve"> Distribution of figurative devices in </w:t>
      </w:r>
      <w:proofErr w:type="spellStart"/>
      <w:r>
        <w:rPr>
          <w:rStyle w:val="dhqterm"/>
        </w:rPr>
        <w:t>Azkir</w:t>
      </w:r>
      <w:proofErr w:type="spellEnd"/>
      <w:r>
        <w:rPr>
          <w:rStyle w:val="dhqterm"/>
        </w:rPr>
        <w:t xml:space="preserve"> </w:t>
      </w:r>
      <w:proofErr w:type="spellStart"/>
      <w:r>
        <w:rPr>
          <w:rStyle w:val="dhqterm"/>
        </w:rPr>
        <w:t>gevurot</w:t>
      </w:r>
      <w:proofErr w:type="spellEnd"/>
      <w:r>
        <w:rPr>
          <w:rStyle w:val="dhqterm"/>
        </w:rPr>
        <w:t xml:space="preserve"> </w:t>
      </w:r>
      <w:proofErr w:type="spellStart"/>
      <w:r>
        <w:rPr>
          <w:rStyle w:val="dhqterm"/>
        </w:rPr>
        <w:t>eloah</w:t>
      </w:r>
      <w:proofErr w:type="spellEnd"/>
    </w:p>
    <w:p w:rsidR="009319E3" w:rsidRDefault="009319E3">
      <w:pPr>
        <w:rPr>
          <w:rFonts w:eastAsia="Times New Roman"/>
          <w:i/>
          <w:color w:val="000000"/>
          <w:sz w:val="24"/>
          <w:szCs w:val="24"/>
        </w:rPr>
      </w:pPr>
    </w:p>
    <w:p w:rsidR="009319E3" w:rsidRDefault="00627AA8">
      <w:pPr>
        <w:jc w:val="center"/>
        <w:rPr>
          <w:rFonts w:eastAsia="Times New Roman"/>
          <w:color w:val="000000"/>
          <w:sz w:val="24"/>
          <w:szCs w:val="24"/>
        </w:rPr>
      </w:pPr>
      <w:r>
        <w:rPr>
          <w:noProof/>
          <w:lang w:bidi="he-IL"/>
        </w:rPr>
        <w:lastRenderedPageBreak/>
        <w:drawing>
          <wp:inline distT="0" distB="0" distL="0" distR="0">
            <wp:extent cx="2766695" cy="2287905"/>
            <wp:effectExtent l="0" t="0" r="0" b="0"/>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a:picLocks noChangeAspect="1" noChangeArrowheads="1"/>
                    </pic:cNvPicPr>
                  </pic:nvPicPr>
                  <pic:blipFill>
                    <a:blip r:embed="rId18"/>
                    <a:stretch>
                      <a:fillRect/>
                    </a:stretch>
                  </pic:blipFill>
                  <pic:spPr bwMode="auto">
                    <a:xfrm>
                      <a:off x="0" y="0"/>
                      <a:ext cx="2766695" cy="2287905"/>
                    </a:xfrm>
                    <a:prstGeom prst="rect">
                      <a:avLst/>
                    </a:prstGeom>
                  </pic:spPr>
                </pic:pic>
              </a:graphicData>
            </a:graphic>
          </wp:inline>
        </w:drawing>
      </w:r>
    </w:p>
    <w:p w:rsidR="009319E3" w:rsidRDefault="00627AA8">
      <w:pPr>
        <w:pStyle w:val="dhqcaption"/>
        <w:rPr>
          <w:i/>
        </w:rPr>
      </w:pPr>
      <w:r>
        <w:rPr>
          <w:i/>
        </w:rPr>
        <w:t>Fig. 10c</w:t>
      </w:r>
      <w:r>
        <w:rPr>
          <w:i/>
        </w:rPr>
        <w:t xml:space="preserve"> -</w:t>
      </w:r>
      <w:r>
        <w:t xml:space="preserve"> Distribution of figurative devices in </w:t>
      </w:r>
      <w:proofErr w:type="spellStart"/>
      <w:r>
        <w:rPr>
          <w:rStyle w:val="dhqterm"/>
        </w:rPr>
        <w:t>Aromem</w:t>
      </w:r>
      <w:proofErr w:type="spellEnd"/>
      <w:r>
        <w:rPr>
          <w:rStyle w:val="dhqterm"/>
        </w:rPr>
        <w:t xml:space="preserve"> </w:t>
      </w:r>
      <w:proofErr w:type="spellStart"/>
      <w:r>
        <w:rPr>
          <w:rStyle w:val="dhqterm"/>
        </w:rPr>
        <w:t>bekhol</w:t>
      </w:r>
      <w:proofErr w:type="spellEnd"/>
      <w:r>
        <w:rPr>
          <w:rStyle w:val="dhqterm"/>
        </w:rPr>
        <w:t xml:space="preserve"> </w:t>
      </w:r>
      <w:proofErr w:type="gramStart"/>
      <w:r>
        <w:rPr>
          <w:rStyle w:val="dhqterm"/>
        </w:rPr>
        <w:t>et</w:t>
      </w:r>
      <w:proofErr w:type="gramEnd"/>
    </w:p>
    <w:p w:rsidR="009319E3" w:rsidRDefault="009319E3">
      <w:pPr>
        <w:rPr>
          <w:rFonts w:eastAsia="Times New Roman"/>
          <w:i/>
          <w:color w:val="000000"/>
          <w:sz w:val="24"/>
          <w:szCs w:val="24"/>
        </w:rPr>
      </w:pPr>
    </w:p>
    <w:p w:rsidR="009319E3" w:rsidRDefault="009319E3">
      <w:pPr>
        <w:rPr>
          <w:rFonts w:eastAsia="Times New Roman"/>
          <w:i/>
          <w:color w:val="000000"/>
          <w:sz w:val="24"/>
          <w:szCs w:val="24"/>
        </w:rPr>
      </w:pPr>
    </w:p>
    <w:p w:rsidR="009319E3" w:rsidRDefault="00627AA8">
      <w:pPr>
        <w:rPr>
          <w:i/>
        </w:rPr>
      </w:pPr>
      <w:r>
        <w:t>Here, another important phase comes into play, in the interplay between the distant and close reading. We went back to the text and discovered that this shift appears in the transition fr</w:t>
      </w:r>
      <w:r>
        <w:t xml:space="preserve">om the description of the history of the world to the description of the cult of the high priest. This phenomenon had gone almost entirely unnoticed in scholarly discussion and </w:t>
      </w:r>
      <w:proofErr w:type="gramStart"/>
      <w:r>
        <w:t>was hinted</w:t>
      </w:r>
      <w:proofErr w:type="gramEnd"/>
      <w:r>
        <w:t xml:space="preserve"> only in passing in </w:t>
      </w:r>
      <w:proofErr w:type="spellStart"/>
      <w:r>
        <w:t>Münz</w:t>
      </w:r>
      <w:proofErr w:type="spellEnd"/>
      <w:r>
        <w:t xml:space="preserve">-Manor’s dissertation. Interestingly, in one </w:t>
      </w:r>
      <w:r>
        <w:t>poem this pattern breaks:</w:t>
      </w:r>
    </w:p>
    <w:p w:rsidR="009319E3" w:rsidRDefault="009319E3">
      <w:pPr>
        <w:rPr>
          <w:rFonts w:eastAsia="Times New Roman"/>
          <w:i/>
          <w:color w:val="000000"/>
          <w:sz w:val="24"/>
          <w:szCs w:val="24"/>
        </w:rPr>
      </w:pPr>
    </w:p>
    <w:p w:rsidR="009319E3" w:rsidRDefault="00627AA8">
      <w:pPr>
        <w:jc w:val="center"/>
        <w:rPr>
          <w:rFonts w:eastAsia="Times New Roman"/>
          <w:color w:val="000000"/>
          <w:sz w:val="24"/>
          <w:szCs w:val="24"/>
        </w:rPr>
      </w:pPr>
      <w:r>
        <w:rPr>
          <w:noProof/>
          <w:lang w:bidi="he-IL"/>
        </w:rPr>
        <w:drawing>
          <wp:inline distT="0" distB="0" distL="0" distR="0">
            <wp:extent cx="2672080" cy="2294890"/>
            <wp:effectExtent l="0" t="0" r="0" b="0"/>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pic:cNvPicPr>
                      <a:picLocks noChangeAspect="1" noChangeArrowheads="1"/>
                    </pic:cNvPicPr>
                  </pic:nvPicPr>
                  <pic:blipFill>
                    <a:blip r:embed="rId19"/>
                    <a:stretch>
                      <a:fillRect/>
                    </a:stretch>
                  </pic:blipFill>
                  <pic:spPr bwMode="auto">
                    <a:xfrm>
                      <a:off x="0" y="0"/>
                      <a:ext cx="2672080" cy="2294890"/>
                    </a:xfrm>
                    <a:prstGeom prst="rect">
                      <a:avLst/>
                    </a:prstGeom>
                  </pic:spPr>
                </pic:pic>
              </a:graphicData>
            </a:graphic>
          </wp:inline>
        </w:drawing>
      </w:r>
    </w:p>
    <w:p w:rsidR="009319E3" w:rsidRDefault="00627AA8">
      <w:pPr>
        <w:pStyle w:val="dhqcaption"/>
        <w:rPr>
          <w:i/>
        </w:rPr>
      </w:pPr>
      <w:r>
        <w:rPr>
          <w:i/>
        </w:rPr>
        <w:t>Fig. 10d</w:t>
      </w:r>
      <w:r>
        <w:rPr>
          <w:i/>
        </w:rPr>
        <w:t xml:space="preserve"> -</w:t>
      </w:r>
      <w:r>
        <w:t xml:space="preserve"> Distribution of figurative devices in </w:t>
      </w:r>
      <w:proofErr w:type="spellStart"/>
      <w:proofErr w:type="gramStart"/>
      <w:r>
        <w:rPr>
          <w:rStyle w:val="dhqterm"/>
        </w:rPr>
        <w:t>Az</w:t>
      </w:r>
      <w:proofErr w:type="spellEnd"/>
      <w:proofErr w:type="gramEnd"/>
      <w:r>
        <w:rPr>
          <w:rStyle w:val="dhqterm"/>
        </w:rPr>
        <w:t xml:space="preserve"> </w:t>
      </w:r>
      <w:proofErr w:type="spellStart"/>
      <w:r>
        <w:rPr>
          <w:rStyle w:val="dhqterm"/>
        </w:rPr>
        <w:t>be’ein</w:t>
      </w:r>
      <w:proofErr w:type="spellEnd"/>
      <w:r>
        <w:rPr>
          <w:rStyle w:val="dhqterm"/>
        </w:rPr>
        <w:t xml:space="preserve"> </w:t>
      </w:r>
      <w:proofErr w:type="spellStart"/>
      <w:r>
        <w:rPr>
          <w:rStyle w:val="dhqterm"/>
        </w:rPr>
        <w:t>kol</w:t>
      </w:r>
      <w:proofErr w:type="spellEnd"/>
    </w:p>
    <w:p w:rsidR="009319E3" w:rsidRDefault="009319E3">
      <w:pPr>
        <w:rPr>
          <w:rFonts w:eastAsia="Times New Roman"/>
          <w:i/>
          <w:color w:val="000000"/>
          <w:sz w:val="24"/>
          <w:szCs w:val="24"/>
        </w:rPr>
      </w:pPr>
    </w:p>
    <w:p w:rsidR="009319E3" w:rsidRDefault="00627AA8">
      <w:r>
        <w:lastRenderedPageBreak/>
        <w:t>Interestingly, but not necessarily surprisingly. There is an ongoing dispute among scholars whether it is very early (ca. fifth century CE) or very late (ca. nint</w:t>
      </w:r>
      <w:r>
        <w:t>h century CE) and the structural analysis suggests that it is the latter (</w:t>
      </w:r>
      <w:proofErr w:type="spellStart"/>
      <w:r>
        <w:t>Münz</w:t>
      </w:r>
      <w:proofErr w:type="spellEnd"/>
      <w:r>
        <w:t xml:space="preserve">-Manor 2022, 373-8). </w:t>
      </w:r>
    </w:p>
    <w:p w:rsidR="009319E3" w:rsidRDefault="00627AA8">
      <w:r>
        <w:t xml:space="preserve">The case of the </w:t>
      </w:r>
      <w:proofErr w:type="spellStart"/>
      <w:r>
        <w:rPr>
          <w:rStyle w:val="dhqterm"/>
        </w:rPr>
        <w:t>Avodah</w:t>
      </w:r>
      <w:proofErr w:type="spellEnd"/>
      <w:r>
        <w:t xml:space="preserve"> poems thus nicely illustrates the “zoom-in/zoom out” dynamic of close versus distant reading that such a tool offers. </w:t>
      </w:r>
      <w:proofErr w:type="gramStart"/>
      <w:r>
        <w:t>The discovery o</w:t>
      </w:r>
      <w:r>
        <w:t>f the latent pattern began with a close reading of the poems and the manual annotation process; continued with a distant-reading visualization that exposed the patterns, without ignoring the fact that these patterns are based on a very sensitive reading; a</w:t>
      </w:r>
      <w:r>
        <w:t>nd concluded with going back to the text in order to interpret the finding – and sometimes reinterpret the text.</w:t>
      </w:r>
      <w:proofErr w:type="gramEnd"/>
      <w:r>
        <w:t xml:space="preserve"> This workflow demonstrates how the introduction of quantitative methods and data visualization, when done from a literary studies point of view</w:t>
      </w:r>
      <w:r>
        <w:t xml:space="preserve">, can expand and enrich the toolbox of the literary scholar. In future versions of </w:t>
      </w:r>
      <w:proofErr w:type="spellStart"/>
      <w:r>
        <w:t>ViS-À-ViS</w:t>
      </w:r>
      <w:proofErr w:type="spellEnd"/>
      <w:r>
        <w:t xml:space="preserve"> we envision an enhancement of the workflow by implementation of automated pattern detection, a task already underway (</w:t>
      </w:r>
      <w:proofErr w:type="spellStart"/>
      <w:r>
        <w:t>Münz</w:t>
      </w:r>
      <w:proofErr w:type="spellEnd"/>
      <w:r>
        <w:t xml:space="preserve">-Manor et al. 2020, 2-3). Obviously, the </w:t>
      </w:r>
      <w:r>
        <w:t>automatic detection of patterns would not replace the scholar and the hermeneutical process</w:t>
      </w:r>
      <w:r>
        <w:t>,</w:t>
      </w:r>
      <w:r>
        <w:t xml:space="preserve"> but it has the potential to broaden the interpretative possibilities and to make the workflow less cumbersome. </w:t>
      </w:r>
    </w:p>
    <w:p w:rsidR="009319E3" w:rsidRDefault="009319E3">
      <w:pPr>
        <w:spacing w:before="240" w:after="280"/>
        <w:jc w:val="both"/>
        <w:rPr>
          <w:rFonts w:eastAsia="Times New Roman"/>
          <w:color w:val="000000"/>
          <w:sz w:val="24"/>
          <w:szCs w:val="24"/>
        </w:rPr>
      </w:pPr>
    </w:p>
    <w:p w:rsidR="009319E3" w:rsidRDefault="00627AA8">
      <w:pPr>
        <w:pStyle w:val="Heading2"/>
        <w:rPr>
          <w:rFonts w:eastAsia="Times New Roman"/>
        </w:rPr>
      </w:pPr>
      <w:r>
        <w:rPr>
          <w:rFonts w:eastAsia="Times New Roman"/>
        </w:rPr>
        <w:t xml:space="preserve">From the Analogue to the Digital: The Conclusions </w:t>
      </w:r>
      <w:r>
        <w:rPr>
          <w:rFonts w:eastAsia="Times New Roman"/>
        </w:rPr>
        <w:t>of the Reexamination (and a Note on Pedagogy)</w:t>
      </w:r>
    </w:p>
    <w:p w:rsidR="009319E3" w:rsidRDefault="00627AA8">
      <w:r>
        <w:t xml:space="preserve">Literary studies can benefit greatly from walking a moderate line, where one piece of evidence after another is gathered, and everything </w:t>
      </w:r>
      <w:proofErr w:type="gramStart"/>
      <w:r>
        <w:t>is done</w:t>
      </w:r>
      <w:proofErr w:type="gramEnd"/>
      <w:r>
        <w:t xml:space="preserve"> in a measured and balanced way, with openness to criticism, rathe</w:t>
      </w:r>
      <w:r>
        <w:t>r than indulging in generalizations based on rhetorical persuasion. Our approach here is not very different from Piper</w:t>
      </w:r>
      <w:r>
        <w:t>’</w:t>
      </w:r>
      <w:r>
        <w:t>s, although we believe that this argument goes quite naturally hand in hand with computational research projects that rely heavily on th</w:t>
      </w:r>
      <w:r>
        <w:t xml:space="preserve">e systematic annotation of texts, rather than on machine learning algorithms, which </w:t>
      </w:r>
      <w:r>
        <w:t>–</w:t>
      </w:r>
      <w:r>
        <w:t xml:space="preserve"> despite being based on pre-existing annotated texts </w:t>
      </w:r>
      <w:r>
        <w:t>–</w:t>
      </w:r>
      <w:r>
        <w:t xml:space="preserve"> emphasize the distance from the text itself. As long as we still wish to </w:t>
      </w:r>
      <w:r>
        <w:rPr>
          <w:i/>
        </w:rPr>
        <w:t>read</w:t>
      </w:r>
      <w:r>
        <w:t xml:space="preserve"> </w:t>
      </w:r>
      <w:r>
        <w:t>–</w:t>
      </w:r>
      <w:r>
        <w:t xml:space="preserve"> in a purely literal sense </w:t>
      </w:r>
      <w:r>
        <w:t>–</w:t>
      </w:r>
      <w:r>
        <w:t xml:space="preserve"> this is probably the safest approach. It could also respond to Adam Hammond's justified call for the validation of research findings in the digital humanities (Hammond 2017). </w:t>
      </w:r>
      <w:proofErr w:type="gramStart"/>
      <w:r>
        <w:t>However, the price of such a procedure is not only that too much focusing on det</w:t>
      </w:r>
      <w:r>
        <w:t xml:space="preserve">ails can hide the bigger picture, and sometimes even leave the researcher with the feeling that reaching it is impossible, or that it is insufficiently well founded, but also such research may lose some of its significance, its </w:t>
      </w:r>
      <w:r>
        <w:rPr>
          <w:rStyle w:val="dhqterm"/>
        </w:rPr>
        <w:t>raison d'être</w:t>
      </w:r>
      <w:r>
        <w:t>,</w:t>
      </w:r>
      <w:r>
        <w:rPr>
          <w:b/>
          <w:color w:val="202122"/>
          <w:sz w:val="21"/>
          <w:szCs w:val="21"/>
        </w:rPr>
        <w:t xml:space="preserve"> </w:t>
      </w:r>
      <w:r>
        <w:t>and so become</w:t>
      </w:r>
      <w:r>
        <w:t>, in one way or another, less meaningful.</w:t>
      </w:r>
      <w:proofErr w:type="gramEnd"/>
      <w:r>
        <w:t xml:space="preserve"> If we echo </w:t>
      </w:r>
      <w:proofErr w:type="gramStart"/>
      <w:r>
        <w:t>again</w:t>
      </w:r>
      <w:proofErr w:type="gramEnd"/>
      <w:r>
        <w:t xml:space="preserve"> what was presented before as a kind of (imagined) dispute between Piper and Culler, the question is how to find the golden path between a textual-anchored generalization on the one hand, and, on th</w:t>
      </w:r>
      <w:r>
        <w:t xml:space="preserve">e other, a ‘healthy’ speculation that will advance the research – with a calculated risk – into new and unexpected areas. </w:t>
      </w:r>
    </w:p>
    <w:p w:rsidR="009319E3" w:rsidRDefault="00627AA8">
      <w:r>
        <w:rPr>
          <w:color w:val="000000"/>
        </w:rPr>
        <w:t>H</w:t>
      </w:r>
      <w:r>
        <w:t>ere, we argue, a different attitude to categories can help: It is usually difficult to move directly from the smallest details to th</w:t>
      </w:r>
      <w:r>
        <w:t xml:space="preserve">e bigger picture. We therefore suggest focusing on categories, as a research object located somewhere in the middle, and anyway requiring some abstraction </w:t>
      </w:r>
      <w:r>
        <w:t>–</w:t>
      </w:r>
      <w:r>
        <w:t xml:space="preserve"> while bearing in mind that categories might have non-trivial </w:t>
      </w:r>
      <w:r>
        <w:lastRenderedPageBreak/>
        <w:t>relationships with both the details an</w:t>
      </w:r>
      <w:r>
        <w:t xml:space="preserve">d the picture. Simply put, we propose a more playful approach to the epistemological status of categories, one that does not leave them solely as the cornerstone of the annotation process, but returns to examine them </w:t>
      </w:r>
      <w:proofErr w:type="gramStart"/>
      <w:r>
        <w:t>again and again</w:t>
      </w:r>
      <w:proofErr w:type="gramEnd"/>
      <w:r>
        <w:t xml:space="preserve"> from a critical perspec</w:t>
      </w:r>
      <w:r>
        <w:t xml:space="preserve">tive. </w:t>
      </w:r>
      <w:proofErr w:type="gramStart"/>
      <w:r>
        <w:t xml:space="preserve">From a </w:t>
      </w:r>
      <w:r w:rsidR="000F6EC1">
        <w:t>more</w:t>
      </w:r>
      <w:r>
        <w:t xml:space="preserve"> philosophical point of view, it can be said that this approach offers a back-and-forth movement between two different types of categorization: a categorization based on </w:t>
      </w:r>
      <w:r>
        <w:rPr>
          <w:rStyle w:val="dhqemphasis"/>
        </w:rPr>
        <w:t>generalizations</w:t>
      </w:r>
      <w:r>
        <w:t xml:space="preserve"> </w:t>
      </w:r>
      <w:r>
        <w:t>–</w:t>
      </w:r>
      <w:r>
        <w:t xml:space="preserve"> that is, collecting and extracting all the d</w:t>
      </w:r>
      <w:r>
        <w:t xml:space="preserve">ata until categories that contain them correctly are defined </w:t>
      </w:r>
      <w:r>
        <w:t>–</w:t>
      </w:r>
      <w:r>
        <w:t xml:space="preserve"> versus a categorization based on </w:t>
      </w:r>
      <w:r>
        <w:rPr>
          <w:rStyle w:val="dhqemphasis"/>
        </w:rPr>
        <w:t>formalization</w:t>
      </w:r>
      <w:r>
        <w:t xml:space="preserve">, that is, by removing all actual data until an abstract category is formed (see </w:t>
      </w:r>
      <w:r>
        <w:rPr>
          <w:color w:val="1A1A1A"/>
        </w:rPr>
        <w:t>Thomasson 2022, section 1.3)</w:t>
      </w:r>
      <w:r>
        <w:t>.</w:t>
      </w:r>
      <w:proofErr w:type="gramEnd"/>
      <w:r>
        <w:t xml:space="preserve"> </w:t>
      </w:r>
    </w:p>
    <w:p w:rsidR="009319E3" w:rsidRDefault="00627AA8">
      <w:r>
        <w:t>This approach also has a pedagogica</w:t>
      </w:r>
      <w:r>
        <w:t>l aspect, which in our opinion is fundamental for the teaching of computational research to humanities students, and symptomatic of the subject at hand. We can demonstrate this from our shared experience in teaching manual digital annotating of literary te</w:t>
      </w:r>
      <w:r>
        <w:t>xts. When we teach CATMA to our students – and we do it a lot – we are used to telling them that the main place where their traditional theoretical thinking is supposed to undergo computational operationalization</w:t>
      </w:r>
      <w:r>
        <w:t xml:space="preserve"> is in setting the </w:t>
      </w:r>
      <w:proofErr w:type="spellStart"/>
      <w:r>
        <w:t>tagset</w:t>
      </w:r>
      <w:proofErr w:type="spellEnd"/>
      <w:r>
        <w:t xml:space="preserve">, that is, in the </w:t>
      </w:r>
      <w:r>
        <w:t xml:space="preserve">translating of abstract concepts into a category system. The daring ones usually adopt the proposal and try to formulate a whole world of fuzzy ideas as a </w:t>
      </w:r>
      <w:proofErr w:type="spellStart"/>
      <w:r>
        <w:t>tagset</w:t>
      </w:r>
      <w:proofErr w:type="spellEnd"/>
      <w:r>
        <w:t>, which, flexible as it may be, is more rigid by definition than the primordial thoughts with w</w:t>
      </w:r>
      <w:r>
        <w:t xml:space="preserve">hich the students set out. </w:t>
      </w:r>
      <w:proofErr w:type="gramStart"/>
      <w:r>
        <w:t>But then</w:t>
      </w:r>
      <w:proofErr w:type="gramEnd"/>
      <w:r>
        <w:t xml:space="preserve">, when they are starting to annotate, they want to tag </w:t>
      </w:r>
      <w:r>
        <w:rPr>
          <w:rStyle w:val="dhqemphasis"/>
        </w:rPr>
        <w:t>everything</w:t>
      </w:r>
      <w:r>
        <w:t xml:space="preserve">; they want to add new tags, or correct the old ones; and that almost always happens. In a way, they are good students. Once they </w:t>
      </w:r>
      <w:proofErr w:type="gramStart"/>
      <w:r>
        <w:t>are exposed</w:t>
      </w:r>
      <w:proofErr w:type="gramEnd"/>
      <w:r>
        <w:t xml:space="preserve"> to the power o</w:t>
      </w:r>
      <w:r>
        <w:t xml:space="preserve">f systematic annotation, they become addicted to it. They fall in love with the </w:t>
      </w:r>
      <w:proofErr w:type="gramStart"/>
      <w:r>
        <w:t>straight-forward</w:t>
      </w:r>
      <w:proofErr w:type="gramEnd"/>
      <w:r>
        <w:t xml:space="preserve"> use of a category system: </w:t>
      </w:r>
      <w:r>
        <w:t>i</w:t>
      </w:r>
      <w:r>
        <w:t>t offers them an attractive intellectual alternative in its solidity, in its precision, in its caution. They start like Culler, and</w:t>
      </w:r>
      <w:r>
        <w:t xml:space="preserve"> end like Piper. When, later, they analyze their annotations through a concrete query, with or without some basic visualizations, they transform their annotations into something tangible, and the process comes to a head: metadata becomes data, and interpre</w:t>
      </w:r>
      <w:r>
        <w:t xml:space="preserve">tation becomes a rigid text. ‘A Trojan horse’, is what Johanna Drucker (2011) once called visualizations with too much explanatory power. When we try to challenge the students and say – “now speculate, please!” – </w:t>
      </w:r>
      <w:proofErr w:type="gramStart"/>
      <w:r>
        <w:t>they</w:t>
      </w:r>
      <w:proofErr w:type="gramEnd"/>
      <w:r>
        <w:t xml:space="preserve"> find it difficult to achieve. They see</w:t>
      </w:r>
      <w:r>
        <w:t xml:space="preserve">, of course, the richness of the data; they see – hopefully – the preciseness and carefulness of the local annotations; after all the hard work they have invested, they can treat it as reliable information. This is all good. </w:t>
      </w:r>
      <w:proofErr w:type="gramStart"/>
      <w:r>
        <w:t>But</w:t>
      </w:r>
      <w:proofErr w:type="gramEnd"/>
      <w:r>
        <w:t xml:space="preserve"> the leap towards a certain </w:t>
      </w:r>
      <w:r>
        <w:t xml:space="preserve">kind of reduction, or more creative speculation, or a bit less grounded but nonetheless legitimate generalization, ends up being viewed with circumspection and as a serious challenge. </w:t>
      </w:r>
    </w:p>
    <w:p w:rsidR="009319E3" w:rsidRDefault="00627AA8">
      <w:r>
        <w:t>The tool presented here was constructed not only based on the lessons w</w:t>
      </w:r>
      <w:r>
        <w:t xml:space="preserve">e had learned from moving the research discussed above from a paper-based environment to a computerized environment, but also with these students in mind. </w:t>
      </w:r>
      <w:proofErr w:type="gramStart"/>
      <w:r>
        <w:t>We argue that excessive textual anchoring of speculations and hypotheses comes with a price, and offe</w:t>
      </w:r>
      <w:r>
        <w:t xml:space="preserve">r a visualization approach that tries to deal with this; not only in order to achieve the digital equivalent of ‘the right example’ chosen </w:t>
      </w:r>
      <w:r>
        <w:t>–</w:t>
      </w:r>
      <w:r>
        <w:t xml:space="preserve"> a speculative generalization of the entire ‘tree’, or ‘wood’, based on the careful annotation of its parts </w:t>
      </w:r>
      <w:r>
        <w:t>–</w:t>
      </w:r>
      <w:r>
        <w:t xml:space="preserve"> but al</w:t>
      </w:r>
      <w:r>
        <w:t>so in order to push the researcher to rethink or rephrase their categories, by moving as freely as possible between generalization-based categorization and formalization-based categorization.</w:t>
      </w:r>
      <w:proofErr w:type="gramEnd"/>
      <w:r>
        <w:t xml:space="preserve"> It might encourage the researcher to redefine his or her categor</w:t>
      </w:r>
      <w:r>
        <w:t xml:space="preserve">y system, and this time not only </w:t>
      </w:r>
      <w:proofErr w:type="gramStart"/>
      <w:r>
        <w:t>on the basis of</w:t>
      </w:r>
      <w:proofErr w:type="gramEnd"/>
      <w:r>
        <w:t xml:space="preserve"> detailed interpretation, but also on the basis of a (careful) reduction.</w:t>
      </w:r>
    </w:p>
    <w:p w:rsidR="009319E3" w:rsidRDefault="00627AA8">
      <w:r>
        <w:lastRenderedPageBreak/>
        <w:t xml:space="preserve">Finally, we want to offer a sort of thought experiment for a workflow that is not yet possible with the tool presented here, but in </w:t>
      </w:r>
      <w:r>
        <w:t xml:space="preserve">our opinion can outline one of the next steps in research. What if we take to an extreme the promise of a tension between the data-driven attitude and hypothesis-driven </w:t>
      </w:r>
      <w:proofErr w:type="gramStart"/>
      <w:r>
        <w:t>attitude.</w:t>
      </w:r>
      <w:proofErr w:type="gramEnd"/>
      <w:r>
        <w:t xml:space="preserve"> Many human annotators hope that at some point the machine will learn how to a</w:t>
      </w:r>
      <w:r>
        <w:t>nnotate the text, and continue automatically with their own manual sensitive work; actually, some annotation tools already do this.</w:t>
      </w:r>
      <w:r>
        <w:rPr>
          <w:rStyle w:val="Funotenanker"/>
        </w:rPr>
        <w:footnoteReference w:id="8"/>
      </w:r>
      <w:r>
        <w:t xml:space="preserve"> But what if we try it the other way around, and speculate about the opposite possibility, where we start from the forest, f</w:t>
      </w:r>
      <w:r>
        <w:t xml:space="preserve">rom generalization about the trees or the wood as a whole – that is, from a </w:t>
      </w:r>
      <w:r>
        <w:rPr>
          <w:rStyle w:val="dhqemphasis"/>
        </w:rPr>
        <w:t>hypothesis</w:t>
      </w:r>
      <w:r>
        <w:t xml:space="preserve"> – and only then present it to the annotator, while asking him or her: Can you reject this generalization? Can you interpret the text differently so that the data will ul</w:t>
      </w:r>
      <w:r>
        <w:t>timately undermine the validity of the generalization?</w:t>
      </w:r>
      <w:r>
        <w:rPr>
          <w:rStyle w:val="Funotenanker"/>
        </w:rPr>
        <w:footnoteReference w:id="9"/>
      </w:r>
      <w:r>
        <w:t xml:space="preserve"> </w:t>
      </w:r>
      <w:proofErr w:type="gramStart"/>
      <w:r>
        <w:t>Or</w:t>
      </w:r>
      <w:proofErr w:type="gramEnd"/>
      <w:r>
        <w:t>, alternatively, can you explain the validity of this claim by abstraction instead of generalization?  Such an exercise</w:t>
      </w:r>
      <w:r>
        <w:t>’</w:t>
      </w:r>
      <w:bookmarkStart w:id="0" w:name="_GoBack"/>
      <w:bookmarkEnd w:id="0"/>
      <w:r>
        <w:t>s purpose is not to encourage the interpreter to manipulate (in a negative se</w:t>
      </w:r>
      <w:r>
        <w:t>nse) the data, but to challenge him or her in a very concrete way; to aid him or her in thinking differently about the data and generalizations associated with them.</w:t>
      </w:r>
    </w:p>
    <w:p w:rsidR="009319E3" w:rsidRDefault="00627AA8">
      <w:bookmarkStart w:id="1" w:name="_heading=h.gjdgxs"/>
      <w:bookmarkEnd w:id="1"/>
      <w:r>
        <w:t>Trees and woods, after all, may look different at any given moment, and there is no reason</w:t>
      </w:r>
      <w:r>
        <w:t xml:space="preserve"> to confuse </w:t>
      </w:r>
      <w:proofErr w:type="spellStart"/>
      <w:r>
        <w:rPr>
          <w:rStyle w:val="dhqemphasis"/>
        </w:rPr>
        <w:t>systematicity</w:t>
      </w:r>
      <w:proofErr w:type="spellEnd"/>
      <w:r>
        <w:t xml:space="preserve"> with </w:t>
      </w:r>
      <w:r>
        <w:rPr>
          <w:rStyle w:val="dhqemphasis"/>
        </w:rPr>
        <w:t>stability</w:t>
      </w:r>
      <w:r>
        <w:t>. It might be helpful, perhaps, to quote here Roland Barthes’ adaptation of Nietzsche, who said that “</w:t>
      </w:r>
      <w:r>
        <w:rPr>
          <w:rStyle w:val="dhqcitation"/>
        </w:rPr>
        <w:t>a tree is a new thing at every instant: we affirm the form because we do not seize the subtlety of an absolute mom</w:t>
      </w:r>
      <w:r>
        <w:rPr>
          <w:rStyle w:val="dhqcitation"/>
        </w:rPr>
        <w:t>ent</w:t>
      </w:r>
      <w:r>
        <w:t xml:space="preserve">”. </w:t>
      </w:r>
      <w:proofErr w:type="gramStart"/>
      <w:r>
        <w:t>And</w:t>
      </w:r>
      <w:proofErr w:type="gramEnd"/>
      <w:r>
        <w:t xml:space="preserve"> Barthes: “</w:t>
      </w:r>
      <w:r>
        <w:rPr>
          <w:rStyle w:val="dhqcitation"/>
        </w:rPr>
        <w:t>The text too is this tree whose (provisional) nomination we owe to the coarseness of our organs. We are scientific” – please note – “because we lack subtlety</w:t>
      </w:r>
      <w:r>
        <w:t>” (Barthes 1975).</w:t>
      </w:r>
    </w:p>
    <w:p w:rsidR="009319E3" w:rsidRDefault="009319E3">
      <w:pPr>
        <w:spacing w:before="240" w:after="240"/>
        <w:jc w:val="both"/>
        <w:rPr>
          <w:rFonts w:eastAsia="Times New Roman"/>
          <w:color w:val="000000"/>
          <w:sz w:val="24"/>
          <w:szCs w:val="24"/>
        </w:rPr>
      </w:pPr>
    </w:p>
    <w:p w:rsidR="009319E3" w:rsidRDefault="00627AA8">
      <w:pPr>
        <w:pStyle w:val="Heading2"/>
        <w:rPr>
          <w:rFonts w:eastAsia="Times New Roman"/>
          <w:color w:val="000000"/>
        </w:rPr>
      </w:pPr>
      <w:r>
        <w:rPr>
          <w:rFonts w:eastAsia="Times New Roman"/>
        </w:rPr>
        <w:t>Acknowledgment</w:t>
      </w:r>
    </w:p>
    <w:p w:rsidR="009319E3" w:rsidRDefault="00627AA8">
      <w:r>
        <w:t xml:space="preserve">This research </w:t>
      </w:r>
      <w:proofErr w:type="gramStart"/>
      <w:r>
        <w:t>was generously supported</w:t>
      </w:r>
      <w:proofErr w:type="gramEnd"/>
      <w:r>
        <w:t xml:space="preserve"> by </w:t>
      </w:r>
      <w:r>
        <w:t>grant No. 1223 from the Israeli Ministry of Science and Technology.</w:t>
      </w:r>
    </w:p>
    <w:p w:rsidR="009319E3" w:rsidRDefault="009319E3">
      <w:pPr>
        <w:rPr>
          <w:rFonts w:eastAsia="Times New Roman"/>
          <w:color w:val="000000"/>
          <w:sz w:val="24"/>
          <w:szCs w:val="24"/>
        </w:rPr>
      </w:pPr>
    </w:p>
    <w:p w:rsidR="009319E3" w:rsidRDefault="009319E3">
      <w:pPr>
        <w:rPr>
          <w:rFonts w:eastAsia="Times New Roman"/>
          <w:color w:val="000000"/>
          <w:sz w:val="24"/>
          <w:szCs w:val="24"/>
        </w:rPr>
      </w:pPr>
    </w:p>
    <w:p w:rsidR="009319E3" w:rsidRDefault="00627AA8">
      <w:pPr>
        <w:pStyle w:val="Heading2"/>
        <w:rPr>
          <w:rFonts w:eastAsia="Times New Roman"/>
        </w:rPr>
      </w:pPr>
      <w:r>
        <w:rPr>
          <w:rFonts w:eastAsia="Times New Roman"/>
        </w:rPr>
        <w:lastRenderedPageBreak/>
        <w:t>Works cited</w:t>
      </w:r>
    </w:p>
    <w:p w:rsidR="009319E3" w:rsidRDefault="00627AA8">
      <w:pPr>
        <w:rPr>
          <w:rFonts w:eastAsia="Times New Roman"/>
          <w:color w:val="000000"/>
          <w:sz w:val="24"/>
          <w:szCs w:val="24"/>
        </w:rPr>
      </w:pPr>
      <w:r>
        <w:rPr>
          <w:rFonts w:eastAsia="Times New Roman"/>
          <w:color w:val="000000"/>
          <w:sz w:val="24"/>
          <w:szCs w:val="24"/>
        </w:rPr>
        <w:t xml:space="preserve"> </w:t>
      </w:r>
    </w:p>
    <w:p w:rsidR="009319E3" w:rsidRDefault="00627AA8">
      <w:pPr>
        <w:jc w:val="both"/>
        <w:rPr>
          <w:rFonts w:eastAsia="Times New Roman"/>
          <w:color w:val="000000"/>
          <w:sz w:val="24"/>
          <w:szCs w:val="24"/>
        </w:rPr>
      </w:pPr>
      <w:r>
        <w:rPr>
          <w:rFonts w:eastAsia="Times New Roman"/>
          <w:b/>
          <w:color w:val="000000"/>
          <w:sz w:val="24"/>
          <w:szCs w:val="24"/>
        </w:rPr>
        <w:t>Barthes 1975</w:t>
      </w:r>
      <w:r>
        <w:rPr>
          <w:rFonts w:eastAsia="Times New Roman"/>
          <w:color w:val="000000"/>
          <w:sz w:val="24"/>
          <w:szCs w:val="24"/>
        </w:rPr>
        <w:t xml:space="preserve"> </w:t>
      </w:r>
      <w:r>
        <w:rPr>
          <w:rFonts w:eastAsia="Times New Roman"/>
          <w:color w:val="000000"/>
          <w:sz w:val="24"/>
          <w:szCs w:val="24"/>
        </w:rPr>
        <w:tab/>
        <w:t xml:space="preserve">Barthes, R. (1975). </w:t>
      </w:r>
      <w:r>
        <w:rPr>
          <w:rFonts w:eastAsia="Times New Roman"/>
          <w:i/>
          <w:color w:val="000000"/>
          <w:sz w:val="24"/>
          <w:szCs w:val="24"/>
        </w:rPr>
        <w:t xml:space="preserve">The Pleasure of the Text </w:t>
      </w:r>
      <w:r>
        <w:rPr>
          <w:rFonts w:eastAsia="Times New Roman"/>
          <w:color w:val="000000"/>
          <w:sz w:val="24"/>
          <w:szCs w:val="24"/>
        </w:rPr>
        <w:t xml:space="preserve">(translated by Richard Miller). </w:t>
      </w:r>
      <w:proofErr w:type="gramStart"/>
      <w:r>
        <w:rPr>
          <w:rFonts w:eastAsia="Times New Roman"/>
          <w:color w:val="000000"/>
          <w:sz w:val="24"/>
          <w:szCs w:val="24"/>
        </w:rPr>
        <w:t>New-York</w:t>
      </w:r>
      <w:proofErr w:type="gramEnd"/>
      <w:r>
        <w:rPr>
          <w:rFonts w:eastAsia="Times New Roman"/>
          <w:color w:val="000000"/>
          <w:sz w:val="24"/>
          <w:szCs w:val="24"/>
        </w:rPr>
        <w:t>: Hill and Wang.</w:t>
      </w:r>
    </w:p>
    <w:p w:rsidR="009319E3" w:rsidRDefault="00627AA8">
      <w:pPr>
        <w:jc w:val="both"/>
        <w:rPr>
          <w:rFonts w:eastAsia="Times New Roman"/>
          <w:color w:val="000000"/>
          <w:sz w:val="24"/>
          <w:szCs w:val="24"/>
        </w:rPr>
      </w:pPr>
      <w:r>
        <w:rPr>
          <w:rFonts w:eastAsia="Times New Roman"/>
          <w:b/>
          <w:color w:val="000000"/>
          <w:sz w:val="24"/>
          <w:szCs w:val="24"/>
        </w:rPr>
        <w:t>Culler 1992</w:t>
      </w:r>
      <w:r>
        <w:rPr>
          <w:rFonts w:eastAsia="Times New Roman"/>
          <w:color w:val="000000"/>
          <w:sz w:val="24"/>
          <w:szCs w:val="24"/>
        </w:rPr>
        <w:tab/>
        <w:t xml:space="preserve">Culler, J. (1992). “In </w:t>
      </w:r>
      <w:proofErr w:type="spellStart"/>
      <w:r>
        <w:rPr>
          <w:rFonts w:eastAsia="Times New Roman"/>
          <w:color w:val="000000"/>
          <w:sz w:val="24"/>
          <w:szCs w:val="24"/>
        </w:rPr>
        <w:t>Defence</w:t>
      </w:r>
      <w:proofErr w:type="spellEnd"/>
      <w:r>
        <w:rPr>
          <w:rFonts w:eastAsia="Times New Roman"/>
          <w:color w:val="000000"/>
          <w:sz w:val="24"/>
          <w:szCs w:val="24"/>
        </w:rPr>
        <w:t xml:space="preserve"> of </w:t>
      </w:r>
      <w:proofErr w:type="spellStart"/>
      <w:r>
        <w:rPr>
          <w:rFonts w:eastAsia="Times New Roman"/>
          <w:color w:val="000000"/>
          <w:sz w:val="24"/>
          <w:szCs w:val="24"/>
        </w:rPr>
        <w:t>Overinterp</w:t>
      </w:r>
      <w:r>
        <w:rPr>
          <w:rFonts w:eastAsia="Times New Roman"/>
          <w:color w:val="000000"/>
          <w:sz w:val="24"/>
          <w:szCs w:val="24"/>
        </w:rPr>
        <w:t>retation</w:t>
      </w:r>
      <w:proofErr w:type="spellEnd"/>
      <w:r>
        <w:rPr>
          <w:rFonts w:eastAsia="Times New Roman"/>
          <w:color w:val="000000"/>
          <w:sz w:val="24"/>
          <w:szCs w:val="24"/>
        </w:rPr>
        <w:t xml:space="preserve">”, in </w:t>
      </w:r>
      <w:proofErr w:type="spellStart"/>
      <w:r>
        <w:rPr>
          <w:rFonts w:eastAsia="Times New Roman"/>
          <w:color w:val="000000"/>
          <w:sz w:val="24"/>
          <w:szCs w:val="24"/>
        </w:rPr>
        <w:t>Colini</w:t>
      </w:r>
      <w:proofErr w:type="spellEnd"/>
      <w:r>
        <w:rPr>
          <w:rFonts w:eastAsia="Times New Roman"/>
          <w:color w:val="000000"/>
          <w:sz w:val="24"/>
          <w:szCs w:val="24"/>
        </w:rPr>
        <w:t xml:space="preserve"> S. (ed.) Umberto Eco, </w:t>
      </w:r>
      <w:r>
        <w:rPr>
          <w:rFonts w:eastAsia="Times New Roman"/>
          <w:i/>
          <w:color w:val="000000"/>
          <w:sz w:val="24"/>
          <w:szCs w:val="24"/>
        </w:rPr>
        <w:t xml:space="preserve">Interpretation and </w:t>
      </w:r>
      <w:proofErr w:type="spellStart"/>
      <w:r>
        <w:rPr>
          <w:rFonts w:eastAsia="Times New Roman"/>
          <w:i/>
          <w:color w:val="000000"/>
          <w:sz w:val="24"/>
          <w:szCs w:val="24"/>
        </w:rPr>
        <w:t>Overinterpretation</w:t>
      </w:r>
      <w:proofErr w:type="spellEnd"/>
      <w:r>
        <w:rPr>
          <w:rFonts w:eastAsia="Times New Roman"/>
          <w:i/>
          <w:color w:val="000000"/>
          <w:sz w:val="24"/>
          <w:szCs w:val="24"/>
        </w:rPr>
        <w:t xml:space="preserve"> – with Richard </w:t>
      </w:r>
      <w:proofErr w:type="spellStart"/>
      <w:r>
        <w:rPr>
          <w:rFonts w:eastAsia="Times New Roman"/>
          <w:i/>
          <w:color w:val="000000"/>
          <w:sz w:val="24"/>
          <w:szCs w:val="24"/>
        </w:rPr>
        <w:t>Rorty</w:t>
      </w:r>
      <w:proofErr w:type="spellEnd"/>
      <w:r>
        <w:rPr>
          <w:rFonts w:eastAsia="Times New Roman"/>
          <w:i/>
          <w:color w:val="000000"/>
          <w:sz w:val="24"/>
          <w:szCs w:val="24"/>
        </w:rPr>
        <w:t xml:space="preserve">, Jonathan Culler and Christine Brooke-Rose. </w:t>
      </w:r>
      <w:r>
        <w:rPr>
          <w:rFonts w:eastAsia="Times New Roman"/>
          <w:color w:val="000000"/>
          <w:sz w:val="24"/>
          <w:szCs w:val="24"/>
        </w:rPr>
        <w:t>Cambridge: Cambridge University Press.</w:t>
      </w:r>
    </w:p>
    <w:p w:rsidR="009319E3" w:rsidRDefault="00627AA8">
      <w:pPr>
        <w:jc w:val="both"/>
        <w:rPr>
          <w:rFonts w:eastAsia="Times New Roman"/>
          <w:color w:val="000000"/>
          <w:sz w:val="24"/>
          <w:szCs w:val="24"/>
        </w:rPr>
      </w:pPr>
      <w:r>
        <w:rPr>
          <w:rFonts w:eastAsia="Times New Roman"/>
          <w:b/>
          <w:color w:val="000000"/>
          <w:sz w:val="24"/>
          <w:szCs w:val="24"/>
        </w:rPr>
        <w:t>Drucker 2011</w:t>
      </w:r>
      <w:r>
        <w:rPr>
          <w:rFonts w:eastAsia="Times New Roman"/>
          <w:color w:val="000000"/>
          <w:sz w:val="24"/>
          <w:szCs w:val="24"/>
        </w:rPr>
        <w:tab/>
        <w:t>Drucker, J. (2011). "Humanities Approaches to Graphical Di</w:t>
      </w:r>
      <w:r>
        <w:rPr>
          <w:rFonts w:eastAsia="Times New Roman"/>
          <w:color w:val="000000"/>
          <w:sz w:val="24"/>
          <w:szCs w:val="24"/>
        </w:rPr>
        <w:t xml:space="preserve">splay", in </w:t>
      </w:r>
      <w:r>
        <w:rPr>
          <w:rFonts w:eastAsia="Times New Roman"/>
          <w:i/>
          <w:color w:val="000000"/>
          <w:sz w:val="24"/>
          <w:szCs w:val="24"/>
        </w:rPr>
        <w:t>DHQ: Digital Humanities Quarterly</w:t>
      </w:r>
      <w:r>
        <w:rPr>
          <w:rFonts w:eastAsia="Times New Roman"/>
          <w:color w:val="000000"/>
          <w:sz w:val="24"/>
          <w:szCs w:val="24"/>
        </w:rPr>
        <w:t xml:space="preserve"> 5:1.</w:t>
      </w:r>
    </w:p>
    <w:p w:rsidR="009319E3" w:rsidRDefault="00627AA8">
      <w:pPr>
        <w:jc w:val="both"/>
        <w:rPr>
          <w:rFonts w:eastAsia="Times New Roman"/>
          <w:color w:val="000000"/>
          <w:sz w:val="24"/>
          <w:szCs w:val="24"/>
        </w:rPr>
      </w:pPr>
      <w:r>
        <w:rPr>
          <w:rFonts w:eastAsia="Times New Roman"/>
          <w:b/>
          <w:color w:val="000000"/>
          <w:sz w:val="24"/>
          <w:szCs w:val="24"/>
        </w:rPr>
        <w:t>English 2010</w:t>
      </w:r>
      <w:r>
        <w:rPr>
          <w:rFonts w:eastAsia="Times New Roman"/>
          <w:color w:val="000000"/>
          <w:sz w:val="24"/>
          <w:szCs w:val="24"/>
        </w:rPr>
        <w:tab/>
        <w:t xml:space="preserve">English, J. F. (2010). "Everywhere and Nowhere: The Sociology of Literature After ‘the Sociology of Literature’", in </w:t>
      </w:r>
      <w:r>
        <w:rPr>
          <w:rFonts w:eastAsia="Times New Roman"/>
          <w:i/>
          <w:color w:val="000000"/>
          <w:sz w:val="24"/>
          <w:szCs w:val="24"/>
        </w:rPr>
        <w:t>New Literary History</w:t>
      </w:r>
      <w:r>
        <w:rPr>
          <w:rFonts w:eastAsia="Times New Roman"/>
          <w:color w:val="000000"/>
          <w:sz w:val="24"/>
          <w:szCs w:val="24"/>
        </w:rPr>
        <w:t xml:space="preserve"> 41:2, pp. v-xxiii.</w:t>
      </w:r>
    </w:p>
    <w:p w:rsidR="009319E3" w:rsidRDefault="00627AA8">
      <w:pPr>
        <w:jc w:val="both"/>
        <w:rPr>
          <w:rFonts w:eastAsia="Times New Roman"/>
          <w:color w:val="000000"/>
          <w:sz w:val="24"/>
          <w:szCs w:val="24"/>
        </w:rPr>
      </w:pPr>
      <w:r>
        <w:rPr>
          <w:rFonts w:eastAsia="Times New Roman"/>
          <w:b/>
          <w:color w:val="000000"/>
          <w:sz w:val="24"/>
          <w:szCs w:val="24"/>
        </w:rPr>
        <w:t xml:space="preserve">Flanders and </w:t>
      </w:r>
      <w:proofErr w:type="spellStart"/>
      <w:r>
        <w:rPr>
          <w:rFonts w:eastAsia="Times New Roman"/>
          <w:b/>
          <w:color w:val="000000"/>
          <w:sz w:val="24"/>
          <w:szCs w:val="24"/>
        </w:rPr>
        <w:t>Jannidis</w:t>
      </w:r>
      <w:proofErr w:type="spellEnd"/>
      <w:r>
        <w:rPr>
          <w:rFonts w:eastAsia="Times New Roman"/>
          <w:b/>
          <w:color w:val="000000"/>
          <w:sz w:val="24"/>
          <w:szCs w:val="24"/>
        </w:rPr>
        <w:t xml:space="preserve"> 2016</w:t>
      </w:r>
      <w:r>
        <w:rPr>
          <w:rFonts w:eastAsia="Times New Roman"/>
          <w:color w:val="000000"/>
          <w:sz w:val="24"/>
          <w:szCs w:val="24"/>
        </w:rPr>
        <w:tab/>
        <w:t>Flanders,</w:t>
      </w:r>
      <w:r>
        <w:rPr>
          <w:rFonts w:eastAsia="Times New Roman"/>
          <w:color w:val="000000"/>
          <w:sz w:val="24"/>
          <w:szCs w:val="24"/>
        </w:rPr>
        <w:t xml:space="preserve"> J. and </w:t>
      </w:r>
      <w:proofErr w:type="spellStart"/>
      <w:r>
        <w:rPr>
          <w:rFonts w:eastAsia="Times New Roman"/>
          <w:color w:val="000000"/>
          <w:sz w:val="24"/>
          <w:szCs w:val="24"/>
        </w:rPr>
        <w:t>Jannidis</w:t>
      </w:r>
      <w:proofErr w:type="spellEnd"/>
      <w:r>
        <w:rPr>
          <w:rFonts w:eastAsia="Times New Roman"/>
          <w:color w:val="000000"/>
          <w:sz w:val="24"/>
          <w:szCs w:val="24"/>
        </w:rPr>
        <w:t xml:space="preserve">, F. (2016). "Data Modeling", in </w:t>
      </w:r>
      <w:proofErr w:type="spellStart"/>
      <w:r>
        <w:rPr>
          <w:rFonts w:eastAsia="Times New Roman"/>
          <w:color w:val="000000"/>
          <w:sz w:val="24"/>
          <w:szCs w:val="24"/>
        </w:rPr>
        <w:t>Schreibman</w:t>
      </w:r>
      <w:proofErr w:type="spellEnd"/>
      <w:r>
        <w:rPr>
          <w:rFonts w:eastAsia="Times New Roman"/>
          <w:color w:val="000000"/>
          <w:sz w:val="24"/>
          <w:szCs w:val="24"/>
        </w:rPr>
        <w:t xml:space="preserve">, S., Siemens, R., </w:t>
      </w:r>
      <w:proofErr w:type="spellStart"/>
      <w:r>
        <w:rPr>
          <w:rFonts w:eastAsia="Times New Roman"/>
          <w:color w:val="000000"/>
          <w:sz w:val="24"/>
          <w:szCs w:val="24"/>
        </w:rPr>
        <w:t>Unsworth</w:t>
      </w:r>
      <w:proofErr w:type="spellEnd"/>
      <w:r>
        <w:rPr>
          <w:rFonts w:eastAsia="Times New Roman"/>
          <w:color w:val="000000"/>
          <w:sz w:val="24"/>
          <w:szCs w:val="24"/>
        </w:rPr>
        <w:t xml:space="preserve">, J. (eds.) </w:t>
      </w:r>
      <w:r>
        <w:rPr>
          <w:rFonts w:eastAsia="Times New Roman"/>
          <w:i/>
          <w:color w:val="000000"/>
          <w:sz w:val="24"/>
          <w:szCs w:val="24"/>
        </w:rPr>
        <w:t>A New Companion to Digital Humanities</w:t>
      </w:r>
      <w:r>
        <w:rPr>
          <w:rFonts w:eastAsia="Times New Roman"/>
          <w:color w:val="000000"/>
          <w:sz w:val="24"/>
          <w:szCs w:val="24"/>
        </w:rPr>
        <w:t xml:space="preserve">, </w:t>
      </w:r>
      <w:proofErr w:type="gramStart"/>
      <w:r>
        <w:rPr>
          <w:rFonts w:eastAsia="Times New Roman"/>
          <w:color w:val="000000"/>
          <w:sz w:val="24"/>
          <w:szCs w:val="24"/>
        </w:rPr>
        <w:t>Malden</w:t>
      </w:r>
      <w:proofErr w:type="gramEnd"/>
      <w:r>
        <w:rPr>
          <w:rFonts w:eastAsia="Times New Roman"/>
          <w:color w:val="000000"/>
          <w:sz w:val="24"/>
          <w:szCs w:val="24"/>
        </w:rPr>
        <w:t>: Wiley Blackwell, pp. 229-237.</w:t>
      </w:r>
    </w:p>
    <w:p w:rsidR="009319E3" w:rsidRDefault="00627AA8">
      <w:pPr>
        <w:jc w:val="both"/>
        <w:rPr>
          <w:rFonts w:eastAsia="Times New Roman"/>
          <w:color w:val="000000"/>
          <w:sz w:val="24"/>
          <w:szCs w:val="24"/>
        </w:rPr>
      </w:pPr>
      <w:r>
        <w:rPr>
          <w:rFonts w:eastAsia="Times New Roman"/>
          <w:b/>
          <w:color w:val="000000"/>
          <w:sz w:val="24"/>
          <w:szCs w:val="24"/>
        </w:rPr>
        <w:t>Fleming 2017</w:t>
      </w:r>
      <w:r>
        <w:rPr>
          <w:rFonts w:eastAsia="Times New Roman"/>
          <w:color w:val="000000"/>
          <w:sz w:val="24"/>
          <w:szCs w:val="24"/>
        </w:rPr>
        <w:tab/>
        <w:t>Fleming, P. (2017). “Tragedy, for Example: Distant Reading and Exemp</w:t>
      </w:r>
      <w:r>
        <w:rPr>
          <w:rFonts w:eastAsia="Times New Roman"/>
          <w:color w:val="000000"/>
          <w:sz w:val="24"/>
          <w:szCs w:val="24"/>
        </w:rPr>
        <w:t xml:space="preserve">lary Reading (Moretti)”, </w:t>
      </w:r>
      <w:r>
        <w:rPr>
          <w:rFonts w:eastAsia="Times New Roman"/>
          <w:i/>
          <w:color w:val="000000"/>
          <w:sz w:val="24"/>
          <w:szCs w:val="24"/>
        </w:rPr>
        <w:t>New Literary History</w:t>
      </w:r>
      <w:r>
        <w:rPr>
          <w:rFonts w:eastAsia="Times New Roman"/>
          <w:color w:val="000000"/>
          <w:sz w:val="24"/>
          <w:szCs w:val="24"/>
        </w:rPr>
        <w:t xml:space="preserve"> 48, pp. 437-455.</w:t>
      </w:r>
    </w:p>
    <w:p w:rsidR="009319E3" w:rsidRDefault="00627AA8">
      <w:pPr>
        <w:jc w:val="both"/>
        <w:rPr>
          <w:rFonts w:eastAsia="Times New Roman"/>
          <w:b/>
          <w:color w:val="000000"/>
          <w:sz w:val="24"/>
          <w:szCs w:val="24"/>
        </w:rPr>
      </w:pPr>
      <w:proofErr w:type="spellStart"/>
      <w:r>
        <w:rPr>
          <w:rFonts w:eastAsia="Times New Roman"/>
          <w:b/>
          <w:color w:val="000000"/>
          <w:sz w:val="24"/>
          <w:szCs w:val="24"/>
        </w:rPr>
        <w:t>Flüh</w:t>
      </w:r>
      <w:proofErr w:type="spellEnd"/>
      <w:r>
        <w:rPr>
          <w:rFonts w:eastAsia="Times New Roman"/>
          <w:b/>
          <w:color w:val="000000"/>
          <w:sz w:val="24"/>
          <w:szCs w:val="24"/>
        </w:rPr>
        <w:t xml:space="preserve"> et al. 2021</w:t>
      </w:r>
      <w:r>
        <w:rPr>
          <w:rFonts w:eastAsia="Times New Roman"/>
          <w:color w:val="000000"/>
          <w:sz w:val="24"/>
          <w:szCs w:val="24"/>
        </w:rPr>
        <w:tab/>
      </w:r>
      <w:proofErr w:type="spellStart"/>
      <w:r>
        <w:rPr>
          <w:rFonts w:eastAsia="Times New Roman"/>
          <w:color w:val="000000"/>
          <w:sz w:val="24"/>
          <w:szCs w:val="24"/>
        </w:rPr>
        <w:t>Flüh</w:t>
      </w:r>
      <w:proofErr w:type="spellEnd"/>
      <w:r>
        <w:rPr>
          <w:rFonts w:eastAsia="Times New Roman"/>
          <w:color w:val="000000"/>
          <w:sz w:val="24"/>
          <w:szCs w:val="24"/>
        </w:rPr>
        <w:t xml:space="preserve">, M., </w:t>
      </w:r>
      <w:proofErr w:type="spellStart"/>
      <w:r>
        <w:rPr>
          <w:rFonts w:eastAsia="Times New Roman"/>
          <w:color w:val="000000"/>
          <w:sz w:val="24"/>
          <w:szCs w:val="24"/>
        </w:rPr>
        <w:t>Horstmann</w:t>
      </w:r>
      <w:proofErr w:type="spellEnd"/>
      <w:r>
        <w:rPr>
          <w:rFonts w:eastAsia="Times New Roman"/>
          <w:color w:val="000000"/>
          <w:sz w:val="24"/>
          <w:szCs w:val="24"/>
        </w:rPr>
        <w:t xml:space="preserve">, J., </w:t>
      </w:r>
      <w:proofErr w:type="spellStart"/>
      <w:r>
        <w:rPr>
          <w:rFonts w:eastAsia="Times New Roman"/>
          <w:color w:val="000000"/>
          <w:sz w:val="24"/>
          <w:szCs w:val="24"/>
        </w:rPr>
        <w:t>Jacke</w:t>
      </w:r>
      <w:proofErr w:type="spellEnd"/>
      <w:r>
        <w:rPr>
          <w:rFonts w:eastAsia="Times New Roman"/>
          <w:color w:val="000000"/>
          <w:sz w:val="24"/>
          <w:szCs w:val="24"/>
        </w:rPr>
        <w:t xml:space="preserve">, J., Schumacher, M. (2021). "Introduction: Undogmatic Reading - from Narratology to Digital Humanities and Back", in </w:t>
      </w:r>
      <w:proofErr w:type="spellStart"/>
      <w:r>
        <w:rPr>
          <w:rFonts w:eastAsia="Times New Roman"/>
          <w:color w:val="000000"/>
          <w:sz w:val="24"/>
          <w:szCs w:val="24"/>
        </w:rPr>
        <w:t>Flüh</w:t>
      </w:r>
      <w:proofErr w:type="spellEnd"/>
      <w:r>
        <w:rPr>
          <w:rFonts w:eastAsia="Times New Roman"/>
          <w:color w:val="000000"/>
          <w:sz w:val="24"/>
          <w:szCs w:val="24"/>
        </w:rPr>
        <w:t xml:space="preserve">, M., </w:t>
      </w:r>
      <w:proofErr w:type="spellStart"/>
      <w:r>
        <w:rPr>
          <w:rFonts w:eastAsia="Times New Roman"/>
          <w:color w:val="000000"/>
          <w:sz w:val="24"/>
          <w:szCs w:val="24"/>
        </w:rPr>
        <w:t>Horstmann</w:t>
      </w:r>
      <w:proofErr w:type="spellEnd"/>
      <w:r>
        <w:rPr>
          <w:rFonts w:eastAsia="Times New Roman"/>
          <w:color w:val="000000"/>
          <w:sz w:val="24"/>
          <w:szCs w:val="24"/>
        </w:rPr>
        <w:t xml:space="preserve">, J., </w:t>
      </w:r>
      <w:proofErr w:type="spellStart"/>
      <w:r>
        <w:rPr>
          <w:rFonts w:eastAsia="Times New Roman"/>
          <w:color w:val="000000"/>
          <w:sz w:val="24"/>
          <w:szCs w:val="24"/>
        </w:rPr>
        <w:t>Jac</w:t>
      </w:r>
      <w:r>
        <w:rPr>
          <w:rFonts w:eastAsia="Times New Roman"/>
          <w:color w:val="000000"/>
          <w:sz w:val="24"/>
          <w:szCs w:val="24"/>
        </w:rPr>
        <w:t>ke</w:t>
      </w:r>
      <w:proofErr w:type="spellEnd"/>
      <w:r>
        <w:rPr>
          <w:rFonts w:eastAsia="Times New Roman"/>
          <w:color w:val="000000"/>
          <w:sz w:val="24"/>
          <w:szCs w:val="24"/>
        </w:rPr>
        <w:t xml:space="preserve">, J., Schumacher, M. (eds.) </w:t>
      </w:r>
      <w:r>
        <w:rPr>
          <w:rFonts w:eastAsia="Times New Roman"/>
          <w:i/>
          <w:color w:val="000000"/>
          <w:sz w:val="24"/>
          <w:szCs w:val="24"/>
        </w:rPr>
        <w:t>Toward Undogmatic Reading: Narratology, Digital Humanities and Beyond</w:t>
      </w:r>
      <w:r>
        <w:rPr>
          <w:rFonts w:eastAsia="Times New Roman"/>
          <w:color w:val="000000"/>
          <w:sz w:val="24"/>
          <w:szCs w:val="24"/>
        </w:rPr>
        <w:t>, Hamburg: Hamburg University Press, pp. 11-29.</w:t>
      </w:r>
    </w:p>
    <w:p w:rsidR="009319E3" w:rsidRDefault="00627AA8">
      <w:pPr>
        <w:jc w:val="both"/>
        <w:rPr>
          <w:rFonts w:eastAsia="Times New Roman"/>
          <w:color w:val="000000"/>
          <w:sz w:val="24"/>
          <w:szCs w:val="24"/>
        </w:rPr>
      </w:pPr>
      <w:proofErr w:type="spellStart"/>
      <w:r>
        <w:rPr>
          <w:rFonts w:eastAsia="Times New Roman"/>
          <w:b/>
          <w:color w:val="000000"/>
          <w:sz w:val="24"/>
          <w:szCs w:val="24"/>
        </w:rPr>
        <w:t>Gius</w:t>
      </w:r>
      <w:proofErr w:type="spellEnd"/>
      <w:r>
        <w:rPr>
          <w:rFonts w:eastAsia="Times New Roman"/>
          <w:b/>
          <w:color w:val="000000"/>
          <w:sz w:val="24"/>
          <w:szCs w:val="24"/>
        </w:rPr>
        <w:t xml:space="preserve"> et al. 2022</w:t>
      </w:r>
      <w:r>
        <w:rPr>
          <w:rFonts w:eastAsia="Times New Roman"/>
          <w:color w:val="000000"/>
          <w:sz w:val="24"/>
          <w:szCs w:val="24"/>
        </w:rPr>
        <w:tab/>
      </w:r>
      <w:proofErr w:type="spellStart"/>
      <w:r>
        <w:rPr>
          <w:rFonts w:eastAsia="Times New Roman"/>
          <w:color w:val="000000"/>
          <w:sz w:val="24"/>
          <w:szCs w:val="24"/>
        </w:rPr>
        <w:t>Gius</w:t>
      </w:r>
      <w:proofErr w:type="spellEnd"/>
      <w:r>
        <w:rPr>
          <w:rFonts w:eastAsia="Times New Roman"/>
          <w:color w:val="000000"/>
          <w:sz w:val="24"/>
          <w:szCs w:val="24"/>
        </w:rPr>
        <w:t xml:space="preserve">, E., Meister, J. C., Meister, M., </w:t>
      </w:r>
      <w:proofErr w:type="spellStart"/>
      <w:r>
        <w:rPr>
          <w:rFonts w:eastAsia="Times New Roman"/>
          <w:color w:val="000000"/>
          <w:sz w:val="24"/>
          <w:szCs w:val="24"/>
        </w:rPr>
        <w:t>Petris</w:t>
      </w:r>
      <w:proofErr w:type="spellEnd"/>
      <w:r>
        <w:rPr>
          <w:rFonts w:eastAsia="Times New Roman"/>
          <w:color w:val="000000"/>
          <w:sz w:val="24"/>
          <w:szCs w:val="24"/>
        </w:rPr>
        <w:t xml:space="preserve">, M., </w:t>
      </w:r>
      <w:proofErr w:type="spellStart"/>
      <w:r>
        <w:rPr>
          <w:rFonts w:eastAsia="Times New Roman"/>
          <w:color w:val="000000"/>
          <w:sz w:val="24"/>
          <w:szCs w:val="24"/>
        </w:rPr>
        <w:t>Bruck</w:t>
      </w:r>
      <w:proofErr w:type="spellEnd"/>
      <w:r>
        <w:rPr>
          <w:rFonts w:eastAsia="Times New Roman"/>
          <w:color w:val="000000"/>
          <w:sz w:val="24"/>
          <w:szCs w:val="24"/>
        </w:rPr>
        <w:t xml:space="preserve">, C., </w:t>
      </w:r>
      <w:proofErr w:type="spellStart"/>
      <w:r>
        <w:rPr>
          <w:rFonts w:eastAsia="Times New Roman"/>
          <w:color w:val="000000"/>
          <w:sz w:val="24"/>
          <w:szCs w:val="24"/>
        </w:rPr>
        <w:t>Jacke</w:t>
      </w:r>
      <w:proofErr w:type="spellEnd"/>
      <w:r>
        <w:rPr>
          <w:rFonts w:eastAsia="Times New Roman"/>
          <w:color w:val="000000"/>
          <w:sz w:val="24"/>
          <w:szCs w:val="24"/>
        </w:rPr>
        <w:t xml:space="preserve">, J., Schumacher, M., </w:t>
      </w:r>
      <w:proofErr w:type="spellStart"/>
      <w:r>
        <w:rPr>
          <w:rFonts w:eastAsia="Times New Roman"/>
          <w:color w:val="000000"/>
          <w:sz w:val="24"/>
          <w:szCs w:val="24"/>
        </w:rPr>
        <w:t>Ger</w:t>
      </w:r>
      <w:r>
        <w:rPr>
          <w:rFonts w:eastAsia="Times New Roman"/>
          <w:color w:val="000000"/>
          <w:sz w:val="24"/>
          <w:szCs w:val="24"/>
        </w:rPr>
        <w:t>storfer</w:t>
      </w:r>
      <w:proofErr w:type="spellEnd"/>
      <w:r>
        <w:rPr>
          <w:rFonts w:eastAsia="Times New Roman"/>
          <w:color w:val="000000"/>
          <w:sz w:val="24"/>
          <w:szCs w:val="24"/>
        </w:rPr>
        <w:t xml:space="preserve">, D., </w:t>
      </w:r>
      <w:proofErr w:type="spellStart"/>
      <w:r>
        <w:rPr>
          <w:rFonts w:eastAsia="Times New Roman"/>
          <w:color w:val="000000"/>
          <w:sz w:val="24"/>
          <w:szCs w:val="24"/>
        </w:rPr>
        <w:t>Flüh</w:t>
      </w:r>
      <w:proofErr w:type="spellEnd"/>
      <w:r>
        <w:rPr>
          <w:rFonts w:eastAsia="Times New Roman"/>
          <w:color w:val="000000"/>
          <w:sz w:val="24"/>
          <w:szCs w:val="24"/>
        </w:rPr>
        <w:t xml:space="preserve">, M., </w:t>
      </w:r>
      <w:proofErr w:type="spellStart"/>
      <w:r>
        <w:rPr>
          <w:rFonts w:eastAsia="Times New Roman"/>
          <w:color w:val="000000"/>
          <w:sz w:val="24"/>
          <w:szCs w:val="24"/>
        </w:rPr>
        <w:t>Horstmann</w:t>
      </w:r>
      <w:proofErr w:type="spellEnd"/>
      <w:r>
        <w:rPr>
          <w:rFonts w:eastAsia="Times New Roman"/>
          <w:color w:val="000000"/>
          <w:sz w:val="24"/>
          <w:szCs w:val="24"/>
        </w:rPr>
        <w:t xml:space="preserve">, J. (2022). </w:t>
      </w:r>
      <w:r>
        <w:rPr>
          <w:rFonts w:eastAsia="Times New Roman"/>
          <w:i/>
          <w:color w:val="000000"/>
          <w:sz w:val="24"/>
          <w:szCs w:val="24"/>
        </w:rPr>
        <w:t>CATMA 6</w:t>
      </w:r>
      <w:r>
        <w:rPr>
          <w:rFonts w:eastAsia="Times New Roman"/>
          <w:color w:val="000000"/>
          <w:sz w:val="24"/>
          <w:szCs w:val="24"/>
        </w:rPr>
        <w:t xml:space="preserve"> (Version 6.5). </w:t>
      </w:r>
      <w:proofErr w:type="spellStart"/>
      <w:r>
        <w:rPr>
          <w:rFonts w:eastAsia="Times New Roman"/>
          <w:color w:val="000000"/>
          <w:sz w:val="24"/>
          <w:szCs w:val="24"/>
        </w:rPr>
        <w:t>Zenodo</w:t>
      </w:r>
      <w:proofErr w:type="spellEnd"/>
      <w:r>
        <w:rPr>
          <w:rFonts w:eastAsia="Times New Roman"/>
          <w:color w:val="000000"/>
          <w:sz w:val="24"/>
          <w:szCs w:val="24"/>
        </w:rPr>
        <w:t xml:space="preserve">. DOI: </w:t>
      </w:r>
      <w:hyperlink r:id="rId20">
        <w:r>
          <w:rPr>
            <w:rFonts w:eastAsia="Times New Roman"/>
            <w:color w:val="000000"/>
            <w:sz w:val="24"/>
            <w:szCs w:val="24"/>
          </w:rPr>
          <w:t>10.5281/zenodo.1470118</w:t>
        </w:r>
      </w:hyperlink>
      <w:r>
        <w:rPr>
          <w:rFonts w:eastAsia="Times New Roman"/>
          <w:color w:val="000000"/>
          <w:sz w:val="24"/>
          <w:szCs w:val="24"/>
        </w:rPr>
        <w:t>.</w:t>
      </w:r>
    </w:p>
    <w:p w:rsidR="009319E3" w:rsidRDefault="00627AA8">
      <w:pPr>
        <w:jc w:val="both"/>
        <w:rPr>
          <w:rFonts w:eastAsia="Times New Roman"/>
          <w:color w:val="000000"/>
          <w:sz w:val="24"/>
          <w:szCs w:val="24"/>
        </w:rPr>
      </w:pPr>
      <w:r>
        <w:rPr>
          <w:rFonts w:eastAsia="Times New Roman"/>
          <w:b/>
          <w:color w:val="000000"/>
          <w:sz w:val="24"/>
          <w:szCs w:val="24"/>
        </w:rPr>
        <w:t>Goldstone and Underwood 2014</w:t>
      </w:r>
      <w:r>
        <w:rPr>
          <w:rFonts w:eastAsia="Times New Roman"/>
          <w:color w:val="000000"/>
          <w:sz w:val="24"/>
          <w:szCs w:val="24"/>
        </w:rPr>
        <w:tab/>
        <w:t xml:space="preserve">Goldstone, A., Underwood, T. (2014). "The Quiet Transformations </w:t>
      </w:r>
      <w:r>
        <w:rPr>
          <w:rFonts w:eastAsia="Times New Roman"/>
          <w:color w:val="000000"/>
          <w:sz w:val="24"/>
          <w:szCs w:val="24"/>
        </w:rPr>
        <w:t xml:space="preserve">of Literary Studies: What Thirteen Thousand Scholars Could Tell Us," in </w:t>
      </w:r>
      <w:r>
        <w:rPr>
          <w:rFonts w:eastAsia="Times New Roman"/>
          <w:i/>
          <w:color w:val="000000"/>
          <w:sz w:val="24"/>
          <w:szCs w:val="24"/>
        </w:rPr>
        <w:t>New Literary History</w:t>
      </w:r>
      <w:r>
        <w:rPr>
          <w:rFonts w:eastAsia="Times New Roman"/>
          <w:color w:val="000000"/>
          <w:sz w:val="24"/>
          <w:szCs w:val="24"/>
        </w:rPr>
        <w:t xml:space="preserve"> 45:3, pp. 359-384.</w:t>
      </w:r>
    </w:p>
    <w:p w:rsidR="009319E3" w:rsidRDefault="00627AA8">
      <w:pPr>
        <w:jc w:val="both"/>
        <w:rPr>
          <w:rFonts w:eastAsia="Times New Roman"/>
          <w:color w:val="000000"/>
          <w:sz w:val="24"/>
          <w:szCs w:val="24"/>
        </w:rPr>
      </w:pPr>
      <w:r>
        <w:rPr>
          <w:rFonts w:eastAsia="Times New Roman"/>
          <w:b/>
          <w:color w:val="000000"/>
          <w:sz w:val="24"/>
          <w:szCs w:val="24"/>
        </w:rPr>
        <w:t>Hammond 2017</w:t>
      </w:r>
      <w:r>
        <w:rPr>
          <w:rFonts w:eastAsia="Times New Roman"/>
          <w:color w:val="000000"/>
          <w:sz w:val="24"/>
          <w:szCs w:val="24"/>
        </w:rPr>
        <w:tab/>
        <w:t xml:space="preserve">Hammond, A. (2017). "The Double Bind of Validation: Distant Reading and the Digital Humanities’ ‘Trough of Disillusionment’", in </w:t>
      </w:r>
      <w:r>
        <w:rPr>
          <w:rFonts w:eastAsia="Times New Roman"/>
          <w:i/>
          <w:color w:val="000000"/>
          <w:sz w:val="24"/>
          <w:szCs w:val="24"/>
        </w:rPr>
        <w:t>Literature Compass</w:t>
      </w:r>
      <w:r>
        <w:rPr>
          <w:rFonts w:eastAsia="Times New Roman"/>
          <w:color w:val="000000"/>
          <w:sz w:val="24"/>
          <w:szCs w:val="24"/>
        </w:rPr>
        <w:t xml:space="preserve"> 14:e12402.</w:t>
      </w:r>
    </w:p>
    <w:p w:rsidR="009319E3" w:rsidRDefault="00627AA8">
      <w:pPr>
        <w:jc w:val="both"/>
        <w:rPr>
          <w:rFonts w:eastAsia="Times New Roman"/>
          <w:color w:val="000000"/>
          <w:sz w:val="24"/>
          <w:szCs w:val="24"/>
        </w:rPr>
      </w:pPr>
      <w:r>
        <w:rPr>
          <w:rFonts w:eastAsia="Times New Roman"/>
          <w:b/>
          <w:color w:val="000000"/>
          <w:sz w:val="24"/>
          <w:szCs w:val="24"/>
        </w:rPr>
        <w:lastRenderedPageBreak/>
        <w:t>Herrnstein-Smith 2016</w:t>
      </w:r>
      <w:r>
        <w:rPr>
          <w:rFonts w:eastAsia="Times New Roman"/>
          <w:color w:val="000000"/>
          <w:sz w:val="24"/>
          <w:szCs w:val="24"/>
        </w:rPr>
        <w:tab/>
        <w:t>Herrnstein-Smith, B. (2016). "What Was "Close Reading"</w:t>
      </w:r>
      <w:proofErr w:type="gramStart"/>
      <w:r>
        <w:rPr>
          <w:rFonts w:eastAsia="Times New Roman"/>
          <w:color w:val="000000"/>
          <w:sz w:val="24"/>
          <w:szCs w:val="24"/>
        </w:rPr>
        <w:t>?:</w:t>
      </w:r>
      <w:proofErr w:type="gramEnd"/>
      <w:r>
        <w:rPr>
          <w:rFonts w:eastAsia="Times New Roman"/>
          <w:color w:val="000000"/>
          <w:sz w:val="24"/>
          <w:szCs w:val="24"/>
        </w:rPr>
        <w:t xml:space="preserve"> A Century of Method in Literary Studies", in </w:t>
      </w:r>
      <w:r>
        <w:rPr>
          <w:rFonts w:eastAsia="Times New Roman"/>
          <w:i/>
          <w:color w:val="000000"/>
          <w:sz w:val="24"/>
          <w:szCs w:val="24"/>
        </w:rPr>
        <w:t>Minnesota Review</w:t>
      </w:r>
      <w:r>
        <w:rPr>
          <w:rFonts w:eastAsia="Times New Roman"/>
          <w:color w:val="000000"/>
          <w:sz w:val="24"/>
          <w:szCs w:val="24"/>
        </w:rPr>
        <w:t xml:space="preserve"> 87, pp. 57-75.</w:t>
      </w:r>
    </w:p>
    <w:p w:rsidR="009319E3" w:rsidRDefault="00627AA8">
      <w:pPr>
        <w:jc w:val="both"/>
        <w:rPr>
          <w:rFonts w:eastAsia="Times New Roman"/>
          <w:b/>
          <w:color w:val="000000"/>
          <w:sz w:val="24"/>
          <w:szCs w:val="24"/>
        </w:rPr>
      </w:pPr>
      <w:proofErr w:type="spellStart"/>
      <w:r>
        <w:rPr>
          <w:rFonts w:eastAsia="Times New Roman"/>
          <w:b/>
          <w:color w:val="000000"/>
          <w:sz w:val="24"/>
          <w:szCs w:val="24"/>
        </w:rPr>
        <w:t>Jacke</w:t>
      </w:r>
      <w:proofErr w:type="spellEnd"/>
      <w:r>
        <w:rPr>
          <w:rFonts w:eastAsia="Times New Roman"/>
          <w:b/>
          <w:color w:val="000000"/>
          <w:sz w:val="24"/>
          <w:szCs w:val="24"/>
        </w:rPr>
        <w:t xml:space="preserve"> 2018</w:t>
      </w:r>
      <w:r>
        <w:rPr>
          <w:rFonts w:eastAsia="Times New Roman"/>
          <w:color w:val="000000"/>
          <w:sz w:val="24"/>
          <w:szCs w:val="24"/>
        </w:rPr>
        <w:tab/>
      </w:r>
      <w:proofErr w:type="spellStart"/>
      <w:r>
        <w:rPr>
          <w:rFonts w:eastAsia="Times New Roman"/>
          <w:color w:val="000000"/>
          <w:sz w:val="24"/>
          <w:szCs w:val="24"/>
        </w:rPr>
        <w:t>Jacke</w:t>
      </w:r>
      <w:proofErr w:type="spellEnd"/>
      <w:r>
        <w:rPr>
          <w:rFonts w:eastAsia="Times New Roman"/>
          <w:color w:val="000000"/>
          <w:sz w:val="24"/>
          <w:szCs w:val="24"/>
        </w:rPr>
        <w:t>, J. (2018). “</w:t>
      </w:r>
      <w:proofErr w:type="spellStart"/>
      <w:r>
        <w:rPr>
          <w:rFonts w:eastAsia="Times New Roman"/>
          <w:color w:val="000000"/>
          <w:sz w:val="24"/>
          <w:szCs w:val="24"/>
        </w:rPr>
        <w:t>Manuelle</w:t>
      </w:r>
      <w:proofErr w:type="spellEnd"/>
      <w:r>
        <w:rPr>
          <w:rFonts w:eastAsia="Times New Roman"/>
          <w:color w:val="000000"/>
          <w:sz w:val="24"/>
          <w:szCs w:val="24"/>
        </w:rPr>
        <w:t xml:space="preserve"> Annotation”, in </w:t>
      </w:r>
      <w:proofErr w:type="spellStart"/>
      <w:r>
        <w:rPr>
          <w:rFonts w:eastAsia="Times New Roman"/>
          <w:i/>
          <w:color w:val="000000"/>
          <w:sz w:val="24"/>
          <w:szCs w:val="24"/>
        </w:rPr>
        <w:t>forTEXT</w:t>
      </w:r>
      <w:proofErr w:type="spellEnd"/>
      <w:r>
        <w:rPr>
          <w:rFonts w:eastAsia="Times New Roman"/>
          <w:i/>
          <w:color w:val="000000"/>
          <w:sz w:val="24"/>
          <w:szCs w:val="24"/>
        </w:rPr>
        <w:t xml:space="preserve">. </w:t>
      </w:r>
      <w:proofErr w:type="spellStart"/>
      <w:r>
        <w:rPr>
          <w:rFonts w:eastAsia="Times New Roman"/>
          <w:i/>
          <w:color w:val="000000"/>
          <w:sz w:val="24"/>
          <w:szCs w:val="24"/>
        </w:rPr>
        <w:t>Litera</w:t>
      </w:r>
      <w:r>
        <w:rPr>
          <w:rFonts w:eastAsia="Times New Roman"/>
          <w:i/>
          <w:color w:val="000000"/>
          <w:sz w:val="24"/>
          <w:szCs w:val="24"/>
        </w:rPr>
        <w:t>tur</w:t>
      </w:r>
      <w:proofErr w:type="spellEnd"/>
      <w:r>
        <w:rPr>
          <w:rFonts w:eastAsia="Times New Roman"/>
          <w:i/>
          <w:color w:val="000000"/>
          <w:sz w:val="24"/>
          <w:szCs w:val="24"/>
        </w:rPr>
        <w:t xml:space="preserve"> digital </w:t>
      </w:r>
      <w:proofErr w:type="spellStart"/>
      <w:r>
        <w:rPr>
          <w:rFonts w:eastAsia="Times New Roman"/>
          <w:i/>
          <w:color w:val="000000"/>
          <w:sz w:val="24"/>
          <w:szCs w:val="24"/>
        </w:rPr>
        <w:t>erforschen</w:t>
      </w:r>
      <w:proofErr w:type="spellEnd"/>
      <w:r>
        <w:rPr>
          <w:rFonts w:eastAsia="Times New Roman"/>
          <w:color w:val="000000"/>
          <w:sz w:val="24"/>
          <w:szCs w:val="24"/>
        </w:rPr>
        <w:t xml:space="preserve">. </w:t>
      </w:r>
      <w:hyperlink r:id="rId21">
        <w:r>
          <w:rPr>
            <w:rFonts w:eastAsia="Times New Roman"/>
            <w:color w:val="000000"/>
            <w:sz w:val="24"/>
            <w:szCs w:val="24"/>
          </w:rPr>
          <w:t>http://fortext.net/routinen/methoden/manuelle-annotation</w:t>
        </w:r>
      </w:hyperlink>
      <w:r>
        <w:rPr>
          <w:rFonts w:eastAsia="Times New Roman"/>
          <w:color w:val="000000"/>
          <w:sz w:val="24"/>
          <w:szCs w:val="24"/>
        </w:rPr>
        <w:t>.</w:t>
      </w:r>
    </w:p>
    <w:p w:rsidR="009319E3" w:rsidRDefault="00627AA8">
      <w:pPr>
        <w:jc w:val="both"/>
        <w:rPr>
          <w:rFonts w:eastAsia="Times New Roman"/>
          <w:color w:val="000000"/>
          <w:sz w:val="24"/>
          <w:szCs w:val="24"/>
        </w:rPr>
      </w:pPr>
      <w:proofErr w:type="spellStart"/>
      <w:r>
        <w:rPr>
          <w:rFonts w:eastAsia="Times New Roman"/>
          <w:b/>
          <w:color w:val="000000"/>
          <w:sz w:val="24"/>
          <w:szCs w:val="24"/>
        </w:rPr>
        <w:t>Jänicke</w:t>
      </w:r>
      <w:proofErr w:type="spellEnd"/>
      <w:r>
        <w:rPr>
          <w:rFonts w:eastAsia="Times New Roman"/>
          <w:b/>
          <w:color w:val="000000"/>
          <w:sz w:val="24"/>
          <w:szCs w:val="24"/>
        </w:rPr>
        <w:t xml:space="preserve"> et al. 2015</w:t>
      </w:r>
      <w:r>
        <w:rPr>
          <w:rFonts w:eastAsia="Times New Roman"/>
          <w:color w:val="000000"/>
          <w:sz w:val="24"/>
          <w:szCs w:val="24"/>
        </w:rPr>
        <w:tab/>
      </w:r>
      <w:proofErr w:type="spellStart"/>
      <w:r>
        <w:rPr>
          <w:rFonts w:eastAsia="Times New Roman"/>
          <w:color w:val="000000"/>
          <w:sz w:val="24"/>
          <w:szCs w:val="24"/>
        </w:rPr>
        <w:t>Jänicke</w:t>
      </w:r>
      <w:proofErr w:type="spellEnd"/>
      <w:r>
        <w:rPr>
          <w:rFonts w:eastAsia="Times New Roman"/>
          <w:color w:val="000000"/>
          <w:sz w:val="24"/>
          <w:szCs w:val="24"/>
        </w:rPr>
        <w:t xml:space="preserve">, S., </w:t>
      </w:r>
      <w:proofErr w:type="spellStart"/>
      <w:r>
        <w:rPr>
          <w:rFonts w:eastAsia="Times New Roman"/>
          <w:color w:val="000000"/>
          <w:sz w:val="24"/>
          <w:szCs w:val="24"/>
        </w:rPr>
        <w:t>Franzini</w:t>
      </w:r>
      <w:proofErr w:type="spellEnd"/>
      <w:r>
        <w:rPr>
          <w:rFonts w:eastAsia="Times New Roman"/>
          <w:color w:val="000000"/>
          <w:sz w:val="24"/>
          <w:szCs w:val="24"/>
        </w:rPr>
        <w:t xml:space="preserve">, G., </w:t>
      </w:r>
      <w:proofErr w:type="spellStart"/>
      <w:r>
        <w:rPr>
          <w:rFonts w:eastAsia="Times New Roman"/>
          <w:color w:val="000000"/>
          <w:sz w:val="24"/>
          <w:szCs w:val="24"/>
        </w:rPr>
        <w:t>Scheuermann</w:t>
      </w:r>
      <w:proofErr w:type="spellEnd"/>
      <w:r>
        <w:rPr>
          <w:rFonts w:eastAsia="Times New Roman"/>
          <w:color w:val="000000"/>
          <w:sz w:val="24"/>
          <w:szCs w:val="24"/>
        </w:rPr>
        <w:t>, G., Cheema, M. S. (2015). "On Close an</w:t>
      </w:r>
      <w:r>
        <w:rPr>
          <w:rFonts w:eastAsia="Times New Roman"/>
          <w:color w:val="000000"/>
          <w:sz w:val="24"/>
          <w:szCs w:val="24"/>
        </w:rPr>
        <w:t xml:space="preserve">d Distant Reading in Digital Humanities: A Survey and Future Challenges", in </w:t>
      </w:r>
      <w:proofErr w:type="spellStart"/>
      <w:r>
        <w:rPr>
          <w:rFonts w:eastAsia="Times New Roman"/>
          <w:color w:val="000000"/>
          <w:sz w:val="24"/>
          <w:szCs w:val="24"/>
        </w:rPr>
        <w:t>Borgo</w:t>
      </w:r>
      <w:proofErr w:type="spellEnd"/>
      <w:r>
        <w:rPr>
          <w:rFonts w:eastAsia="Times New Roman"/>
          <w:color w:val="000000"/>
          <w:sz w:val="24"/>
          <w:szCs w:val="24"/>
        </w:rPr>
        <w:t xml:space="preserve">, R., </w:t>
      </w:r>
      <w:proofErr w:type="spellStart"/>
      <w:r>
        <w:rPr>
          <w:rFonts w:eastAsia="Times New Roman"/>
          <w:color w:val="000000"/>
          <w:sz w:val="24"/>
          <w:szCs w:val="24"/>
        </w:rPr>
        <w:t>Ganovelli</w:t>
      </w:r>
      <w:proofErr w:type="spellEnd"/>
      <w:r>
        <w:rPr>
          <w:rFonts w:eastAsia="Times New Roman"/>
          <w:color w:val="000000"/>
          <w:sz w:val="24"/>
          <w:szCs w:val="24"/>
        </w:rPr>
        <w:t xml:space="preserve"> F., and Viola I. (eds.) </w:t>
      </w:r>
      <w:proofErr w:type="spellStart"/>
      <w:r>
        <w:rPr>
          <w:rFonts w:eastAsia="Times New Roman"/>
          <w:i/>
          <w:color w:val="000000"/>
          <w:sz w:val="24"/>
          <w:szCs w:val="24"/>
        </w:rPr>
        <w:t>Eurographics</w:t>
      </w:r>
      <w:proofErr w:type="spellEnd"/>
      <w:r>
        <w:rPr>
          <w:rFonts w:eastAsia="Times New Roman"/>
          <w:i/>
          <w:color w:val="000000"/>
          <w:sz w:val="24"/>
          <w:szCs w:val="24"/>
        </w:rPr>
        <w:t xml:space="preserve"> Conference on Visualization</w:t>
      </w:r>
      <w:r>
        <w:rPr>
          <w:rFonts w:eastAsia="Times New Roman"/>
          <w:color w:val="000000"/>
          <w:sz w:val="24"/>
          <w:szCs w:val="24"/>
        </w:rPr>
        <w:t>.</w:t>
      </w:r>
    </w:p>
    <w:p w:rsidR="009319E3" w:rsidRDefault="00627AA8">
      <w:pPr>
        <w:jc w:val="both"/>
        <w:rPr>
          <w:rFonts w:eastAsia="Times New Roman"/>
          <w:color w:val="000000"/>
          <w:sz w:val="24"/>
          <w:szCs w:val="24"/>
        </w:rPr>
      </w:pPr>
      <w:proofErr w:type="spellStart"/>
      <w:r>
        <w:rPr>
          <w:rFonts w:eastAsia="Times New Roman"/>
          <w:b/>
          <w:color w:val="000000"/>
          <w:sz w:val="24"/>
          <w:szCs w:val="24"/>
        </w:rPr>
        <w:t>Jockers</w:t>
      </w:r>
      <w:proofErr w:type="spellEnd"/>
      <w:r>
        <w:rPr>
          <w:rFonts w:eastAsia="Times New Roman"/>
          <w:b/>
          <w:color w:val="000000"/>
          <w:sz w:val="24"/>
          <w:szCs w:val="24"/>
        </w:rPr>
        <w:t xml:space="preserve"> and Underwood 2016</w:t>
      </w:r>
      <w:r>
        <w:rPr>
          <w:rFonts w:eastAsia="Times New Roman"/>
          <w:color w:val="000000"/>
          <w:sz w:val="24"/>
          <w:szCs w:val="24"/>
        </w:rPr>
        <w:tab/>
      </w:r>
      <w:proofErr w:type="spellStart"/>
      <w:r>
        <w:rPr>
          <w:rFonts w:eastAsia="Times New Roman"/>
          <w:color w:val="000000"/>
          <w:sz w:val="24"/>
          <w:szCs w:val="24"/>
        </w:rPr>
        <w:t>Jockers</w:t>
      </w:r>
      <w:proofErr w:type="spellEnd"/>
      <w:r>
        <w:rPr>
          <w:rFonts w:eastAsia="Times New Roman"/>
          <w:color w:val="000000"/>
          <w:sz w:val="24"/>
          <w:szCs w:val="24"/>
        </w:rPr>
        <w:t>, M. L., Underwood, T. (2016). "Text-Mining the Humanities</w:t>
      </w:r>
      <w:r>
        <w:rPr>
          <w:rFonts w:eastAsia="Times New Roman"/>
          <w:color w:val="000000"/>
          <w:sz w:val="24"/>
          <w:szCs w:val="24"/>
        </w:rPr>
        <w:t xml:space="preserve">", in </w:t>
      </w:r>
      <w:proofErr w:type="spellStart"/>
      <w:r>
        <w:rPr>
          <w:rFonts w:eastAsia="Times New Roman"/>
          <w:color w:val="000000"/>
          <w:sz w:val="24"/>
          <w:szCs w:val="24"/>
        </w:rPr>
        <w:t>Schreibman</w:t>
      </w:r>
      <w:proofErr w:type="spellEnd"/>
      <w:r>
        <w:rPr>
          <w:rFonts w:eastAsia="Times New Roman"/>
          <w:color w:val="000000"/>
          <w:sz w:val="24"/>
          <w:szCs w:val="24"/>
        </w:rPr>
        <w:t xml:space="preserve">, S., Siemens, R., </w:t>
      </w:r>
      <w:proofErr w:type="spellStart"/>
      <w:r>
        <w:rPr>
          <w:rFonts w:eastAsia="Times New Roman"/>
          <w:color w:val="000000"/>
          <w:sz w:val="24"/>
          <w:szCs w:val="24"/>
        </w:rPr>
        <w:t>Unsworth</w:t>
      </w:r>
      <w:proofErr w:type="spellEnd"/>
      <w:r>
        <w:rPr>
          <w:rFonts w:eastAsia="Times New Roman"/>
          <w:color w:val="000000"/>
          <w:sz w:val="24"/>
          <w:szCs w:val="24"/>
        </w:rPr>
        <w:t xml:space="preserve">, J., (eds.) </w:t>
      </w:r>
      <w:proofErr w:type="gramStart"/>
      <w:r>
        <w:rPr>
          <w:rFonts w:eastAsia="Times New Roman"/>
          <w:i/>
          <w:color w:val="000000"/>
          <w:sz w:val="24"/>
          <w:szCs w:val="24"/>
        </w:rPr>
        <w:t>A</w:t>
      </w:r>
      <w:proofErr w:type="gramEnd"/>
      <w:r>
        <w:rPr>
          <w:rFonts w:eastAsia="Times New Roman"/>
          <w:i/>
          <w:color w:val="000000"/>
          <w:sz w:val="24"/>
          <w:szCs w:val="24"/>
        </w:rPr>
        <w:t xml:space="preserve"> new Companion to Digital Humanities</w:t>
      </w:r>
      <w:r>
        <w:rPr>
          <w:rFonts w:eastAsia="Times New Roman"/>
          <w:color w:val="000000"/>
          <w:sz w:val="24"/>
          <w:szCs w:val="24"/>
        </w:rPr>
        <w:t>, Malden: Wiley Blackwell, pp. 291-306.</w:t>
      </w:r>
    </w:p>
    <w:p w:rsidR="009319E3" w:rsidRDefault="00627AA8">
      <w:pPr>
        <w:jc w:val="both"/>
        <w:rPr>
          <w:rFonts w:eastAsia="Times New Roman"/>
          <w:color w:val="000000"/>
          <w:sz w:val="24"/>
          <w:szCs w:val="24"/>
        </w:rPr>
      </w:pPr>
      <w:proofErr w:type="spellStart"/>
      <w:r>
        <w:rPr>
          <w:rFonts w:eastAsia="Times New Roman"/>
          <w:b/>
          <w:color w:val="000000"/>
          <w:sz w:val="24"/>
          <w:szCs w:val="24"/>
        </w:rPr>
        <w:t>Marienberg-Milikowsky</w:t>
      </w:r>
      <w:proofErr w:type="spellEnd"/>
      <w:r>
        <w:rPr>
          <w:rFonts w:eastAsia="Times New Roman"/>
          <w:b/>
          <w:color w:val="000000"/>
          <w:sz w:val="24"/>
          <w:szCs w:val="24"/>
        </w:rPr>
        <w:t xml:space="preserve"> 2019</w:t>
      </w:r>
      <w:r>
        <w:rPr>
          <w:rFonts w:eastAsia="Times New Roman"/>
          <w:color w:val="000000"/>
          <w:sz w:val="24"/>
          <w:szCs w:val="24"/>
        </w:rPr>
        <w:tab/>
      </w:r>
      <w:proofErr w:type="spellStart"/>
      <w:r>
        <w:rPr>
          <w:rFonts w:eastAsia="Times New Roman"/>
          <w:color w:val="000000"/>
          <w:sz w:val="24"/>
          <w:szCs w:val="24"/>
        </w:rPr>
        <w:t>Marienberg-Milikowsky</w:t>
      </w:r>
      <w:proofErr w:type="spellEnd"/>
      <w:r>
        <w:rPr>
          <w:rFonts w:eastAsia="Times New Roman"/>
          <w:color w:val="000000"/>
          <w:sz w:val="24"/>
          <w:szCs w:val="24"/>
        </w:rPr>
        <w:t>, I. (2019). "Beyond Digitization: Digital Humanities and the Case of Hebre</w:t>
      </w:r>
      <w:r>
        <w:rPr>
          <w:rFonts w:eastAsia="Times New Roman"/>
          <w:color w:val="000000"/>
          <w:sz w:val="24"/>
          <w:szCs w:val="24"/>
        </w:rPr>
        <w:t xml:space="preserve">w Literature", in </w:t>
      </w:r>
      <w:r>
        <w:rPr>
          <w:rFonts w:eastAsia="Times New Roman"/>
          <w:i/>
          <w:color w:val="000000"/>
          <w:sz w:val="24"/>
          <w:szCs w:val="24"/>
        </w:rPr>
        <w:t>Digital Scholarship in the Humanities</w:t>
      </w:r>
      <w:r>
        <w:rPr>
          <w:rFonts w:eastAsia="Times New Roman"/>
          <w:color w:val="000000"/>
          <w:sz w:val="24"/>
          <w:szCs w:val="24"/>
        </w:rPr>
        <w:t xml:space="preserve"> 34:4, pp. 908-913.</w:t>
      </w:r>
    </w:p>
    <w:p w:rsidR="009319E3" w:rsidRDefault="00627AA8">
      <w:pPr>
        <w:jc w:val="both"/>
        <w:rPr>
          <w:rFonts w:eastAsia="Times New Roman"/>
          <w:color w:val="000000"/>
          <w:sz w:val="24"/>
          <w:szCs w:val="24"/>
        </w:rPr>
      </w:pPr>
      <w:proofErr w:type="spellStart"/>
      <w:r>
        <w:rPr>
          <w:rFonts w:eastAsia="Times New Roman"/>
          <w:b/>
          <w:color w:val="000000"/>
          <w:sz w:val="24"/>
          <w:szCs w:val="24"/>
        </w:rPr>
        <w:t>Marienberg-Milikowsky</w:t>
      </w:r>
      <w:proofErr w:type="spellEnd"/>
      <w:r>
        <w:rPr>
          <w:rFonts w:eastAsia="Times New Roman"/>
          <w:b/>
          <w:color w:val="000000"/>
          <w:sz w:val="24"/>
          <w:szCs w:val="24"/>
        </w:rPr>
        <w:t xml:space="preserve"> 2022</w:t>
      </w:r>
      <w:r>
        <w:rPr>
          <w:rFonts w:eastAsia="Times New Roman"/>
          <w:color w:val="000000"/>
          <w:sz w:val="24"/>
          <w:szCs w:val="24"/>
        </w:rPr>
        <w:tab/>
      </w:r>
      <w:proofErr w:type="spellStart"/>
      <w:r>
        <w:rPr>
          <w:rFonts w:eastAsia="Times New Roman"/>
          <w:color w:val="000000"/>
          <w:sz w:val="24"/>
          <w:szCs w:val="24"/>
        </w:rPr>
        <w:t>Marienberg-Milikowsky</w:t>
      </w:r>
      <w:proofErr w:type="spellEnd"/>
      <w:r>
        <w:rPr>
          <w:rFonts w:eastAsia="Times New Roman"/>
          <w:color w:val="000000"/>
          <w:sz w:val="24"/>
          <w:szCs w:val="24"/>
        </w:rPr>
        <w:t xml:space="preserve">, I. (2022). "It Functions, and that’s (almost) All: Tagging the Talmud", in </w:t>
      </w:r>
      <w:proofErr w:type="spellStart"/>
      <w:r>
        <w:rPr>
          <w:rFonts w:eastAsia="Times New Roman"/>
          <w:color w:val="000000"/>
          <w:sz w:val="24"/>
          <w:szCs w:val="24"/>
        </w:rPr>
        <w:t>Fiormonte</w:t>
      </w:r>
      <w:proofErr w:type="spellEnd"/>
      <w:r>
        <w:rPr>
          <w:rFonts w:eastAsia="Times New Roman"/>
          <w:color w:val="000000"/>
          <w:sz w:val="24"/>
          <w:szCs w:val="24"/>
        </w:rPr>
        <w:t xml:space="preserve">, D., </w:t>
      </w:r>
      <w:proofErr w:type="spellStart"/>
      <w:r>
        <w:rPr>
          <w:rFonts w:eastAsia="Times New Roman"/>
          <w:color w:val="000000"/>
          <w:sz w:val="24"/>
          <w:szCs w:val="24"/>
        </w:rPr>
        <w:t>Ricaurte</w:t>
      </w:r>
      <w:proofErr w:type="spellEnd"/>
      <w:r>
        <w:rPr>
          <w:rFonts w:eastAsia="Times New Roman"/>
          <w:color w:val="000000"/>
          <w:sz w:val="24"/>
          <w:szCs w:val="24"/>
        </w:rPr>
        <w:t xml:space="preserve">, P., </w:t>
      </w:r>
      <w:proofErr w:type="spellStart"/>
      <w:r>
        <w:rPr>
          <w:rFonts w:eastAsia="Times New Roman"/>
          <w:color w:val="000000"/>
          <w:sz w:val="24"/>
          <w:szCs w:val="24"/>
        </w:rPr>
        <w:t>Chahudhuri</w:t>
      </w:r>
      <w:proofErr w:type="spellEnd"/>
      <w:r>
        <w:rPr>
          <w:rFonts w:eastAsia="Times New Roman"/>
          <w:color w:val="000000"/>
          <w:sz w:val="24"/>
          <w:szCs w:val="24"/>
        </w:rPr>
        <w:t xml:space="preserve">, S. (eds.) </w:t>
      </w:r>
      <w:r>
        <w:rPr>
          <w:rFonts w:eastAsia="Times New Roman"/>
          <w:i/>
          <w:color w:val="000000"/>
          <w:sz w:val="24"/>
          <w:szCs w:val="24"/>
        </w:rPr>
        <w:t>Globa</w:t>
      </w:r>
      <w:r>
        <w:rPr>
          <w:rFonts w:eastAsia="Times New Roman"/>
          <w:i/>
          <w:color w:val="000000"/>
          <w:sz w:val="24"/>
          <w:szCs w:val="24"/>
        </w:rPr>
        <w:t>l Debates in the Digital Humanities</w:t>
      </w:r>
      <w:r>
        <w:rPr>
          <w:rFonts w:eastAsia="Times New Roman"/>
          <w:color w:val="000000"/>
          <w:sz w:val="24"/>
          <w:szCs w:val="24"/>
        </w:rPr>
        <w:t>, Minneapolis: University of Minnesota Press, pp. 141-150.</w:t>
      </w:r>
    </w:p>
    <w:p w:rsidR="009319E3" w:rsidRDefault="00627AA8">
      <w:pPr>
        <w:jc w:val="both"/>
        <w:rPr>
          <w:rFonts w:eastAsia="Times New Roman"/>
          <w:color w:val="000000"/>
          <w:sz w:val="24"/>
          <w:szCs w:val="24"/>
        </w:rPr>
      </w:pPr>
      <w:proofErr w:type="spellStart"/>
      <w:r>
        <w:rPr>
          <w:rFonts w:eastAsia="Times New Roman"/>
          <w:b/>
          <w:color w:val="000000"/>
          <w:sz w:val="24"/>
          <w:szCs w:val="24"/>
        </w:rPr>
        <w:t>Marienberg-Milikowsky</w:t>
      </w:r>
      <w:proofErr w:type="spellEnd"/>
      <w:r>
        <w:rPr>
          <w:rFonts w:eastAsia="Times New Roman"/>
          <w:b/>
          <w:color w:val="000000"/>
          <w:sz w:val="24"/>
          <w:szCs w:val="24"/>
        </w:rPr>
        <w:t xml:space="preserve"> et al. 2022</w:t>
      </w:r>
      <w:r>
        <w:rPr>
          <w:rFonts w:eastAsia="Times New Roman"/>
          <w:color w:val="000000"/>
          <w:sz w:val="24"/>
          <w:szCs w:val="24"/>
        </w:rPr>
        <w:tab/>
      </w:r>
      <w:proofErr w:type="spellStart"/>
      <w:r>
        <w:rPr>
          <w:rFonts w:eastAsia="Times New Roman"/>
          <w:color w:val="000000"/>
          <w:sz w:val="24"/>
          <w:szCs w:val="24"/>
        </w:rPr>
        <w:t>Marienberg-Milikowsky</w:t>
      </w:r>
      <w:proofErr w:type="spellEnd"/>
      <w:r>
        <w:rPr>
          <w:rFonts w:eastAsia="Times New Roman"/>
          <w:color w:val="000000"/>
          <w:sz w:val="24"/>
          <w:szCs w:val="24"/>
        </w:rPr>
        <w:t xml:space="preserve">, I., </w:t>
      </w:r>
      <w:proofErr w:type="spellStart"/>
      <w:r>
        <w:rPr>
          <w:rFonts w:eastAsia="Times New Roman"/>
          <w:color w:val="000000"/>
          <w:sz w:val="24"/>
          <w:szCs w:val="24"/>
        </w:rPr>
        <w:t>Vilenchik</w:t>
      </w:r>
      <w:proofErr w:type="spellEnd"/>
      <w:r>
        <w:rPr>
          <w:rFonts w:eastAsia="Times New Roman"/>
          <w:color w:val="000000"/>
          <w:sz w:val="24"/>
          <w:szCs w:val="24"/>
        </w:rPr>
        <w:t xml:space="preserve">, D., </w:t>
      </w:r>
      <w:proofErr w:type="spellStart"/>
      <w:r>
        <w:rPr>
          <w:rFonts w:eastAsia="Times New Roman"/>
          <w:color w:val="000000"/>
          <w:sz w:val="24"/>
          <w:szCs w:val="24"/>
        </w:rPr>
        <w:t>Krohn</w:t>
      </w:r>
      <w:proofErr w:type="spellEnd"/>
      <w:r>
        <w:rPr>
          <w:rFonts w:eastAsia="Times New Roman"/>
          <w:color w:val="000000"/>
          <w:sz w:val="24"/>
          <w:szCs w:val="24"/>
        </w:rPr>
        <w:t xml:space="preserve">, N., </w:t>
      </w:r>
      <w:proofErr w:type="spellStart"/>
      <w:r>
        <w:rPr>
          <w:rFonts w:eastAsia="Times New Roman"/>
          <w:color w:val="000000"/>
          <w:sz w:val="24"/>
          <w:szCs w:val="24"/>
        </w:rPr>
        <w:t>Kenzi</w:t>
      </w:r>
      <w:proofErr w:type="spellEnd"/>
      <w:r>
        <w:rPr>
          <w:rFonts w:eastAsia="Times New Roman"/>
          <w:color w:val="000000"/>
          <w:sz w:val="24"/>
          <w:szCs w:val="24"/>
        </w:rPr>
        <w:t xml:space="preserve">, K., </w:t>
      </w:r>
      <w:proofErr w:type="spellStart"/>
      <w:r>
        <w:rPr>
          <w:rFonts w:eastAsia="Times New Roman"/>
          <w:color w:val="000000"/>
          <w:sz w:val="24"/>
          <w:szCs w:val="24"/>
        </w:rPr>
        <w:t>Portnikh</w:t>
      </w:r>
      <w:proofErr w:type="spellEnd"/>
      <w:r>
        <w:rPr>
          <w:rFonts w:eastAsia="Times New Roman"/>
          <w:color w:val="000000"/>
          <w:sz w:val="24"/>
          <w:szCs w:val="24"/>
        </w:rPr>
        <w:t>, R. (2022) “An Experimental Undogmatic Modelling of (He</w:t>
      </w:r>
      <w:r>
        <w:rPr>
          <w:rFonts w:eastAsia="Times New Roman"/>
          <w:color w:val="000000"/>
          <w:sz w:val="24"/>
          <w:szCs w:val="24"/>
        </w:rPr>
        <w:t xml:space="preserve">brew) Literature: Philology, Literary Theory, and Computational Methods”, in </w:t>
      </w:r>
      <w:proofErr w:type="spellStart"/>
      <w:r>
        <w:rPr>
          <w:rFonts w:eastAsia="Times New Roman"/>
          <w:color w:val="000000"/>
          <w:sz w:val="24"/>
          <w:szCs w:val="24"/>
        </w:rPr>
        <w:t>Horstmann</w:t>
      </w:r>
      <w:proofErr w:type="spellEnd"/>
      <w:r>
        <w:rPr>
          <w:rFonts w:eastAsia="Times New Roman"/>
          <w:color w:val="000000"/>
          <w:sz w:val="24"/>
          <w:szCs w:val="24"/>
        </w:rPr>
        <w:t xml:space="preserve"> J., Fischer, F. (eds.) </w:t>
      </w:r>
      <w:r>
        <w:rPr>
          <w:rFonts w:eastAsia="Times New Roman"/>
          <w:i/>
          <w:color w:val="000000"/>
          <w:sz w:val="24"/>
          <w:szCs w:val="24"/>
        </w:rPr>
        <w:t xml:space="preserve">Digital Methods in Literary Studies - Special Issue of </w:t>
      </w:r>
      <w:proofErr w:type="spellStart"/>
      <w:r>
        <w:rPr>
          <w:rFonts w:eastAsia="Times New Roman"/>
          <w:i/>
          <w:color w:val="000000"/>
          <w:sz w:val="24"/>
          <w:szCs w:val="24"/>
        </w:rPr>
        <w:t>Textpraxis</w:t>
      </w:r>
      <w:proofErr w:type="spellEnd"/>
      <w:r>
        <w:rPr>
          <w:rFonts w:eastAsia="Times New Roman"/>
          <w:i/>
          <w:color w:val="000000"/>
          <w:sz w:val="24"/>
          <w:szCs w:val="24"/>
        </w:rPr>
        <w:t>. Digital Journal for Philology</w:t>
      </w:r>
      <w:r>
        <w:rPr>
          <w:rFonts w:eastAsia="Times New Roman"/>
          <w:color w:val="000000"/>
          <w:sz w:val="24"/>
          <w:szCs w:val="24"/>
        </w:rPr>
        <w:t xml:space="preserve"> 6.</w:t>
      </w:r>
    </w:p>
    <w:p w:rsidR="009319E3" w:rsidRDefault="00627AA8">
      <w:pPr>
        <w:jc w:val="both"/>
        <w:rPr>
          <w:rFonts w:eastAsia="Times New Roman"/>
          <w:color w:val="000000"/>
          <w:sz w:val="24"/>
          <w:szCs w:val="24"/>
        </w:rPr>
      </w:pPr>
      <w:r>
        <w:rPr>
          <w:rFonts w:eastAsia="Times New Roman"/>
          <w:b/>
          <w:color w:val="000000"/>
          <w:sz w:val="24"/>
          <w:szCs w:val="24"/>
        </w:rPr>
        <w:t>Meister 2014</w:t>
      </w:r>
      <w:r>
        <w:rPr>
          <w:rFonts w:eastAsia="Times New Roman"/>
          <w:color w:val="000000"/>
          <w:sz w:val="24"/>
          <w:szCs w:val="24"/>
        </w:rPr>
        <w:tab/>
        <w:t xml:space="preserve">Meister, J. C. (2014). “Toward a </w:t>
      </w:r>
      <w:r>
        <w:rPr>
          <w:rFonts w:eastAsia="Times New Roman"/>
          <w:color w:val="000000"/>
          <w:sz w:val="24"/>
          <w:szCs w:val="24"/>
        </w:rPr>
        <w:t xml:space="preserve">Computational Narratology,” in </w:t>
      </w:r>
      <w:proofErr w:type="spellStart"/>
      <w:r>
        <w:rPr>
          <w:rFonts w:eastAsia="Times New Roman"/>
          <w:color w:val="000000"/>
          <w:sz w:val="24"/>
          <w:szCs w:val="24"/>
        </w:rPr>
        <w:t>Maristella</w:t>
      </w:r>
      <w:proofErr w:type="spellEnd"/>
      <w:r>
        <w:rPr>
          <w:rFonts w:eastAsia="Times New Roman"/>
          <w:color w:val="000000"/>
          <w:sz w:val="24"/>
          <w:szCs w:val="24"/>
        </w:rPr>
        <w:t xml:space="preserve">, A., </w:t>
      </w:r>
      <w:proofErr w:type="spellStart"/>
      <w:r>
        <w:rPr>
          <w:rFonts w:eastAsia="Times New Roman"/>
          <w:color w:val="000000"/>
          <w:sz w:val="24"/>
          <w:szCs w:val="24"/>
        </w:rPr>
        <w:t>Tomasi</w:t>
      </w:r>
      <w:proofErr w:type="spellEnd"/>
      <w:r>
        <w:rPr>
          <w:rFonts w:eastAsia="Times New Roman"/>
          <w:color w:val="000000"/>
          <w:sz w:val="24"/>
          <w:szCs w:val="24"/>
        </w:rPr>
        <w:t xml:space="preserve">, F. (eds.) </w:t>
      </w:r>
      <w:r>
        <w:rPr>
          <w:rFonts w:eastAsia="Times New Roman"/>
          <w:i/>
          <w:color w:val="000000"/>
          <w:sz w:val="24"/>
          <w:szCs w:val="24"/>
        </w:rPr>
        <w:t xml:space="preserve">Collaborative </w:t>
      </w:r>
      <w:proofErr w:type="gramStart"/>
      <w:r>
        <w:rPr>
          <w:rFonts w:eastAsia="Times New Roman"/>
          <w:i/>
          <w:color w:val="000000"/>
          <w:sz w:val="24"/>
          <w:szCs w:val="24"/>
        </w:rPr>
        <w:t>Research:</w:t>
      </w:r>
      <w:proofErr w:type="gramEnd"/>
      <w:r>
        <w:rPr>
          <w:rFonts w:eastAsia="Times New Roman"/>
          <w:i/>
          <w:color w:val="000000"/>
          <w:sz w:val="24"/>
          <w:szCs w:val="24"/>
        </w:rPr>
        <w:t xml:space="preserve"> Practices and Shared Infrastructures for Humanities Computing</w:t>
      </w:r>
      <w:r>
        <w:rPr>
          <w:rFonts w:eastAsia="Times New Roman"/>
          <w:color w:val="000000"/>
          <w:sz w:val="24"/>
          <w:szCs w:val="24"/>
        </w:rPr>
        <w:t xml:space="preserve">, </w:t>
      </w:r>
      <w:proofErr w:type="spellStart"/>
      <w:r>
        <w:rPr>
          <w:rFonts w:eastAsia="Times New Roman"/>
          <w:color w:val="000000"/>
          <w:sz w:val="24"/>
          <w:szCs w:val="24"/>
        </w:rPr>
        <w:t>Padova</w:t>
      </w:r>
      <w:proofErr w:type="spellEnd"/>
      <w:r>
        <w:rPr>
          <w:rFonts w:eastAsia="Times New Roman"/>
          <w:color w:val="000000"/>
          <w:sz w:val="24"/>
          <w:szCs w:val="24"/>
        </w:rPr>
        <w:t>: CLEUP, pp. 17–36.</w:t>
      </w:r>
    </w:p>
    <w:p w:rsidR="009319E3" w:rsidRDefault="00627AA8">
      <w:pPr>
        <w:jc w:val="both"/>
        <w:rPr>
          <w:rFonts w:eastAsia="Times New Roman"/>
          <w:b/>
          <w:color w:val="000000"/>
          <w:sz w:val="24"/>
          <w:szCs w:val="24"/>
        </w:rPr>
      </w:pPr>
      <w:proofErr w:type="spellStart"/>
      <w:r>
        <w:rPr>
          <w:rFonts w:eastAsia="Times New Roman"/>
          <w:b/>
          <w:color w:val="000000"/>
          <w:sz w:val="24"/>
          <w:szCs w:val="24"/>
          <w:lang w:val="es-ES"/>
        </w:rPr>
        <w:t>Münz-Manor</w:t>
      </w:r>
      <w:proofErr w:type="spellEnd"/>
      <w:r>
        <w:rPr>
          <w:rFonts w:eastAsia="Times New Roman"/>
          <w:b/>
          <w:color w:val="000000"/>
          <w:sz w:val="24"/>
          <w:szCs w:val="24"/>
          <w:lang w:val="es-ES"/>
        </w:rPr>
        <w:t xml:space="preserve"> 2006a</w:t>
      </w:r>
      <w:r>
        <w:rPr>
          <w:rFonts w:eastAsia="Times New Roman"/>
          <w:b/>
          <w:color w:val="000000"/>
          <w:sz w:val="24"/>
          <w:szCs w:val="24"/>
          <w:lang w:val="es-ES"/>
        </w:rPr>
        <w:tab/>
      </w:r>
      <w:proofErr w:type="spellStart"/>
      <w:r>
        <w:rPr>
          <w:rFonts w:eastAsia="Times New Roman"/>
          <w:color w:val="000000"/>
          <w:sz w:val="24"/>
          <w:szCs w:val="24"/>
          <w:lang w:val="es-ES"/>
        </w:rPr>
        <w:t>Münz-Manor</w:t>
      </w:r>
      <w:proofErr w:type="spellEnd"/>
      <w:r>
        <w:rPr>
          <w:rFonts w:eastAsia="Times New Roman"/>
          <w:color w:val="000000"/>
          <w:sz w:val="24"/>
          <w:szCs w:val="24"/>
          <w:lang w:val="es-ES"/>
        </w:rPr>
        <w:t xml:space="preserve">, O. (2006). </w:t>
      </w:r>
      <w:r>
        <w:rPr>
          <w:rFonts w:eastAsia="Times New Roman"/>
          <w:color w:val="000000"/>
          <w:sz w:val="24"/>
          <w:szCs w:val="24"/>
        </w:rPr>
        <w:t>“</w:t>
      </w:r>
      <w:r>
        <w:rPr>
          <w:rFonts w:eastAsia="Times New Roman"/>
          <w:i/>
          <w:color w:val="000000"/>
          <w:sz w:val="24"/>
          <w:szCs w:val="24"/>
        </w:rPr>
        <w:t xml:space="preserve">Studies in Figurative Language of </w:t>
      </w:r>
      <w:r>
        <w:rPr>
          <w:rFonts w:eastAsia="Times New Roman"/>
          <w:i/>
          <w:color w:val="000000"/>
          <w:sz w:val="24"/>
          <w:szCs w:val="24"/>
        </w:rPr>
        <w:t xml:space="preserve">Pre-Classical </w:t>
      </w:r>
      <w:proofErr w:type="spellStart"/>
      <w:r>
        <w:rPr>
          <w:rFonts w:eastAsia="Times New Roman"/>
          <w:i/>
          <w:color w:val="000000"/>
          <w:sz w:val="24"/>
          <w:szCs w:val="24"/>
        </w:rPr>
        <w:t>Piyyut</w:t>
      </w:r>
      <w:proofErr w:type="spellEnd"/>
      <w:r>
        <w:rPr>
          <w:rFonts w:eastAsia="Times New Roman"/>
          <w:color w:val="000000"/>
          <w:sz w:val="24"/>
          <w:szCs w:val="24"/>
        </w:rPr>
        <w:t>,” PhD diss., Jerusalem: Hebrew University of Jerusalem.</w:t>
      </w:r>
    </w:p>
    <w:p w:rsidR="009319E3" w:rsidRDefault="00627AA8">
      <w:pPr>
        <w:ind w:right="-380"/>
        <w:jc w:val="both"/>
        <w:rPr>
          <w:rFonts w:eastAsia="Times New Roman"/>
          <w:b/>
          <w:color w:val="000000"/>
          <w:sz w:val="24"/>
          <w:szCs w:val="24"/>
        </w:rPr>
      </w:pPr>
      <w:proofErr w:type="spellStart"/>
      <w:r>
        <w:rPr>
          <w:rFonts w:eastAsia="Times New Roman"/>
          <w:b/>
          <w:color w:val="000000"/>
          <w:sz w:val="24"/>
          <w:szCs w:val="24"/>
          <w:lang w:val="es-ES"/>
        </w:rPr>
        <w:t>Münz-Manor</w:t>
      </w:r>
      <w:proofErr w:type="spellEnd"/>
      <w:r>
        <w:rPr>
          <w:rFonts w:eastAsia="Times New Roman"/>
          <w:b/>
          <w:color w:val="000000"/>
          <w:sz w:val="24"/>
          <w:szCs w:val="24"/>
          <w:lang w:val="es-ES"/>
        </w:rPr>
        <w:t xml:space="preserve"> 2006b</w:t>
      </w:r>
      <w:r>
        <w:rPr>
          <w:rFonts w:eastAsia="Times New Roman"/>
          <w:b/>
          <w:color w:val="000000"/>
          <w:sz w:val="24"/>
          <w:szCs w:val="24"/>
          <w:lang w:val="es-ES"/>
        </w:rPr>
        <w:tab/>
      </w:r>
      <w:proofErr w:type="spellStart"/>
      <w:r>
        <w:rPr>
          <w:rFonts w:eastAsia="Times New Roman"/>
          <w:color w:val="000000"/>
          <w:sz w:val="24"/>
          <w:szCs w:val="24"/>
          <w:lang w:val="es-ES"/>
        </w:rPr>
        <w:t>Münz-Manor</w:t>
      </w:r>
      <w:proofErr w:type="spellEnd"/>
      <w:r>
        <w:rPr>
          <w:rFonts w:eastAsia="Times New Roman"/>
          <w:color w:val="000000"/>
          <w:sz w:val="24"/>
          <w:szCs w:val="24"/>
          <w:lang w:val="es-ES"/>
        </w:rPr>
        <w:t xml:space="preserve">, O. (2006). </w:t>
      </w:r>
      <w:r>
        <w:rPr>
          <w:rFonts w:eastAsia="Times New Roman"/>
          <w:color w:val="000000"/>
          <w:sz w:val="24"/>
          <w:szCs w:val="24"/>
        </w:rPr>
        <w:t xml:space="preserve">“Structural Ornamentations and Figurative Language in the Ancient </w:t>
      </w:r>
      <w:proofErr w:type="spellStart"/>
      <w:r>
        <w:rPr>
          <w:rFonts w:eastAsia="Times New Roman"/>
          <w:color w:val="000000"/>
          <w:sz w:val="24"/>
          <w:szCs w:val="24"/>
        </w:rPr>
        <w:t>Piyyut</w:t>
      </w:r>
      <w:proofErr w:type="spellEnd"/>
      <w:r>
        <w:rPr>
          <w:rFonts w:eastAsia="Times New Roman"/>
          <w:color w:val="000000"/>
          <w:sz w:val="24"/>
          <w:szCs w:val="24"/>
        </w:rPr>
        <w:t xml:space="preserve">,” in </w:t>
      </w:r>
      <w:r>
        <w:rPr>
          <w:rFonts w:eastAsia="Times New Roman"/>
          <w:i/>
          <w:color w:val="000000"/>
          <w:sz w:val="24"/>
          <w:szCs w:val="24"/>
        </w:rPr>
        <w:t xml:space="preserve">Jerusalem Studies in Hebrew Literature </w:t>
      </w:r>
      <w:r>
        <w:rPr>
          <w:rFonts w:eastAsia="Times New Roman"/>
          <w:color w:val="000000"/>
          <w:sz w:val="24"/>
          <w:szCs w:val="24"/>
        </w:rPr>
        <w:t>21, pp.19–38 (Hebrew).</w:t>
      </w:r>
    </w:p>
    <w:p w:rsidR="009319E3" w:rsidRDefault="00627AA8">
      <w:pPr>
        <w:ind w:right="-380"/>
        <w:jc w:val="both"/>
        <w:rPr>
          <w:rFonts w:eastAsia="Times New Roman"/>
          <w:b/>
          <w:color w:val="000000"/>
          <w:sz w:val="24"/>
          <w:szCs w:val="24"/>
        </w:rPr>
      </w:pPr>
      <w:proofErr w:type="spellStart"/>
      <w:r>
        <w:rPr>
          <w:rFonts w:eastAsia="Times New Roman"/>
          <w:b/>
          <w:color w:val="000000"/>
          <w:sz w:val="24"/>
          <w:szCs w:val="24"/>
          <w:lang w:val="es-ES"/>
        </w:rPr>
        <w:lastRenderedPageBreak/>
        <w:t>Münz-Manor</w:t>
      </w:r>
      <w:proofErr w:type="spellEnd"/>
      <w:r>
        <w:rPr>
          <w:rFonts w:eastAsia="Times New Roman"/>
          <w:b/>
          <w:color w:val="000000"/>
          <w:sz w:val="24"/>
          <w:szCs w:val="24"/>
          <w:lang w:val="es-ES"/>
        </w:rPr>
        <w:t xml:space="preserve"> 2009</w:t>
      </w:r>
      <w:r>
        <w:rPr>
          <w:rFonts w:eastAsia="Times New Roman"/>
          <w:b/>
          <w:color w:val="000000"/>
          <w:sz w:val="24"/>
          <w:szCs w:val="24"/>
          <w:lang w:val="es-ES"/>
        </w:rPr>
        <w:tab/>
      </w:r>
      <w:proofErr w:type="spellStart"/>
      <w:r>
        <w:rPr>
          <w:rFonts w:eastAsia="Times New Roman"/>
          <w:color w:val="000000"/>
          <w:sz w:val="24"/>
          <w:szCs w:val="24"/>
          <w:lang w:val="es-ES"/>
        </w:rPr>
        <w:t>Münz-Manor</w:t>
      </w:r>
      <w:proofErr w:type="spellEnd"/>
      <w:r>
        <w:rPr>
          <w:rFonts w:eastAsia="Times New Roman"/>
          <w:color w:val="000000"/>
          <w:sz w:val="24"/>
          <w:szCs w:val="24"/>
          <w:lang w:val="es-ES"/>
        </w:rPr>
        <w:t xml:space="preserve">, O. (2009). </w:t>
      </w:r>
      <w:r>
        <w:rPr>
          <w:rFonts w:eastAsia="Times New Roman"/>
          <w:color w:val="000000"/>
          <w:sz w:val="24"/>
          <w:szCs w:val="24"/>
        </w:rPr>
        <w:t xml:space="preserve">“'As the Apple Among Fruits, so the Priest When He Emerges': Poetic </w:t>
      </w:r>
      <w:proofErr w:type="spellStart"/>
      <w:r>
        <w:rPr>
          <w:rFonts w:eastAsia="Times New Roman"/>
          <w:color w:val="000000"/>
          <w:sz w:val="24"/>
          <w:szCs w:val="24"/>
        </w:rPr>
        <w:t>Similies</w:t>
      </w:r>
      <w:proofErr w:type="spellEnd"/>
      <w:r>
        <w:rPr>
          <w:rFonts w:eastAsia="Times New Roman"/>
          <w:color w:val="000000"/>
          <w:sz w:val="24"/>
          <w:szCs w:val="24"/>
        </w:rPr>
        <w:t xml:space="preserve"> in Pre-Classical Poems of the 'How Lovely' Genre,” in </w:t>
      </w:r>
      <w:proofErr w:type="spellStart"/>
      <w:r>
        <w:rPr>
          <w:rFonts w:eastAsia="Times New Roman"/>
          <w:i/>
          <w:color w:val="000000"/>
          <w:sz w:val="24"/>
          <w:szCs w:val="24"/>
        </w:rPr>
        <w:t>Ginzei</w:t>
      </w:r>
      <w:proofErr w:type="spellEnd"/>
      <w:r>
        <w:rPr>
          <w:rFonts w:eastAsia="Times New Roman"/>
          <w:i/>
          <w:color w:val="000000"/>
          <w:sz w:val="24"/>
          <w:szCs w:val="24"/>
        </w:rPr>
        <w:t xml:space="preserve"> </w:t>
      </w:r>
      <w:proofErr w:type="spellStart"/>
      <w:r>
        <w:rPr>
          <w:rFonts w:eastAsia="Times New Roman"/>
          <w:i/>
          <w:color w:val="000000"/>
          <w:sz w:val="24"/>
          <w:szCs w:val="24"/>
        </w:rPr>
        <w:t>Qedem</w:t>
      </w:r>
      <w:proofErr w:type="spellEnd"/>
      <w:r>
        <w:rPr>
          <w:rFonts w:eastAsia="Times New Roman"/>
          <w:i/>
          <w:color w:val="000000"/>
          <w:sz w:val="24"/>
          <w:szCs w:val="24"/>
        </w:rPr>
        <w:t xml:space="preserve"> </w:t>
      </w:r>
      <w:r>
        <w:rPr>
          <w:rFonts w:eastAsia="Times New Roman"/>
          <w:color w:val="000000"/>
          <w:sz w:val="24"/>
          <w:szCs w:val="24"/>
        </w:rPr>
        <w:t xml:space="preserve">- </w:t>
      </w:r>
      <w:proofErr w:type="spellStart"/>
      <w:r>
        <w:rPr>
          <w:rFonts w:eastAsia="Times New Roman"/>
          <w:i/>
          <w:color w:val="000000"/>
          <w:sz w:val="24"/>
          <w:szCs w:val="24"/>
        </w:rPr>
        <w:t>Genizah</w:t>
      </w:r>
      <w:proofErr w:type="spellEnd"/>
      <w:r>
        <w:rPr>
          <w:rFonts w:eastAsia="Times New Roman"/>
          <w:i/>
          <w:color w:val="000000"/>
          <w:sz w:val="24"/>
          <w:szCs w:val="24"/>
        </w:rPr>
        <w:t xml:space="preserve"> Research Annual </w:t>
      </w:r>
      <w:r>
        <w:rPr>
          <w:rFonts w:eastAsia="Times New Roman"/>
          <w:color w:val="000000"/>
          <w:sz w:val="24"/>
          <w:szCs w:val="24"/>
        </w:rPr>
        <w:t>5, pp. 165-188 (Hebrew).</w:t>
      </w:r>
    </w:p>
    <w:p w:rsidR="009319E3" w:rsidRDefault="00627AA8">
      <w:pPr>
        <w:keepNext/>
        <w:jc w:val="both"/>
        <w:rPr>
          <w:rFonts w:eastAsia="Times New Roman"/>
          <w:color w:val="000000"/>
          <w:sz w:val="24"/>
          <w:szCs w:val="24"/>
        </w:rPr>
      </w:pPr>
      <w:proofErr w:type="spellStart"/>
      <w:r>
        <w:rPr>
          <w:rFonts w:eastAsia="Times New Roman"/>
          <w:b/>
          <w:color w:val="000000"/>
          <w:sz w:val="24"/>
          <w:szCs w:val="24"/>
          <w:lang w:val="es-ES"/>
        </w:rPr>
        <w:t>Münz-Manor</w:t>
      </w:r>
      <w:proofErr w:type="spellEnd"/>
      <w:r>
        <w:rPr>
          <w:rFonts w:eastAsia="Times New Roman"/>
          <w:b/>
          <w:color w:val="000000"/>
          <w:sz w:val="24"/>
          <w:szCs w:val="24"/>
          <w:lang w:val="es-ES"/>
        </w:rPr>
        <w:t xml:space="preserve"> 2011</w:t>
      </w:r>
      <w:r>
        <w:rPr>
          <w:rFonts w:eastAsia="Times New Roman"/>
          <w:color w:val="000000"/>
          <w:sz w:val="24"/>
          <w:szCs w:val="24"/>
          <w:lang w:val="es-ES"/>
        </w:rPr>
        <w:tab/>
      </w:r>
      <w:proofErr w:type="spellStart"/>
      <w:r>
        <w:rPr>
          <w:rFonts w:eastAsia="Times New Roman"/>
          <w:color w:val="000000"/>
          <w:sz w:val="24"/>
          <w:szCs w:val="24"/>
          <w:lang w:val="es-ES"/>
        </w:rPr>
        <w:t>Münz-</w:t>
      </w:r>
      <w:r>
        <w:rPr>
          <w:rFonts w:eastAsia="Times New Roman"/>
          <w:color w:val="000000"/>
          <w:sz w:val="24"/>
          <w:szCs w:val="24"/>
          <w:lang w:val="es-ES"/>
        </w:rPr>
        <w:t>Manor</w:t>
      </w:r>
      <w:proofErr w:type="spellEnd"/>
      <w:r>
        <w:rPr>
          <w:rFonts w:eastAsia="Times New Roman"/>
          <w:color w:val="000000"/>
          <w:sz w:val="24"/>
          <w:szCs w:val="24"/>
          <w:lang w:val="es-ES"/>
        </w:rPr>
        <w:t xml:space="preserve">, O. (2011). </w:t>
      </w:r>
      <w:r>
        <w:rPr>
          <w:rFonts w:eastAsia="Times New Roman"/>
          <w:color w:val="000000"/>
          <w:sz w:val="24"/>
          <w:szCs w:val="24"/>
        </w:rPr>
        <w:t xml:space="preserve">“Figurative Language in Early </w:t>
      </w:r>
      <w:proofErr w:type="spellStart"/>
      <w:r>
        <w:rPr>
          <w:rFonts w:eastAsia="Times New Roman"/>
          <w:color w:val="000000"/>
          <w:sz w:val="24"/>
          <w:szCs w:val="24"/>
        </w:rPr>
        <w:t>Piyyut</w:t>
      </w:r>
      <w:proofErr w:type="spellEnd"/>
      <w:r>
        <w:rPr>
          <w:rFonts w:eastAsia="Times New Roman"/>
          <w:color w:val="000000"/>
          <w:sz w:val="24"/>
          <w:szCs w:val="24"/>
        </w:rPr>
        <w:t xml:space="preserve">,” in Katsumata, N., van </w:t>
      </w:r>
      <w:proofErr w:type="spellStart"/>
      <w:r>
        <w:rPr>
          <w:rFonts w:eastAsia="Times New Roman"/>
          <w:color w:val="000000"/>
          <w:sz w:val="24"/>
          <w:szCs w:val="24"/>
        </w:rPr>
        <w:t>Bekkum</w:t>
      </w:r>
      <w:proofErr w:type="spellEnd"/>
      <w:r>
        <w:rPr>
          <w:rFonts w:eastAsia="Times New Roman"/>
          <w:color w:val="000000"/>
          <w:sz w:val="24"/>
          <w:szCs w:val="24"/>
        </w:rPr>
        <w:t xml:space="preserve">, W. (eds.) </w:t>
      </w:r>
      <w:r>
        <w:rPr>
          <w:rFonts w:eastAsia="Times New Roman"/>
          <w:i/>
          <w:color w:val="000000"/>
          <w:sz w:val="24"/>
          <w:szCs w:val="24"/>
        </w:rPr>
        <w:t xml:space="preserve">Giving a Diamond: Essays in Honor of Joseph </w:t>
      </w:r>
      <w:proofErr w:type="spellStart"/>
      <w:r>
        <w:rPr>
          <w:rFonts w:eastAsia="Times New Roman"/>
          <w:i/>
          <w:color w:val="000000"/>
          <w:sz w:val="24"/>
          <w:szCs w:val="24"/>
        </w:rPr>
        <w:t>Yahalom</w:t>
      </w:r>
      <w:proofErr w:type="spellEnd"/>
      <w:r>
        <w:rPr>
          <w:rFonts w:eastAsia="Times New Roman"/>
          <w:i/>
          <w:color w:val="000000"/>
          <w:sz w:val="24"/>
          <w:szCs w:val="24"/>
        </w:rPr>
        <w:t xml:space="preserve"> on the Occasion of His Seventieth Birthday</w:t>
      </w:r>
      <w:r>
        <w:rPr>
          <w:rFonts w:eastAsia="Times New Roman"/>
          <w:color w:val="000000"/>
          <w:sz w:val="24"/>
          <w:szCs w:val="24"/>
        </w:rPr>
        <w:t>, Leiden: Brill, pp. 51–68.</w:t>
      </w:r>
    </w:p>
    <w:p w:rsidR="009319E3" w:rsidRDefault="00627AA8">
      <w:pPr>
        <w:ind w:right="-380"/>
        <w:jc w:val="both"/>
        <w:rPr>
          <w:rFonts w:eastAsia="Times New Roman"/>
          <w:color w:val="000000"/>
          <w:sz w:val="24"/>
          <w:szCs w:val="24"/>
        </w:rPr>
      </w:pPr>
      <w:proofErr w:type="spellStart"/>
      <w:r>
        <w:rPr>
          <w:rFonts w:eastAsia="Times New Roman"/>
          <w:b/>
          <w:color w:val="000000"/>
          <w:sz w:val="24"/>
          <w:szCs w:val="24"/>
          <w:lang w:val="es-ES"/>
        </w:rPr>
        <w:t>Münz-Manor</w:t>
      </w:r>
      <w:proofErr w:type="spellEnd"/>
      <w:r>
        <w:rPr>
          <w:rFonts w:eastAsia="Times New Roman"/>
          <w:b/>
          <w:color w:val="000000"/>
          <w:sz w:val="24"/>
          <w:szCs w:val="24"/>
          <w:lang w:val="es-ES"/>
        </w:rPr>
        <w:t xml:space="preserve"> 2016</w:t>
      </w:r>
      <w:r>
        <w:rPr>
          <w:rFonts w:eastAsia="Times New Roman"/>
          <w:b/>
          <w:color w:val="000000"/>
          <w:sz w:val="24"/>
          <w:szCs w:val="24"/>
          <w:lang w:val="es-ES"/>
        </w:rPr>
        <w:tab/>
      </w:r>
      <w:proofErr w:type="spellStart"/>
      <w:r>
        <w:rPr>
          <w:rFonts w:eastAsia="Times New Roman"/>
          <w:color w:val="000000"/>
          <w:sz w:val="24"/>
          <w:szCs w:val="24"/>
          <w:lang w:val="es-ES"/>
        </w:rPr>
        <w:t>Münz-Manor</w:t>
      </w:r>
      <w:proofErr w:type="spellEnd"/>
      <w:r>
        <w:rPr>
          <w:rFonts w:eastAsia="Times New Roman"/>
          <w:color w:val="000000"/>
          <w:sz w:val="24"/>
          <w:szCs w:val="24"/>
          <w:lang w:val="es-ES"/>
        </w:rPr>
        <w:t>, O. (2016)</w:t>
      </w:r>
      <w:r>
        <w:rPr>
          <w:rFonts w:eastAsia="Times New Roman"/>
          <w:color w:val="000000"/>
          <w:sz w:val="24"/>
          <w:szCs w:val="24"/>
          <w:lang w:val="es-ES"/>
        </w:rPr>
        <w:t xml:space="preserve">. </w:t>
      </w:r>
      <w:r>
        <w:rPr>
          <w:rFonts w:eastAsia="Times New Roman"/>
          <w:color w:val="000000"/>
          <w:sz w:val="24"/>
          <w:szCs w:val="24"/>
        </w:rPr>
        <w:t xml:space="preserve">“The </w:t>
      </w:r>
      <w:proofErr w:type="spellStart"/>
      <w:r>
        <w:rPr>
          <w:rFonts w:eastAsia="Times New Roman"/>
          <w:color w:val="000000"/>
          <w:sz w:val="24"/>
          <w:szCs w:val="24"/>
        </w:rPr>
        <w:t>Payytanic</w:t>
      </w:r>
      <w:proofErr w:type="spellEnd"/>
      <w:r>
        <w:rPr>
          <w:rFonts w:eastAsia="Times New Roman"/>
          <w:color w:val="000000"/>
          <w:sz w:val="24"/>
          <w:szCs w:val="24"/>
        </w:rPr>
        <w:t xml:space="preserve"> Epithet and its Connections with Figurative Language,” in </w:t>
      </w:r>
      <w:r>
        <w:rPr>
          <w:rFonts w:eastAsia="Times New Roman"/>
          <w:i/>
          <w:color w:val="000000"/>
          <w:sz w:val="24"/>
          <w:szCs w:val="24"/>
        </w:rPr>
        <w:t>Jerusalem Studies in Hebrew Literature 28</w:t>
      </w:r>
      <w:r>
        <w:rPr>
          <w:rFonts w:eastAsia="Times New Roman"/>
          <w:color w:val="000000"/>
          <w:sz w:val="24"/>
          <w:szCs w:val="24"/>
        </w:rPr>
        <w:t>, pp. 93-112 (Hebrew).</w:t>
      </w:r>
    </w:p>
    <w:p w:rsidR="009319E3" w:rsidRDefault="00627AA8">
      <w:pPr>
        <w:ind w:right="-380"/>
        <w:jc w:val="both"/>
        <w:rPr>
          <w:rFonts w:eastAsia="Times New Roman"/>
          <w:color w:val="000000"/>
          <w:sz w:val="24"/>
          <w:szCs w:val="24"/>
        </w:rPr>
      </w:pPr>
      <w:proofErr w:type="spellStart"/>
      <w:r>
        <w:rPr>
          <w:rFonts w:eastAsia="Times New Roman"/>
          <w:b/>
          <w:color w:val="000000"/>
          <w:sz w:val="24"/>
          <w:szCs w:val="24"/>
          <w:lang w:val="es-ES"/>
        </w:rPr>
        <w:t>Münz-Manor</w:t>
      </w:r>
      <w:proofErr w:type="spellEnd"/>
      <w:r>
        <w:rPr>
          <w:rFonts w:eastAsia="Times New Roman"/>
          <w:b/>
          <w:color w:val="000000"/>
          <w:sz w:val="24"/>
          <w:szCs w:val="24"/>
          <w:lang w:val="es-ES"/>
        </w:rPr>
        <w:t xml:space="preserve"> 2022</w:t>
      </w:r>
      <w:r>
        <w:rPr>
          <w:rFonts w:eastAsia="Times New Roman"/>
          <w:b/>
          <w:color w:val="000000"/>
          <w:sz w:val="24"/>
          <w:szCs w:val="24"/>
          <w:lang w:val="es-ES"/>
        </w:rPr>
        <w:tab/>
      </w:r>
      <w:proofErr w:type="spellStart"/>
      <w:r>
        <w:rPr>
          <w:rFonts w:eastAsia="Times New Roman"/>
          <w:color w:val="000000"/>
          <w:sz w:val="24"/>
          <w:szCs w:val="24"/>
          <w:lang w:val="es-ES"/>
        </w:rPr>
        <w:t>Münz-Manor</w:t>
      </w:r>
      <w:proofErr w:type="spellEnd"/>
      <w:r>
        <w:rPr>
          <w:rFonts w:eastAsia="Times New Roman"/>
          <w:color w:val="000000"/>
          <w:sz w:val="24"/>
          <w:szCs w:val="24"/>
          <w:lang w:val="es-ES"/>
        </w:rPr>
        <w:t xml:space="preserve">, O. (2022). </w:t>
      </w:r>
      <w:r>
        <w:rPr>
          <w:rFonts w:eastAsia="Times New Roman"/>
          <w:color w:val="000000"/>
          <w:sz w:val="24"/>
          <w:szCs w:val="24"/>
        </w:rPr>
        <w:t xml:space="preserve">“Quantifying </w:t>
      </w:r>
      <w:proofErr w:type="spellStart"/>
      <w:r>
        <w:rPr>
          <w:rFonts w:eastAsia="Times New Roman"/>
          <w:color w:val="000000"/>
          <w:sz w:val="24"/>
          <w:szCs w:val="24"/>
        </w:rPr>
        <w:t>Piyyut</w:t>
      </w:r>
      <w:proofErr w:type="spellEnd"/>
      <w:r>
        <w:rPr>
          <w:rFonts w:eastAsia="Times New Roman"/>
          <w:color w:val="000000"/>
          <w:sz w:val="24"/>
          <w:szCs w:val="24"/>
        </w:rPr>
        <w:t xml:space="preserve">: Computerized Explorations of Ancient Hebrew Poetry,” in </w:t>
      </w:r>
      <w:r>
        <w:rPr>
          <w:rFonts w:eastAsia="Times New Roman"/>
          <w:i/>
          <w:color w:val="000000"/>
          <w:sz w:val="24"/>
          <w:szCs w:val="24"/>
        </w:rPr>
        <w:t>J</w:t>
      </w:r>
      <w:r>
        <w:rPr>
          <w:rFonts w:eastAsia="Times New Roman"/>
          <w:i/>
          <w:color w:val="000000"/>
          <w:sz w:val="24"/>
          <w:szCs w:val="24"/>
        </w:rPr>
        <w:t>ewish Studies Quarterly</w:t>
      </w:r>
      <w:r>
        <w:rPr>
          <w:rFonts w:eastAsia="Times New Roman"/>
          <w:color w:val="000000"/>
          <w:sz w:val="24"/>
          <w:szCs w:val="24"/>
        </w:rPr>
        <w:t xml:space="preserve"> 29, pp. 370-388. </w:t>
      </w:r>
    </w:p>
    <w:p w:rsidR="009319E3" w:rsidRDefault="00627AA8">
      <w:pPr>
        <w:jc w:val="both"/>
        <w:rPr>
          <w:rFonts w:eastAsia="Times New Roman"/>
          <w:color w:val="000000"/>
          <w:sz w:val="24"/>
          <w:szCs w:val="24"/>
        </w:rPr>
      </w:pPr>
      <w:proofErr w:type="spellStart"/>
      <w:r>
        <w:rPr>
          <w:rFonts w:eastAsia="Times New Roman"/>
          <w:b/>
          <w:color w:val="000000"/>
          <w:sz w:val="24"/>
          <w:szCs w:val="24"/>
        </w:rPr>
        <w:t>Münz</w:t>
      </w:r>
      <w:proofErr w:type="spellEnd"/>
      <w:r>
        <w:rPr>
          <w:rFonts w:eastAsia="Times New Roman"/>
          <w:b/>
          <w:color w:val="000000"/>
          <w:sz w:val="24"/>
          <w:szCs w:val="24"/>
        </w:rPr>
        <w:t>-Manor et al 2020</w:t>
      </w:r>
      <w:r>
        <w:rPr>
          <w:rFonts w:eastAsia="Times New Roman"/>
          <w:b/>
          <w:color w:val="000000"/>
          <w:sz w:val="24"/>
          <w:szCs w:val="24"/>
        </w:rPr>
        <w:tab/>
      </w:r>
      <w:proofErr w:type="spellStart"/>
      <w:r>
        <w:rPr>
          <w:rFonts w:eastAsia="Times New Roman"/>
          <w:color w:val="000000"/>
          <w:sz w:val="24"/>
          <w:szCs w:val="24"/>
        </w:rPr>
        <w:t>Münz</w:t>
      </w:r>
      <w:proofErr w:type="spellEnd"/>
      <w:r>
        <w:rPr>
          <w:rFonts w:eastAsia="Times New Roman"/>
          <w:color w:val="000000"/>
          <w:sz w:val="24"/>
          <w:szCs w:val="24"/>
        </w:rPr>
        <w:t xml:space="preserve">-Manor, O., </w:t>
      </w:r>
      <w:proofErr w:type="spellStart"/>
      <w:r>
        <w:rPr>
          <w:rFonts w:eastAsia="Times New Roman"/>
          <w:color w:val="000000"/>
          <w:sz w:val="24"/>
          <w:szCs w:val="24"/>
        </w:rPr>
        <w:t>Schorr</w:t>
      </w:r>
      <w:proofErr w:type="spellEnd"/>
      <w:r>
        <w:rPr>
          <w:rFonts w:eastAsia="Times New Roman"/>
          <w:color w:val="000000"/>
          <w:sz w:val="24"/>
          <w:szCs w:val="24"/>
        </w:rPr>
        <w:t xml:space="preserve">, M., </w:t>
      </w:r>
      <w:proofErr w:type="spellStart"/>
      <w:r>
        <w:rPr>
          <w:rFonts w:eastAsia="Times New Roman"/>
          <w:color w:val="000000"/>
          <w:sz w:val="24"/>
          <w:szCs w:val="24"/>
        </w:rPr>
        <w:t>Mishali</w:t>
      </w:r>
      <w:proofErr w:type="spellEnd"/>
      <w:r>
        <w:rPr>
          <w:rFonts w:eastAsia="Times New Roman"/>
          <w:color w:val="000000"/>
          <w:sz w:val="24"/>
          <w:szCs w:val="24"/>
        </w:rPr>
        <w:t xml:space="preserve"> O., </w:t>
      </w:r>
      <w:proofErr w:type="spellStart"/>
      <w:r>
        <w:rPr>
          <w:rFonts w:eastAsia="Times New Roman"/>
          <w:color w:val="000000"/>
          <w:sz w:val="24"/>
          <w:szCs w:val="24"/>
        </w:rPr>
        <w:t>Kimmelfeld</w:t>
      </w:r>
      <w:proofErr w:type="spellEnd"/>
      <w:r>
        <w:rPr>
          <w:rFonts w:eastAsia="Times New Roman"/>
          <w:color w:val="000000"/>
          <w:sz w:val="24"/>
          <w:szCs w:val="24"/>
        </w:rPr>
        <w:t>, B. (2020). “</w:t>
      </w:r>
      <w:proofErr w:type="spellStart"/>
      <w:r>
        <w:rPr>
          <w:rFonts w:eastAsia="Times New Roman"/>
          <w:color w:val="000000"/>
          <w:sz w:val="24"/>
          <w:szCs w:val="24"/>
        </w:rPr>
        <w:t>ViS-À-</w:t>
      </w:r>
      <w:proofErr w:type="gramStart"/>
      <w:r>
        <w:rPr>
          <w:rFonts w:eastAsia="Times New Roman"/>
          <w:color w:val="000000"/>
          <w:sz w:val="24"/>
          <w:szCs w:val="24"/>
        </w:rPr>
        <w:t>ViS</w:t>
      </w:r>
      <w:proofErr w:type="spellEnd"/>
      <w:r>
        <w:rPr>
          <w:rFonts w:eastAsia="Times New Roman"/>
          <w:color w:val="000000"/>
          <w:sz w:val="24"/>
          <w:szCs w:val="24"/>
        </w:rPr>
        <w:t xml:space="preserve"> :</w:t>
      </w:r>
      <w:proofErr w:type="gramEnd"/>
      <w:r>
        <w:rPr>
          <w:rFonts w:eastAsia="Times New Roman"/>
          <w:color w:val="000000"/>
          <w:sz w:val="24"/>
          <w:szCs w:val="24"/>
        </w:rPr>
        <w:t xml:space="preserve"> Detecting Similar Patterns in Annotated Literary Text,”  in </w:t>
      </w:r>
      <w:r>
        <w:rPr>
          <w:rFonts w:eastAsia="Times New Roman"/>
          <w:i/>
          <w:color w:val="000000"/>
          <w:sz w:val="24"/>
          <w:szCs w:val="24"/>
        </w:rPr>
        <w:t>VIS4DH,</w:t>
      </w:r>
      <w:r>
        <w:rPr>
          <w:rFonts w:eastAsia="Times New Roman"/>
          <w:color w:val="000000"/>
          <w:sz w:val="24"/>
          <w:szCs w:val="24"/>
        </w:rPr>
        <w:t xml:space="preserve"> </w:t>
      </w:r>
      <w:hyperlink r:id="rId22">
        <w:r>
          <w:rPr>
            <w:rFonts w:eastAsia="Times New Roman"/>
            <w:color w:val="000000"/>
            <w:sz w:val="24"/>
            <w:szCs w:val="24"/>
            <w:u w:val="single"/>
          </w:rPr>
          <w:t>https://arxiv.org/abs/2009.02063</w:t>
        </w:r>
      </w:hyperlink>
      <w:r>
        <w:rPr>
          <w:rFonts w:eastAsia="Times New Roman"/>
          <w:color w:val="000000"/>
          <w:sz w:val="24"/>
          <w:szCs w:val="24"/>
        </w:rPr>
        <w:t>.</w:t>
      </w:r>
    </w:p>
    <w:p w:rsidR="009319E3" w:rsidRDefault="00627AA8">
      <w:pPr>
        <w:jc w:val="both"/>
        <w:rPr>
          <w:rFonts w:eastAsia="Times New Roman"/>
          <w:color w:val="000000"/>
          <w:sz w:val="24"/>
          <w:szCs w:val="24"/>
        </w:rPr>
      </w:pPr>
      <w:proofErr w:type="spellStart"/>
      <w:r>
        <w:rPr>
          <w:rFonts w:eastAsia="Times New Roman"/>
          <w:b/>
          <w:color w:val="000000"/>
          <w:sz w:val="24"/>
          <w:szCs w:val="24"/>
        </w:rPr>
        <w:t>Piez</w:t>
      </w:r>
      <w:proofErr w:type="spellEnd"/>
      <w:r>
        <w:rPr>
          <w:rFonts w:eastAsia="Times New Roman"/>
          <w:b/>
          <w:color w:val="000000"/>
          <w:sz w:val="24"/>
          <w:szCs w:val="24"/>
        </w:rPr>
        <w:t xml:space="preserve"> 2010</w:t>
      </w:r>
      <w:r>
        <w:rPr>
          <w:rFonts w:eastAsia="Times New Roman"/>
          <w:color w:val="000000"/>
          <w:sz w:val="24"/>
          <w:szCs w:val="24"/>
        </w:rPr>
        <w:tab/>
      </w:r>
      <w:proofErr w:type="spellStart"/>
      <w:r>
        <w:rPr>
          <w:rFonts w:eastAsia="Times New Roman"/>
          <w:color w:val="000000"/>
          <w:sz w:val="24"/>
          <w:szCs w:val="24"/>
        </w:rPr>
        <w:t>Piez</w:t>
      </w:r>
      <w:proofErr w:type="spellEnd"/>
      <w:r>
        <w:rPr>
          <w:rFonts w:eastAsia="Times New Roman"/>
          <w:color w:val="000000"/>
          <w:sz w:val="24"/>
          <w:szCs w:val="24"/>
        </w:rPr>
        <w:t xml:space="preserve">, W. (2010). "Towards Hermeneutic Markup: An architectural outline", in </w:t>
      </w:r>
      <w:r>
        <w:rPr>
          <w:rFonts w:eastAsia="Times New Roman"/>
          <w:i/>
          <w:color w:val="000000"/>
          <w:sz w:val="24"/>
          <w:szCs w:val="24"/>
        </w:rPr>
        <w:t>Digital Humanities 2010 Conference Abstracts Book</w:t>
      </w:r>
      <w:r>
        <w:rPr>
          <w:rFonts w:eastAsia="Times New Roman"/>
          <w:color w:val="000000"/>
          <w:sz w:val="24"/>
          <w:szCs w:val="24"/>
        </w:rPr>
        <w:t>.</w:t>
      </w:r>
    </w:p>
    <w:p w:rsidR="009319E3" w:rsidRDefault="00627AA8">
      <w:pPr>
        <w:jc w:val="both"/>
        <w:rPr>
          <w:rFonts w:eastAsia="Times New Roman"/>
          <w:color w:val="000000"/>
          <w:sz w:val="24"/>
          <w:szCs w:val="24"/>
        </w:rPr>
      </w:pPr>
      <w:r>
        <w:rPr>
          <w:rFonts w:eastAsia="Times New Roman"/>
          <w:b/>
          <w:color w:val="000000"/>
          <w:sz w:val="24"/>
          <w:szCs w:val="24"/>
        </w:rPr>
        <w:t>Plank 2022</w:t>
      </w:r>
      <w:r>
        <w:rPr>
          <w:rFonts w:eastAsia="Times New Roman"/>
          <w:color w:val="000000"/>
          <w:sz w:val="24"/>
          <w:szCs w:val="24"/>
        </w:rPr>
        <w:tab/>
        <w:t>Plank, B. (2022). “The 'Problem' of Human Label Variation: On Ground T</w:t>
      </w:r>
      <w:r>
        <w:rPr>
          <w:rFonts w:eastAsia="Times New Roman"/>
          <w:color w:val="000000"/>
          <w:sz w:val="24"/>
          <w:szCs w:val="24"/>
        </w:rPr>
        <w:t xml:space="preserve">ruth in Data, Modeling and Evaluation”, </w:t>
      </w:r>
      <w:hyperlink r:id="rId23">
        <w:r>
          <w:rPr>
            <w:rFonts w:eastAsia="Times New Roman"/>
            <w:color w:val="000000"/>
            <w:sz w:val="24"/>
            <w:szCs w:val="24"/>
            <w:u w:val="single"/>
          </w:rPr>
          <w:t>https://arxiv.org/abs/2211.02570</w:t>
        </w:r>
      </w:hyperlink>
      <w:r>
        <w:rPr>
          <w:rFonts w:eastAsia="Times New Roman"/>
          <w:color w:val="000000"/>
          <w:sz w:val="24"/>
          <w:szCs w:val="24"/>
        </w:rPr>
        <w:t>.</w:t>
      </w:r>
    </w:p>
    <w:p w:rsidR="009319E3" w:rsidRDefault="00627AA8">
      <w:pPr>
        <w:jc w:val="both"/>
        <w:rPr>
          <w:rFonts w:eastAsia="Times New Roman"/>
          <w:color w:val="000000"/>
          <w:sz w:val="24"/>
          <w:szCs w:val="24"/>
        </w:rPr>
      </w:pPr>
      <w:r>
        <w:rPr>
          <w:rFonts w:eastAsia="Times New Roman"/>
          <w:b/>
          <w:color w:val="000000"/>
          <w:sz w:val="24"/>
          <w:szCs w:val="24"/>
        </w:rPr>
        <w:t>Piper 2020</w:t>
      </w:r>
      <w:r>
        <w:rPr>
          <w:rFonts w:eastAsia="Times New Roman"/>
          <w:color w:val="000000"/>
          <w:sz w:val="24"/>
          <w:szCs w:val="24"/>
        </w:rPr>
        <w:tab/>
        <w:t xml:space="preserve">Piper, A. (2020). </w:t>
      </w:r>
      <w:r>
        <w:rPr>
          <w:rFonts w:eastAsia="Times New Roman"/>
          <w:i/>
          <w:color w:val="000000"/>
          <w:sz w:val="24"/>
          <w:szCs w:val="24"/>
        </w:rPr>
        <w:t xml:space="preserve">Can </w:t>
      </w:r>
      <w:proofErr w:type="gramStart"/>
      <w:r>
        <w:rPr>
          <w:rFonts w:eastAsia="Times New Roman"/>
          <w:i/>
          <w:color w:val="000000"/>
          <w:sz w:val="24"/>
          <w:szCs w:val="24"/>
        </w:rPr>
        <w:t>We</w:t>
      </w:r>
      <w:proofErr w:type="gramEnd"/>
      <w:r>
        <w:rPr>
          <w:rFonts w:eastAsia="Times New Roman"/>
          <w:i/>
          <w:color w:val="000000"/>
          <w:sz w:val="24"/>
          <w:szCs w:val="24"/>
        </w:rPr>
        <w:t xml:space="preserve"> be Wrong? The Problem of Textual Evidence in a Time of Data</w:t>
      </w:r>
      <w:r>
        <w:rPr>
          <w:rFonts w:eastAsia="Times New Roman"/>
          <w:color w:val="000000"/>
          <w:sz w:val="24"/>
          <w:szCs w:val="24"/>
        </w:rPr>
        <w:t xml:space="preserve"> (Cambridge Elements: Digital Liter</w:t>
      </w:r>
      <w:r>
        <w:rPr>
          <w:rFonts w:eastAsia="Times New Roman"/>
          <w:color w:val="000000"/>
          <w:sz w:val="24"/>
          <w:szCs w:val="24"/>
        </w:rPr>
        <w:t>ary Studies), Cambridge: Cambridge University Press.</w:t>
      </w:r>
    </w:p>
    <w:p w:rsidR="009319E3" w:rsidRDefault="00627AA8">
      <w:pPr>
        <w:jc w:val="both"/>
        <w:rPr>
          <w:rFonts w:eastAsia="Times New Roman"/>
          <w:sz w:val="24"/>
          <w:szCs w:val="24"/>
        </w:rPr>
      </w:pPr>
      <w:proofErr w:type="spellStart"/>
      <w:r>
        <w:rPr>
          <w:rFonts w:eastAsia="Times New Roman"/>
          <w:b/>
          <w:sz w:val="24"/>
          <w:szCs w:val="24"/>
        </w:rPr>
        <w:t>Rieder</w:t>
      </w:r>
      <w:proofErr w:type="spellEnd"/>
      <w:r>
        <w:rPr>
          <w:rFonts w:eastAsia="Times New Roman"/>
          <w:b/>
          <w:sz w:val="24"/>
          <w:szCs w:val="24"/>
        </w:rPr>
        <w:t xml:space="preserve"> and </w:t>
      </w:r>
      <w:proofErr w:type="spellStart"/>
      <w:r>
        <w:rPr>
          <w:rFonts w:eastAsia="Times New Roman"/>
          <w:b/>
          <w:sz w:val="24"/>
          <w:szCs w:val="24"/>
        </w:rPr>
        <w:t>Röhle</w:t>
      </w:r>
      <w:proofErr w:type="spellEnd"/>
      <w:r>
        <w:rPr>
          <w:rFonts w:eastAsia="Times New Roman"/>
          <w:b/>
          <w:sz w:val="24"/>
          <w:szCs w:val="24"/>
        </w:rPr>
        <w:t xml:space="preserve"> 2012</w:t>
      </w:r>
      <w:r>
        <w:rPr>
          <w:rFonts w:eastAsia="Times New Roman"/>
          <w:sz w:val="24"/>
          <w:szCs w:val="24"/>
        </w:rPr>
        <w:tab/>
      </w:r>
      <w:proofErr w:type="spellStart"/>
      <w:r>
        <w:rPr>
          <w:rFonts w:eastAsia="Times New Roman"/>
          <w:sz w:val="24"/>
          <w:szCs w:val="24"/>
        </w:rPr>
        <w:t>Rieder</w:t>
      </w:r>
      <w:proofErr w:type="spellEnd"/>
      <w:r>
        <w:rPr>
          <w:rFonts w:eastAsia="Times New Roman"/>
          <w:sz w:val="24"/>
          <w:szCs w:val="24"/>
        </w:rPr>
        <w:t xml:space="preserve">, B., &amp; </w:t>
      </w:r>
      <w:proofErr w:type="spellStart"/>
      <w:r>
        <w:rPr>
          <w:rFonts w:eastAsia="Times New Roman"/>
          <w:sz w:val="24"/>
          <w:szCs w:val="24"/>
        </w:rPr>
        <w:t>Röhle</w:t>
      </w:r>
      <w:proofErr w:type="spellEnd"/>
      <w:r>
        <w:rPr>
          <w:rFonts w:eastAsia="Times New Roman"/>
          <w:sz w:val="24"/>
          <w:szCs w:val="24"/>
        </w:rPr>
        <w:t xml:space="preserve">, T. (2012). Digital Methods: Five Challenges. </w:t>
      </w:r>
      <w:proofErr w:type="spellStart"/>
      <w:r>
        <w:rPr>
          <w:rFonts w:eastAsia="Times New Roman"/>
          <w:sz w:val="24"/>
          <w:szCs w:val="24"/>
        </w:rPr>
        <w:t>En</w:t>
      </w:r>
      <w:proofErr w:type="spellEnd"/>
      <w:r>
        <w:rPr>
          <w:rFonts w:eastAsia="Times New Roman"/>
          <w:sz w:val="24"/>
          <w:szCs w:val="24"/>
        </w:rPr>
        <w:t xml:space="preserve"> D. M. Berry (Ed.), </w:t>
      </w:r>
      <w:r>
        <w:rPr>
          <w:rFonts w:eastAsia="Times New Roman"/>
          <w:i/>
          <w:sz w:val="24"/>
          <w:szCs w:val="24"/>
        </w:rPr>
        <w:t>Understanding Digital Humanities</w:t>
      </w:r>
      <w:r>
        <w:rPr>
          <w:rFonts w:eastAsia="Times New Roman"/>
          <w:sz w:val="24"/>
          <w:szCs w:val="24"/>
        </w:rPr>
        <w:t xml:space="preserve">. Palgrave Macmillan UK, pp. 67-84. </w:t>
      </w:r>
      <w:hyperlink r:id="rId24">
        <w:r>
          <w:rPr>
            <w:rFonts w:eastAsia="Times New Roman"/>
            <w:sz w:val="24"/>
            <w:szCs w:val="24"/>
          </w:rPr>
          <w:t>https://doi.org/10.1057/9780230371934_4</w:t>
        </w:r>
      </w:hyperlink>
      <w:r>
        <w:rPr>
          <w:rFonts w:eastAsia="Times New Roman"/>
          <w:sz w:val="24"/>
          <w:szCs w:val="24"/>
        </w:rPr>
        <w:t>.</w:t>
      </w:r>
    </w:p>
    <w:p w:rsidR="009319E3" w:rsidRDefault="00627AA8">
      <w:pPr>
        <w:jc w:val="both"/>
        <w:rPr>
          <w:rFonts w:eastAsia="Times New Roman"/>
          <w:sz w:val="24"/>
          <w:szCs w:val="24"/>
        </w:rPr>
      </w:pPr>
      <w:r>
        <w:rPr>
          <w:rFonts w:eastAsia="Times New Roman"/>
          <w:b/>
          <w:sz w:val="24"/>
          <w:szCs w:val="24"/>
        </w:rPr>
        <w:t>Ross 2014</w:t>
      </w:r>
      <w:r>
        <w:rPr>
          <w:rFonts w:eastAsia="Times New Roman"/>
          <w:sz w:val="24"/>
          <w:szCs w:val="24"/>
        </w:rPr>
        <w:tab/>
        <w:t>Ross, S. (2014). “In Praise of Overstating the Case: A review of Franco Moretti, Distant Reading", in DHQ 8:1.</w:t>
      </w:r>
    </w:p>
    <w:p w:rsidR="009319E3" w:rsidRDefault="00627AA8">
      <w:pPr>
        <w:jc w:val="both"/>
        <w:rPr>
          <w:rFonts w:eastAsia="Times New Roman"/>
          <w:sz w:val="24"/>
          <w:szCs w:val="24"/>
        </w:rPr>
      </w:pPr>
      <w:r>
        <w:rPr>
          <w:rFonts w:eastAsia="Times New Roman"/>
          <w:b/>
          <w:sz w:val="24"/>
          <w:szCs w:val="24"/>
        </w:rPr>
        <w:t>Sinclair and Rockwell 2016</w:t>
      </w:r>
      <w:r>
        <w:rPr>
          <w:rFonts w:eastAsia="Times New Roman"/>
          <w:sz w:val="24"/>
          <w:szCs w:val="24"/>
        </w:rPr>
        <w:tab/>
        <w:t xml:space="preserve">Sinclair. </w:t>
      </w:r>
      <w:r>
        <w:rPr>
          <w:rFonts w:eastAsia="Times New Roman"/>
          <w:sz w:val="24"/>
          <w:szCs w:val="24"/>
        </w:rPr>
        <w:t xml:space="preserve">S., Rockwell, G. (2016). </w:t>
      </w:r>
      <w:proofErr w:type="spellStart"/>
      <w:r>
        <w:rPr>
          <w:rFonts w:eastAsia="Times New Roman"/>
          <w:sz w:val="24"/>
          <w:szCs w:val="24"/>
        </w:rPr>
        <w:t>Voyant</w:t>
      </w:r>
      <w:proofErr w:type="spellEnd"/>
      <w:r>
        <w:rPr>
          <w:rFonts w:eastAsia="Times New Roman"/>
          <w:sz w:val="24"/>
          <w:szCs w:val="24"/>
        </w:rPr>
        <w:t xml:space="preserve"> Tools. Web. </w:t>
      </w:r>
      <w:hyperlink r:id="rId25">
        <w:r>
          <w:rPr>
            <w:rFonts w:eastAsia="Times New Roman"/>
            <w:sz w:val="24"/>
            <w:szCs w:val="24"/>
          </w:rPr>
          <w:t>http://voyant-tools.org/</w:t>
        </w:r>
      </w:hyperlink>
      <w:r>
        <w:rPr>
          <w:rFonts w:eastAsia="Times New Roman"/>
          <w:sz w:val="24"/>
          <w:szCs w:val="24"/>
        </w:rPr>
        <w:t>.</w:t>
      </w:r>
    </w:p>
    <w:p w:rsidR="009319E3" w:rsidRDefault="00627AA8">
      <w:pPr>
        <w:jc w:val="both"/>
        <w:rPr>
          <w:rFonts w:eastAsia="Times New Roman"/>
          <w:sz w:val="24"/>
          <w:szCs w:val="24"/>
        </w:rPr>
      </w:pPr>
      <w:r>
        <w:rPr>
          <w:rFonts w:eastAsia="Times New Roman"/>
          <w:b/>
          <w:sz w:val="24"/>
          <w:szCs w:val="24"/>
        </w:rPr>
        <w:lastRenderedPageBreak/>
        <w:t>Thomasson 2022</w:t>
      </w:r>
      <w:r>
        <w:rPr>
          <w:rFonts w:eastAsia="Times New Roman"/>
          <w:sz w:val="24"/>
          <w:szCs w:val="24"/>
        </w:rPr>
        <w:tab/>
        <w:t xml:space="preserve">Thomasson, Amie, "Categories", The Stanford Encyclopedia of Philosophy (Winter 2022 Edition), Edward N. </w:t>
      </w:r>
      <w:proofErr w:type="spellStart"/>
      <w:r>
        <w:rPr>
          <w:rFonts w:eastAsia="Times New Roman"/>
          <w:sz w:val="24"/>
          <w:szCs w:val="24"/>
        </w:rPr>
        <w:t>Zalta</w:t>
      </w:r>
      <w:proofErr w:type="spellEnd"/>
      <w:r>
        <w:rPr>
          <w:rFonts w:eastAsia="Times New Roman"/>
          <w:sz w:val="24"/>
          <w:szCs w:val="24"/>
        </w:rPr>
        <w:t xml:space="preserve"> &amp; Uri </w:t>
      </w:r>
      <w:proofErr w:type="spellStart"/>
      <w:r>
        <w:rPr>
          <w:rFonts w:eastAsia="Times New Roman"/>
          <w:sz w:val="24"/>
          <w:szCs w:val="24"/>
        </w:rPr>
        <w:t>Nodelman</w:t>
      </w:r>
      <w:proofErr w:type="spellEnd"/>
      <w:r>
        <w:rPr>
          <w:rFonts w:eastAsia="Times New Roman"/>
          <w:sz w:val="24"/>
          <w:szCs w:val="24"/>
        </w:rPr>
        <w:t xml:space="preserve"> (e</w:t>
      </w:r>
      <w:r>
        <w:rPr>
          <w:rFonts w:eastAsia="Times New Roman"/>
          <w:sz w:val="24"/>
          <w:szCs w:val="24"/>
        </w:rPr>
        <w:t>ds.), URL = &lt;https://plato.stanford.edu/archives/win2022/entries/categories/&gt;.</w:t>
      </w:r>
    </w:p>
    <w:p w:rsidR="009319E3" w:rsidRDefault="00627AA8">
      <w:pPr>
        <w:jc w:val="both"/>
        <w:rPr>
          <w:rFonts w:eastAsia="Times New Roman"/>
          <w:color w:val="000000"/>
          <w:sz w:val="24"/>
          <w:szCs w:val="24"/>
        </w:rPr>
      </w:pPr>
      <w:proofErr w:type="spellStart"/>
      <w:r>
        <w:rPr>
          <w:rFonts w:eastAsia="Times New Roman"/>
          <w:b/>
          <w:color w:val="000000"/>
          <w:sz w:val="24"/>
          <w:szCs w:val="24"/>
        </w:rPr>
        <w:t>Weingart</w:t>
      </w:r>
      <w:proofErr w:type="spellEnd"/>
      <w:r>
        <w:rPr>
          <w:rFonts w:eastAsia="Times New Roman"/>
          <w:b/>
          <w:color w:val="000000"/>
          <w:sz w:val="24"/>
          <w:szCs w:val="24"/>
        </w:rPr>
        <w:t xml:space="preserve"> 2022</w:t>
      </w:r>
      <w:r>
        <w:rPr>
          <w:rFonts w:eastAsia="Times New Roman"/>
          <w:color w:val="000000"/>
          <w:sz w:val="24"/>
          <w:szCs w:val="24"/>
        </w:rPr>
        <w:tab/>
      </w:r>
      <w:proofErr w:type="spellStart"/>
      <w:r>
        <w:rPr>
          <w:rFonts w:eastAsia="Times New Roman"/>
          <w:color w:val="000000"/>
          <w:sz w:val="24"/>
          <w:szCs w:val="24"/>
        </w:rPr>
        <w:t>Weingart</w:t>
      </w:r>
      <w:proofErr w:type="spellEnd"/>
      <w:r>
        <w:rPr>
          <w:rFonts w:eastAsia="Times New Roman"/>
          <w:color w:val="000000"/>
          <w:sz w:val="24"/>
          <w:szCs w:val="24"/>
        </w:rPr>
        <w:t xml:space="preserve">, S. B. (2022). “Networked Society: The Moral Role of Computational Research in a Data-Driven World,” </w:t>
      </w:r>
      <w:hyperlink r:id="rId26">
        <w:r>
          <w:rPr>
            <w:rFonts w:eastAsia="Times New Roman"/>
            <w:color w:val="000000"/>
            <w:sz w:val="24"/>
            <w:szCs w:val="24"/>
            <w:u w:val="single"/>
          </w:rPr>
          <w:t>http:</w:t>
        </w:r>
        <w:r>
          <w:rPr>
            <w:rFonts w:eastAsia="Times New Roman"/>
            <w:color w:val="000000"/>
            <w:sz w:val="24"/>
            <w:szCs w:val="24"/>
            <w:u w:val="single"/>
          </w:rPr>
          <w:t>//scottbot.net/2014/09/</w:t>
        </w:r>
      </w:hyperlink>
      <w:r>
        <w:rPr>
          <w:rFonts w:eastAsia="Times New Roman"/>
          <w:color w:val="000000"/>
          <w:sz w:val="24"/>
          <w:szCs w:val="24"/>
        </w:rPr>
        <w:t xml:space="preserve"> (accessed 22 </w:t>
      </w:r>
      <w:proofErr w:type="gramStart"/>
      <w:r>
        <w:rPr>
          <w:rFonts w:eastAsia="Times New Roman"/>
          <w:color w:val="000000"/>
          <w:sz w:val="24"/>
          <w:szCs w:val="24"/>
        </w:rPr>
        <w:t>June,</w:t>
      </w:r>
      <w:proofErr w:type="gramEnd"/>
      <w:r>
        <w:rPr>
          <w:rFonts w:eastAsia="Times New Roman"/>
          <w:color w:val="000000"/>
          <w:sz w:val="24"/>
          <w:szCs w:val="24"/>
        </w:rPr>
        <w:t xml:space="preserve"> 2022).</w:t>
      </w:r>
    </w:p>
    <w:p w:rsidR="009319E3" w:rsidRDefault="00627AA8">
      <w:pPr>
        <w:jc w:val="both"/>
        <w:rPr>
          <w:rFonts w:eastAsia="Times New Roman"/>
          <w:color w:val="000000"/>
          <w:sz w:val="24"/>
          <w:szCs w:val="24"/>
        </w:rPr>
      </w:pPr>
      <w:r>
        <w:rPr>
          <w:rFonts w:eastAsia="Times New Roman"/>
          <w:b/>
          <w:color w:val="000000"/>
          <w:sz w:val="24"/>
          <w:szCs w:val="24"/>
        </w:rPr>
        <w:t xml:space="preserve">Swartz and </w:t>
      </w:r>
      <w:proofErr w:type="spellStart"/>
      <w:r>
        <w:rPr>
          <w:rFonts w:eastAsia="Times New Roman"/>
          <w:b/>
          <w:color w:val="000000"/>
          <w:sz w:val="24"/>
          <w:szCs w:val="24"/>
        </w:rPr>
        <w:t>Yahalom</w:t>
      </w:r>
      <w:proofErr w:type="spellEnd"/>
      <w:r>
        <w:rPr>
          <w:rFonts w:eastAsia="Times New Roman"/>
          <w:b/>
          <w:color w:val="000000"/>
          <w:sz w:val="24"/>
          <w:szCs w:val="24"/>
        </w:rPr>
        <w:t xml:space="preserve"> 2005</w:t>
      </w:r>
      <w:r>
        <w:rPr>
          <w:rFonts w:eastAsia="Times New Roman"/>
          <w:color w:val="000000"/>
          <w:sz w:val="24"/>
          <w:szCs w:val="24"/>
        </w:rPr>
        <w:tab/>
        <w:t xml:space="preserve">Swartz, M., </w:t>
      </w:r>
      <w:proofErr w:type="spellStart"/>
      <w:r>
        <w:rPr>
          <w:rFonts w:eastAsia="Times New Roman"/>
          <w:color w:val="000000"/>
          <w:sz w:val="24"/>
          <w:szCs w:val="24"/>
        </w:rPr>
        <w:t>Yahalom</w:t>
      </w:r>
      <w:proofErr w:type="spellEnd"/>
      <w:r>
        <w:rPr>
          <w:rFonts w:eastAsia="Times New Roman"/>
          <w:color w:val="000000"/>
          <w:sz w:val="24"/>
          <w:szCs w:val="24"/>
        </w:rPr>
        <w:t xml:space="preserve">, J. (2005). </w:t>
      </w:r>
      <w:proofErr w:type="spellStart"/>
      <w:r>
        <w:rPr>
          <w:rFonts w:eastAsia="Times New Roman"/>
          <w:i/>
          <w:color w:val="000000"/>
          <w:sz w:val="24"/>
          <w:szCs w:val="24"/>
        </w:rPr>
        <w:t>Avodah</w:t>
      </w:r>
      <w:proofErr w:type="spellEnd"/>
      <w:r>
        <w:rPr>
          <w:rFonts w:eastAsia="Times New Roman"/>
          <w:i/>
          <w:color w:val="000000"/>
          <w:sz w:val="24"/>
          <w:szCs w:val="24"/>
        </w:rPr>
        <w:t>: An Anthology of Ancient Poetry for Yom Kippur,</w:t>
      </w:r>
      <w:r>
        <w:rPr>
          <w:rFonts w:eastAsia="Times New Roman"/>
          <w:color w:val="000000"/>
          <w:sz w:val="24"/>
          <w:szCs w:val="24"/>
        </w:rPr>
        <w:t xml:space="preserve"> University Park: Pennsylvania State University Press.</w:t>
      </w:r>
    </w:p>
    <w:p w:rsidR="009319E3" w:rsidRDefault="009319E3"/>
    <w:p w:rsidR="009319E3" w:rsidRDefault="009319E3"/>
    <w:sectPr w:rsidR="009319E3">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AA8" w:rsidRDefault="00627AA8">
      <w:pPr>
        <w:spacing w:after="0" w:line="240" w:lineRule="auto"/>
      </w:pPr>
      <w:r>
        <w:separator/>
      </w:r>
    </w:p>
  </w:endnote>
  <w:endnote w:type="continuationSeparator" w:id="0">
    <w:p w:rsidR="00627AA8" w:rsidRDefault="00627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Roboto">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AA8" w:rsidRDefault="00627AA8">
      <w:pPr>
        <w:rPr>
          <w:sz w:val="12"/>
        </w:rPr>
      </w:pPr>
      <w:r>
        <w:separator/>
      </w:r>
    </w:p>
  </w:footnote>
  <w:footnote w:type="continuationSeparator" w:id="0">
    <w:p w:rsidR="00627AA8" w:rsidRDefault="00627AA8">
      <w:pPr>
        <w:rPr>
          <w:sz w:val="12"/>
        </w:rPr>
      </w:pPr>
      <w:r>
        <w:continuationSeparator/>
      </w:r>
    </w:p>
  </w:footnote>
  <w:footnote w:id="1">
    <w:p w:rsidR="009319E3" w:rsidRDefault="00627AA8">
      <w:pPr>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Dan </w:t>
      </w:r>
      <w:proofErr w:type="spellStart"/>
      <w:r>
        <w:rPr>
          <w:rFonts w:eastAsia="Times New Roman" w:cstheme="majorBidi"/>
          <w:color w:val="000000" w:themeColor="text1"/>
        </w:rPr>
        <w:t>Pagis</w:t>
      </w:r>
      <w:proofErr w:type="spellEnd"/>
      <w:r>
        <w:rPr>
          <w:rFonts w:eastAsia="Times New Roman" w:cstheme="majorBidi"/>
          <w:color w:val="000000" w:themeColor="text1"/>
        </w:rPr>
        <w:t>, Conversation. Translated from Hebrew by Stephen Mitchell</w:t>
      </w:r>
      <w:proofErr w:type="gramStart"/>
      <w:r>
        <w:rPr>
          <w:rFonts w:eastAsia="Times New Roman" w:cstheme="majorBidi"/>
          <w:color w:val="000000" w:themeColor="text1"/>
        </w:rPr>
        <w:t>;</w:t>
      </w:r>
      <w:proofErr w:type="gramEnd"/>
      <w:r>
        <w:rPr>
          <w:rFonts w:eastAsia="Times New Roman" w:cstheme="majorBidi"/>
          <w:color w:val="000000" w:themeColor="text1"/>
        </w:rPr>
        <w:t xml:space="preserve"> </w:t>
      </w:r>
      <w:hyperlink r:id="rId1">
        <w:r>
          <w:rPr>
            <w:rFonts w:eastAsia="Times New Roman" w:cstheme="majorBidi"/>
            <w:color w:val="000000" w:themeColor="text1"/>
            <w:u w:val="single"/>
          </w:rPr>
          <w:t>https://matthewsalomon.wordpress.com/2008/04/03/dan-pagis-conversation/</w:t>
        </w:r>
      </w:hyperlink>
      <w:r>
        <w:rPr>
          <w:rFonts w:eastAsia="Times New Roman" w:cstheme="majorBidi"/>
          <w:color w:val="000000" w:themeColor="text1"/>
        </w:rPr>
        <w:t>.</w:t>
      </w:r>
    </w:p>
  </w:footnote>
  <w:footnote w:id="2">
    <w:p w:rsidR="009319E3" w:rsidRDefault="00627AA8">
      <w:pPr>
        <w:jc w:val="both"/>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For some aspects of the history of the digital humanities in Israel and their lack of what can be called a computational hermeneutics, especially in the context of Hebrew literature</w:t>
      </w:r>
      <w:r>
        <w:rPr>
          <w:rFonts w:eastAsia="Times New Roman" w:cstheme="majorBidi"/>
          <w:color w:val="000000" w:themeColor="text1"/>
        </w:rPr>
        <w:t xml:space="preserve"> </w:t>
      </w:r>
      <w:proofErr w:type="gramStart"/>
      <w:r>
        <w:rPr>
          <w:rFonts w:eastAsia="Times New Roman" w:cstheme="majorBidi"/>
          <w:color w:val="000000" w:themeColor="text1"/>
        </w:rPr>
        <w:t>studies,</w:t>
      </w:r>
      <w:proofErr w:type="gramEnd"/>
      <w:r>
        <w:rPr>
          <w:rFonts w:eastAsia="Times New Roman" w:cstheme="majorBidi"/>
          <w:color w:val="000000" w:themeColor="text1"/>
        </w:rPr>
        <w:t xml:space="preserve"> see </w:t>
      </w:r>
      <w:proofErr w:type="spellStart"/>
      <w:r>
        <w:rPr>
          <w:rFonts w:eastAsia="Times New Roman" w:cstheme="majorBidi"/>
          <w:color w:val="000000" w:themeColor="text1"/>
        </w:rPr>
        <w:t>Marienberg-Milikowsky</w:t>
      </w:r>
      <w:proofErr w:type="spellEnd"/>
      <w:r>
        <w:rPr>
          <w:rFonts w:eastAsia="Times New Roman" w:cstheme="majorBidi"/>
          <w:color w:val="000000" w:themeColor="text1"/>
        </w:rPr>
        <w:t xml:space="preserve"> (2019; 2022).</w:t>
      </w:r>
    </w:p>
  </w:footnote>
  <w:footnote w:id="3">
    <w:p w:rsidR="009319E3" w:rsidRDefault="00627AA8">
      <w:pPr>
        <w:jc w:val="both"/>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For a broader historical and theoretical background of the undogmatic principle of CATMA, see </w:t>
      </w:r>
      <w:proofErr w:type="spellStart"/>
      <w:r>
        <w:rPr>
          <w:rFonts w:eastAsia="Times New Roman" w:cstheme="majorBidi"/>
          <w:color w:val="000000" w:themeColor="text1"/>
        </w:rPr>
        <w:t>Flüh</w:t>
      </w:r>
      <w:proofErr w:type="spellEnd"/>
      <w:r>
        <w:rPr>
          <w:rFonts w:eastAsia="Times New Roman" w:cstheme="majorBidi"/>
          <w:color w:val="000000" w:themeColor="text1"/>
        </w:rPr>
        <w:t xml:space="preserve"> et al. 2021.</w:t>
      </w:r>
    </w:p>
  </w:footnote>
  <w:footnote w:id="4">
    <w:p w:rsidR="009319E3" w:rsidRDefault="00627AA8">
      <w:pPr>
        <w:spacing w:line="240" w:lineRule="auto"/>
        <w:rPr>
          <w:rFonts w:asciiTheme="majorBidi" w:hAnsiTheme="majorBidi" w:cstheme="majorBidi"/>
          <w:color w:val="000000" w:themeColor="text1"/>
        </w:rPr>
      </w:pPr>
      <w:r>
        <w:rPr>
          <w:rStyle w:val="Funotenzeichen"/>
        </w:rPr>
        <w:footnoteRef/>
      </w:r>
      <w:r>
        <w:rPr>
          <w:rFonts w:cstheme="majorBidi"/>
          <w:color w:val="000000" w:themeColor="text1"/>
        </w:rPr>
        <w:t xml:space="preserve"> We suggest the term ‘in-line annotation’ to refer to the practice of </w:t>
      </w:r>
      <w:r>
        <w:rPr>
          <w:rFonts w:eastAsia="Roboto" w:cstheme="majorBidi"/>
          <w:color w:val="000000" w:themeColor="text1"/>
        </w:rPr>
        <w:t>annotating specific a</w:t>
      </w:r>
      <w:r>
        <w:rPr>
          <w:rFonts w:eastAsia="Roboto" w:cstheme="majorBidi"/>
          <w:color w:val="000000" w:themeColor="text1"/>
        </w:rPr>
        <w:t>spects in a text, rather than producing a label for the text as a whole.</w:t>
      </w:r>
    </w:p>
  </w:footnote>
  <w:footnote w:id="5">
    <w:p w:rsidR="009319E3" w:rsidRDefault="00627AA8">
      <w:pPr>
        <w:jc w:val="both"/>
        <w:rPr>
          <w:rFonts w:asciiTheme="majorBidi" w:hAnsiTheme="majorBidi" w:cstheme="majorBidi"/>
          <w:color w:val="000000" w:themeColor="text1"/>
        </w:rPr>
      </w:pPr>
      <w:r>
        <w:rPr>
          <w:rStyle w:val="Funotenzeichen"/>
        </w:rPr>
        <w:footnoteRef/>
      </w:r>
      <w:r>
        <w:rPr>
          <w:rFonts w:eastAsia="Arial" w:cstheme="majorBidi"/>
          <w:color w:val="000000" w:themeColor="text1"/>
        </w:rPr>
        <w:t xml:space="preserve"> </w:t>
      </w:r>
      <w:proofErr w:type="spellStart"/>
      <w:r>
        <w:rPr>
          <w:rFonts w:eastAsia="Times New Roman" w:cstheme="majorBidi"/>
          <w:color w:val="000000" w:themeColor="text1"/>
          <w:highlight w:val="white"/>
        </w:rPr>
        <w:t>ViS-À-ViS</w:t>
      </w:r>
      <w:proofErr w:type="spellEnd"/>
      <w:r>
        <w:rPr>
          <w:rFonts w:eastAsia="Times New Roman" w:cstheme="majorBidi"/>
          <w:color w:val="000000" w:themeColor="text1"/>
          <w:highlight w:val="white"/>
        </w:rPr>
        <w:t xml:space="preserve"> will be able to interface with other annotation services in the future (such as </w:t>
      </w:r>
      <w:hyperlink r:id="rId2">
        <w:proofErr w:type="spellStart"/>
        <w:r>
          <w:rPr>
            <w:rStyle w:val="Internetverknpfung"/>
            <w:rFonts w:eastAsia="Times New Roman" w:cstheme="majorBidi"/>
            <w:highlight w:val="white"/>
          </w:rPr>
          <w:t>INCEpTION</w:t>
        </w:r>
        <w:proofErr w:type="spellEnd"/>
      </w:hyperlink>
      <w:r>
        <w:rPr>
          <w:rFonts w:eastAsia="Times New Roman" w:cstheme="majorBidi"/>
          <w:color w:val="000000" w:themeColor="text1"/>
          <w:highlight w:val="white"/>
        </w:rPr>
        <w:t xml:space="preserve">, </w:t>
      </w:r>
      <w:r>
        <w:rPr>
          <w:rFonts w:eastAsia="Times New Roman" w:cstheme="majorBidi"/>
          <w:color w:val="000000" w:themeColor="text1"/>
        </w:rPr>
        <w:t>accessed 27 May 2023</w:t>
      </w:r>
      <w:r>
        <w:rPr>
          <w:rFonts w:eastAsia="Times New Roman" w:cstheme="majorBidi"/>
          <w:color w:val="000000" w:themeColor="text1"/>
          <w:highlight w:val="white"/>
        </w:rPr>
        <w:t>)</w:t>
      </w:r>
      <w:proofErr w:type="gramStart"/>
      <w:r>
        <w:rPr>
          <w:rFonts w:eastAsia="Times New Roman" w:cstheme="majorBidi"/>
          <w:color w:val="000000" w:themeColor="text1"/>
          <w:highlight w:val="white"/>
        </w:rPr>
        <w:t>,</w:t>
      </w:r>
      <w:proofErr w:type="gramEnd"/>
      <w:r>
        <w:rPr>
          <w:rFonts w:eastAsia="Times New Roman" w:cstheme="majorBidi"/>
          <w:color w:val="000000" w:themeColor="text1"/>
          <w:highlight w:val="white"/>
        </w:rPr>
        <w:t xml:space="preserve"> a</w:t>
      </w:r>
      <w:r>
        <w:rPr>
          <w:rFonts w:eastAsia="Times New Roman" w:cstheme="majorBidi"/>
          <w:color w:val="000000" w:themeColor="text1"/>
          <w:highlight w:val="white"/>
        </w:rPr>
        <w:t xml:space="preserve">t the moment it works exclusively with CATMA. </w:t>
      </w:r>
    </w:p>
  </w:footnote>
  <w:footnote w:id="6">
    <w:p w:rsidR="009319E3" w:rsidRDefault="00627AA8">
      <w:pPr>
        <w:jc w:val="both"/>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https://stereoscope.threedh.net.</w:t>
      </w:r>
    </w:p>
  </w:footnote>
  <w:footnote w:id="7">
    <w:p w:rsidR="009319E3" w:rsidRDefault="00627AA8">
      <w:pPr>
        <w:jc w:val="both"/>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w:t>
      </w:r>
      <w:proofErr w:type="spellStart"/>
      <w:r>
        <w:rPr>
          <w:rFonts w:eastAsia="Times New Roman" w:cstheme="majorBidi"/>
          <w:color w:val="000000" w:themeColor="text1"/>
          <w:highlight w:val="white"/>
        </w:rPr>
        <w:t>ViS-À-ViS</w:t>
      </w:r>
      <w:proofErr w:type="spellEnd"/>
      <w:r>
        <w:rPr>
          <w:rFonts w:eastAsia="Times New Roman" w:cstheme="majorBidi"/>
          <w:color w:val="000000" w:themeColor="text1"/>
          <w:highlight w:val="white"/>
        </w:rPr>
        <w:t xml:space="preserve"> is a web-based tool using </w:t>
      </w:r>
      <w:proofErr w:type="spellStart"/>
      <w:r>
        <w:rPr>
          <w:rFonts w:eastAsia="Times New Roman" w:cstheme="majorBidi"/>
          <w:color w:val="000000" w:themeColor="text1"/>
          <w:highlight w:val="white"/>
        </w:rPr>
        <w:t>AmCharts</w:t>
      </w:r>
      <w:proofErr w:type="spellEnd"/>
      <w:r>
        <w:rPr>
          <w:rFonts w:eastAsia="Times New Roman" w:cstheme="majorBidi"/>
          <w:color w:val="000000" w:themeColor="text1"/>
          <w:highlight w:val="white"/>
        </w:rPr>
        <w:t xml:space="preserve"> library for Java Script; its front end </w:t>
      </w:r>
      <w:proofErr w:type="gramStart"/>
      <w:r>
        <w:rPr>
          <w:rFonts w:eastAsia="Times New Roman" w:cstheme="majorBidi"/>
          <w:color w:val="000000" w:themeColor="text1"/>
          <w:highlight w:val="white"/>
        </w:rPr>
        <w:t>is written</w:t>
      </w:r>
      <w:proofErr w:type="gramEnd"/>
      <w:r>
        <w:rPr>
          <w:rFonts w:eastAsia="Times New Roman" w:cstheme="majorBidi"/>
          <w:color w:val="000000" w:themeColor="text1"/>
          <w:highlight w:val="white"/>
        </w:rPr>
        <w:t xml:space="preserve"> in Vue.js while the back end is based on Python Flask. The data </w:t>
      </w:r>
      <w:proofErr w:type="gramStart"/>
      <w:r>
        <w:rPr>
          <w:rFonts w:eastAsia="Times New Roman" w:cstheme="majorBidi"/>
          <w:color w:val="000000" w:themeColor="text1"/>
          <w:highlight w:val="white"/>
        </w:rPr>
        <w:t>is imported</w:t>
      </w:r>
      <w:proofErr w:type="gramEnd"/>
      <w:r>
        <w:rPr>
          <w:rFonts w:eastAsia="Times New Roman" w:cstheme="majorBidi"/>
          <w:color w:val="000000" w:themeColor="text1"/>
          <w:highlight w:val="white"/>
        </w:rPr>
        <w:t xml:space="preserve"> t</w:t>
      </w:r>
      <w:r>
        <w:rPr>
          <w:rFonts w:eastAsia="Times New Roman" w:cstheme="majorBidi"/>
          <w:color w:val="000000" w:themeColor="text1"/>
          <w:highlight w:val="white"/>
        </w:rPr>
        <w:t xml:space="preserve">hrough CATMA’s </w:t>
      </w:r>
      <w:proofErr w:type="spellStart"/>
      <w:r>
        <w:rPr>
          <w:rFonts w:eastAsia="Times New Roman" w:cstheme="majorBidi"/>
          <w:color w:val="000000" w:themeColor="text1"/>
          <w:highlight w:val="white"/>
        </w:rPr>
        <w:t>Gitlab</w:t>
      </w:r>
      <w:proofErr w:type="spellEnd"/>
      <w:r>
        <w:rPr>
          <w:rFonts w:eastAsia="Times New Roman" w:cstheme="majorBidi"/>
          <w:color w:val="000000" w:themeColor="text1"/>
          <w:highlight w:val="white"/>
        </w:rPr>
        <w:t xml:space="preserve"> using a unique user access token. The data </w:t>
      </w:r>
      <w:proofErr w:type="gramStart"/>
      <w:r>
        <w:rPr>
          <w:rFonts w:eastAsia="Times New Roman" w:cstheme="majorBidi"/>
          <w:color w:val="000000" w:themeColor="text1"/>
          <w:highlight w:val="white"/>
        </w:rPr>
        <w:t>is then built</w:t>
      </w:r>
      <w:proofErr w:type="gramEnd"/>
      <w:r>
        <w:rPr>
          <w:rFonts w:eastAsia="Times New Roman" w:cstheme="majorBidi"/>
          <w:color w:val="000000" w:themeColor="text1"/>
          <w:highlight w:val="white"/>
        </w:rPr>
        <w:t xml:space="preserve"> in XML files using a hierarchy of text, </w:t>
      </w:r>
      <w:proofErr w:type="spellStart"/>
      <w:r>
        <w:rPr>
          <w:rFonts w:eastAsia="Times New Roman" w:cstheme="majorBidi"/>
          <w:color w:val="000000" w:themeColor="text1"/>
          <w:highlight w:val="white"/>
        </w:rPr>
        <w:t>tagset</w:t>
      </w:r>
      <w:proofErr w:type="spellEnd"/>
      <w:r>
        <w:rPr>
          <w:rFonts w:eastAsia="Times New Roman" w:cstheme="majorBidi"/>
          <w:color w:val="000000" w:themeColor="text1"/>
          <w:highlight w:val="white"/>
        </w:rPr>
        <w:t xml:space="preserve">, tags and annotations. </w:t>
      </w:r>
      <w:r>
        <w:rPr>
          <w:rFonts w:eastAsia="Times New Roman" w:cstheme="majorBidi"/>
          <w:color w:val="000000" w:themeColor="text1"/>
        </w:rPr>
        <w:t xml:space="preserve">The development team of the tool consists of Dr. Oren </w:t>
      </w:r>
      <w:proofErr w:type="spellStart"/>
      <w:r>
        <w:rPr>
          <w:rFonts w:eastAsia="Times New Roman" w:cstheme="majorBidi"/>
          <w:color w:val="000000" w:themeColor="text1"/>
        </w:rPr>
        <w:t>Mishali</w:t>
      </w:r>
      <w:proofErr w:type="spellEnd"/>
      <w:r>
        <w:rPr>
          <w:rFonts w:eastAsia="Times New Roman" w:cstheme="majorBidi"/>
          <w:color w:val="000000" w:themeColor="text1"/>
        </w:rPr>
        <w:t xml:space="preserve">, the tool’s architect, Moshe </w:t>
      </w:r>
      <w:proofErr w:type="spellStart"/>
      <w:r>
        <w:rPr>
          <w:rFonts w:eastAsia="Times New Roman" w:cstheme="majorBidi"/>
          <w:color w:val="000000" w:themeColor="text1"/>
        </w:rPr>
        <w:t>Schorr</w:t>
      </w:r>
      <w:proofErr w:type="spellEnd"/>
      <w:r>
        <w:rPr>
          <w:rFonts w:eastAsia="Times New Roman" w:cstheme="majorBidi"/>
          <w:color w:val="000000" w:themeColor="text1"/>
        </w:rPr>
        <w:t xml:space="preserve"> and Yuval</w:t>
      </w:r>
      <w:r>
        <w:rPr>
          <w:rFonts w:eastAsia="Times New Roman" w:cstheme="majorBidi"/>
          <w:color w:val="000000" w:themeColor="text1"/>
        </w:rPr>
        <w:t xml:space="preserve"> </w:t>
      </w:r>
      <w:proofErr w:type="spellStart"/>
      <w:r>
        <w:rPr>
          <w:rFonts w:eastAsia="Times New Roman" w:cstheme="majorBidi"/>
          <w:color w:val="000000" w:themeColor="text1"/>
        </w:rPr>
        <w:t>Erez</w:t>
      </w:r>
      <w:proofErr w:type="spellEnd"/>
      <w:r>
        <w:rPr>
          <w:rFonts w:eastAsia="Times New Roman" w:cstheme="majorBidi"/>
          <w:color w:val="000000" w:themeColor="text1"/>
        </w:rPr>
        <w:t xml:space="preserve">, the programmers. </w:t>
      </w:r>
    </w:p>
  </w:footnote>
  <w:footnote w:id="8">
    <w:p w:rsidR="009319E3" w:rsidRDefault="00627AA8">
      <w:pPr>
        <w:jc w:val="both"/>
        <w:rPr>
          <w:rFonts w:asciiTheme="majorBidi" w:eastAsia="Times New Roman" w:hAnsiTheme="majorBidi" w:cstheme="majorBidi"/>
          <w:color w:val="000000" w:themeColor="text1"/>
        </w:rPr>
      </w:pPr>
      <w:r>
        <w:rPr>
          <w:rStyle w:val="Funotenzeichen"/>
        </w:rPr>
        <w:footnoteRef/>
      </w:r>
      <w:r>
        <w:rPr>
          <w:rFonts w:eastAsia="Times New Roman" w:cstheme="majorBidi"/>
          <w:color w:val="000000" w:themeColor="text1"/>
        </w:rPr>
        <w:t xml:space="preserve"> For example, tools like </w:t>
      </w:r>
      <w:proofErr w:type="spellStart"/>
      <w:r>
        <w:rPr>
          <w:rFonts w:eastAsia="Times New Roman" w:cstheme="majorBidi"/>
          <w:color w:val="000000" w:themeColor="text1"/>
        </w:rPr>
        <w:t>Recogito</w:t>
      </w:r>
      <w:proofErr w:type="spellEnd"/>
      <w:r>
        <w:rPr>
          <w:rFonts w:eastAsia="Times New Roman" w:cstheme="majorBidi"/>
          <w:color w:val="000000" w:themeColor="text1"/>
        </w:rPr>
        <w:t xml:space="preserve"> (</w:t>
      </w:r>
      <w:hyperlink r:id="rId3">
        <w:r>
          <w:rPr>
            <w:rFonts w:eastAsia="Times New Roman" w:cstheme="majorBidi"/>
            <w:color w:val="000000" w:themeColor="text1"/>
            <w:u w:val="single"/>
          </w:rPr>
          <w:t>https://recogito.pelagios.org</w:t>
        </w:r>
      </w:hyperlink>
      <w:r>
        <w:rPr>
          <w:rFonts w:eastAsia="Times New Roman" w:cstheme="majorBidi"/>
          <w:color w:val="000000" w:themeColor="text1"/>
        </w:rPr>
        <w:t xml:space="preserve">, accessed 27 May 2023) or </w:t>
      </w:r>
      <w:proofErr w:type="spellStart"/>
      <w:r>
        <w:rPr>
          <w:rFonts w:eastAsia="Times New Roman" w:cstheme="majorBidi"/>
          <w:color w:val="000000" w:themeColor="text1"/>
        </w:rPr>
        <w:t>INCEpTION</w:t>
      </w:r>
      <w:proofErr w:type="spellEnd"/>
      <w:r>
        <w:rPr>
          <w:rFonts w:eastAsia="Times New Roman" w:cstheme="majorBidi"/>
          <w:color w:val="000000" w:themeColor="text1"/>
        </w:rPr>
        <w:t xml:space="preserve"> (</w:t>
      </w:r>
      <w:hyperlink r:id="rId4">
        <w:r>
          <w:rPr>
            <w:rFonts w:eastAsia="Times New Roman" w:cstheme="majorBidi"/>
            <w:color w:val="000000" w:themeColor="text1"/>
            <w:u w:val="single"/>
          </w:rPr>
          <w:t>https://inception-proj</w:t>
        </w:r>
        <w:r>
          <w:rPr>
            <w:rFonts w:eastAsia="Times New Roman" w:cstheme="majorBidi"/>
            <w:color w:val="000000" w:themeColor="text1"/>
            <w:u w:val="single"/>
          </w:rPr>
          <w:t>ect.github.io</w:t>
        </w:r>
      </w:hyperlink>
      <w:r>
        <w:rPr>
          <w:rFonts w:eastAsia="Times New Roman" w:cstheme="majorBidi"/>
          <w:color w:val="000000" w:themeColor="text1"/>
        </w:rPr>
        <w:t xml:space="preserve">, accessed 27 May 2023). In addition, </w:t>
      </w:r>
      <w:proofErr w:type="spellStart"/>
      <w:r>
        <w:rPr>
          <w:rFonts w:eastAsia="Times New Roman" w:cstheme="majorBidi"/>
          <w:color w:val="000000" w:themeColor="text1"/>
        </w:rPr>
        <w:t>Münz</w:t>
      </w:r>
      <w:proofErr w:type="spellEnd"/>
      <w:r>
        <w:rPr>
          <w:rFonts w:eastAsia="Times New Roman" w:cstheme="majorBidi"/>
          <w:color w:val="000000" w:themeColor="text1"/>
        </w:rPr>
        <w:t xml:space="preserve">-Manor and colleagues from the </w:t>
      </w:r>
      <w:proofErr w:type="spellStart"/>
      <w:r>
        <w:rPr>
          <w:rFonts w:eastAsia="Times New Roman" w:cstheme="majorBidi"/>
          <w:color w:val="000000" w:themeColor="text1"/>
        </w:rPr>
        <w:t>Technion</w:t>
      </w:r>
      <w:proofErr w:type="spellEnd"/>
      <w:r>
        <w:rPr>
          <w:rFonts w:eastAsia="Times New Roman" w:cstheme="majorBidi"/>
          <w:color w:val="000000" w:themeColor="text1"/>
        </w:rPr>
        <w:t>, Israel Institute of Technology are currently training deep machine learning models, based on the manual annotations from the doctoral dissertation, to automatic</w:t>
      </w:r>
      <w:r>
        <w:rPr>
          <w:rFonts w:eastAsia="Times New Roman" w:cstheme="majorBidi"/>
          <w:color w:val="000000" w:themeColor="text1"/>
        </w:rPr>
        <w:t xml:space="preserve">ally detect metaphors in the medieval corpus of </w:t>
      </w:r>
      <w:proofErr w:type="spellStart"/>
      <w:r>
        <w:rPr>
          <w:rFonts w:eastAsia="Times New Roman" w:cstheme="majorBidi"/>
          <w:i/>
          <w:color w:val="000000" w:themeColor="text1"/>
        </w:rPr>
        <w:t>piyyut</w:t>
      </w:r>
      <w:proofErr w:type="spellEnd"/>
      <w:r>
        <w:rPr>
          <w:rFonts w:eastAsia="Times New Roman" w:cstheme="majorBidi"/>
          <w:color w:val="000000" w:themeColor="text1"/>
        </w:rPr>
        <w:t xml:space="preserve"> (“</w:t>
      </w:r>
      <w:proofErr w:type="spellStart"/>
      <w:r>
        <w:rPr>
          <w:rFonts w:eastAsia="Times New Roman" w:cstheme="majorBidi"/>
          <w:color w:val="000000" w:themeColor="text1"/>
          <w:highlight w:val="white"/>
        </w:rPr>
        <w:t>FigureOut</w:t>
      </w:r>
      <w:proofErr w:type="spellEnd"/>
      <w:r>
        <w:rPr>
          <w:rFonts w:eastAsia="Times New Roman" w:cstheme="majorBidi"/>
          <w:color w:val="000000" w:themeColor="text1"/>
          <w:highlight w:val="white"/>
        </w:rPr>
        <w:t xml:space="preserve"> - Automatic Detection of Metaphors in Hebrew Across the Eras”</w:t>
      </w:r>
      <w:proofErr w:type="gramStart"/>
      <w:r>
        <w:rPr>
          <w:rFonts w:eastAsia="Times New Roman" w:cstheme="majorBidi"/>
          <w:color w:val="000000" w:themeColor="text1"/>
          <w:highlight w:val="white"/>
        </w:rPr>
        <w:t xml:space="preserve">, </w:t>
      </w:r>
      <w:r>
        <w:rPr>
          <w:rFonts w:eastAsia="Times New Roman" w:cstheme="majorBidi"/>
          <w:color w:val="000000" w:themeColor="text1"/>
        </w:rPr>
        <w:t xml:space="preserve"> DH2023</w:t>
      </w:r>
      <w:proofErr w:type="gramEnd"/>
      <w:r>
        <w:rPr>
          <w:rFonts w:eastAsia="Times New Roman" w:cstheme="majorBidi"/>
          <w:color w:val="000000" w:themeColor="text1"/>
        </w:rPr>
        <w:t>, Graz, Austria, poster session).</w:t>
      </w:r>
    </w:p>
  </w:footnote>
  <w:footnote w:id="9">
    <w:p w:rsidR="009319E3" w:rsidRDefault="00627AA8">
      <w:pPr>
        <w:spacing w:line="240" w:lineRule="auto"/>
        <w:rPr>
          <w:rFonts w:asciiTheme="majorBidi" w:hAnsiTheme="majorBidi" w:cstheme="majorBidi"/>
          <w:color w:val="000000" w:themeColor="text1"/>
        </w:rPr>
      </w:pPr>
      <w:r>
        <w:rPr>
          <w:rStyle w:val="Funotenzeichen"/>
        </w:rPr>
        <w:footnoteRef/>
      </w:r>
      <w:r>
        <w:rPr>
          <w:rFonts w:cstheme="majorBidi"/>
          <w:color w:val="000000" w:themeColor="text1"/>
        </w:rPr>
        <w:t xml:space="preserve"> This idea, we believe, has a lot of potential; we hope to discuss it in detail else</w:t>
      </w:r>
      <w:r>
        <w:rPr>
          <w:rFonts w:cstheme="majorBidi"/>
          <w:color w:val="000000" w:themeColor="text1"/>
        </w:rPr>
        <w:t>where.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E3"/>
    <w:rsid w:val="000F6EC1"/>
    <w:rsid w:val="00627AA8"/>
    <w:rsid w:val="009319E3"/>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CA600B-F4E2-4ED6-88D2-4169ED8B6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033"/>
    <w:pPr>
      <w:spacing w:after="120" w:line="360" w:lineRule="auto"/>
    </w:pPr>
    <w:rPr>
      <w:rFonts w:ascii="Times New Roman" w:hAnsi="Times New Roman" w:cs="Times New Roman"/>
      <w:sz w:val="20"/>
      <w:szCs w:val="20"/>
    </w:rPr>
  </w:style>
  <w:style w:type="paragraph" w:styleId="Heading1">
    <w:name w:val="heading 1"/>
    <w:basedOn w:val="Normal"/>
    <w:next w:val="Normal"/>
    <w:link w:val="Heading1Char"/>
    <w:uiPriority w:val="9"/>
    <w:qFormat/>
    <w:rsid w:val="00101177"/>
    <w:pPr>
      <w:keepNext/>
      <w:keepLines/>
      <w:spacing w:before="240"/>
      <w:outlineLvl w:val="0"/>
    </w:pPr>
    <w:rPr>
      <w:rFonts w:eastAsiaTheme="majorEastAsia"/>
      <w:color w:val="000000" w:themeColor="text1"/>
      <w:sz w:val="32"/>
      <w:szCs w:val="32"/>
    </w:rPr>
  </w:style>
  <w:style w:type="paragraph" w:styleId="Heading2">
    <w:name w:val="heading 2"/>
    <w:basedOn w:val="Normal"/>
    <w:next w:val="Normal"/>
    <w:link w:val="Heading2Char"/>
    <w:uiPriority w:val="9"/>
    <w:unhideWhenUsed/>
    <w:qFormat/>
    <w:rsid w:val="00101177"/>
    <w:pPr>
      <w:keepNext/>
      <w:keepLines/>
      <w:spacing w:before="40"/>
      <w:outlineLvl w:val="1"/>
    </w:pPr>
    <w:rPr>
      <w:rFonts w:eastAsiaTheme="majorEastAsia"/>
      <w:i/>
      <w:iCs/>
      <w:color w:val="000000" w:themeColor="text1"/>
      <w:sz w:val="26"/>
      <w:szCs w:val="26"/>
    </w:rPr>
  </w:style>
  <w:style w:type="paragraph" w:styleId="Heading3">
    <w:name w:val="heading 3"/>
    <w:basedOn w:val="Normal"/>
    <w:next w:val="Normal"/>
    <w:link w:val="Heading3Char"/>
    <w:uiPriority w:val="9"/>
    <w:unhideWhenUsed/>
    <w:qFormat/>
    <w:rsid w:val="00101177"/>
    <w:pPr>
      <w:outlineLvl w:val="2"/>
    </w:pPr>
    <w:rPr>
      <w:b/>
      <w:bCs/>
      <w:sz w:val="22"/>
      <w:szCs w:val="22"/>
    </w:rPr>
  </w:style>
  <w:style w:type="paragraph" w:styleId="Heading4">
    <w:name w:val="heading 4"/>
    <w:basedOn w:val="Normal"/>
    <w:next w:val="Normal"/>
    <w:link w:val="Heading4Char"/>
    <w:uiPriority w:val="9"/>
    <w:unhideWhenUsed/>
    <w:qFormat/>
    <w:rsid w:val="000A0AC7"/>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01177"/>
    <w:rPr>
      <w:rFonts w:ascii="Times New Roman" w:eastAsiaTheme="majorEastAsia" w:hAnsi="Times New Roman" w:cs="Times New Roman"/>
      <w:color w:val="000000" w:themeColor="text1"/>
      <w:sz w:val="32"/>
      <w:szCs w:val="32"/>
    </w:rPr>
  </w:style>
  <w:style w:type="character" w:customStyle="1" w:styleId="Heading2Char">
    <w:name w:val="Heading 2 Char"/>
    <w:basedOn w:val="DefaultParagraphFont"/>
    <w:link w:val="Heading2"/>
    <w:uiPriority w:val="9"/>
    <w:qFormat/>
    <w:rsid w:val="00101177"/>
    <w:rPr>
      <w:rFonts w:ascii="Times New Roman" w:eastAsiaTheme="majorEastAsia" w:hAnsi="Times New Roman" w:cs="Times New Roman"/>
      <w:i/>
      <w:iCs/>
      <w:color w:val="000000" w:themeColor="text1"/>
      <w:sz w:val="26"/>
      <w:szCs w:val="26"/>
    </w:rPr>
  </w:style>
  <w:style w:type="character" w:customStyle="1" w:styleId="Heading3Char">
    <w:name w:val="Heading 3 Char"/>
    <w:basedOn w:val="DefaultParagraphFont"/>
    <w:link w:val="Heading3"/>
    <w:uiPriority w:val="9"/>
    <w:qFormat/>
    <w:rsid w:val="00101177"/>
    <w:rPr>
      <w:rFonts w:ascii="Times New Roman" w:hAnsi="Times New Roman" w:cs="Times New Roman"/>
      <w:b/>
      <w:bCs/>
      <w:sz w:val="22"/>
      <w:szCs w:val="22"/>
    </w:rPr>
  </w:style>
  <w:style w:type="character" w:customStyle="1" w:styleId="dhqitalictitle">
    <w:name w:val="dhq_italic_title"/>
    <w:basedOn w:val="DefaultParagraphFont"/>
    <w:uiPriority w:val="1"/>
    <w:qFormat/>
    <w:rsid w:val="00101177"/>
    <w:rPr>
      <w:rFonts w:ascii="Times New Roman" w:hAnsi="Times New Roman"/>
      <w:i/>
    </w:rPr>
  </w:style>
  <w:style w:type="character" w:customStyle="1" w:styleId="Betont">
    <w:name w:val="Betont"/>
    <w:basedOn w:val="DefaultParagraphFont"/>
    <w:uiPriority w:val="20"/>
    <w:qFormat/>
    <w:rsid w:val="00101177"/>
    <w:rPr>
      <w:rFonts w:ascii="Times New Roman" w:hAnsi="Times New Roman"/>
      <w:i/>
      <w:iCs/>
    </w:rPr>
  </w:style>
  <w:style w:type="character" w:customStyle="1" w:styleId="dhqcitation">
    <w:name w:val="dhq_citation"/>
    <w:basedOn w:val="DefaultParagraphFont"/>
    <w:uiPriority w:val="1"/>
    <w:qFormat/>
    <w:rsid w:val="009B699D"/>
    <w:rPr>
      <w:rFonts w:ascii="Times New Roman" w:hAnsi="Times New Roman"/>
      <w:b/>
      <w:bCs/>
    </w:rPr>
  </w:style>
  <w:style w:type="character" w:customStyle="1" w:styleId="dhqterm">
    <w:name w:val="dhq_term"/>
    <w:basedOn w:val="DefaultParagraphFont"/>
    <w:uiPriority w:val="1"/>
    <w:qFormat/>
    <w:rsid w:val="009B699D"/>
    <w:rPr>
      <w:rFonts w:ascii="Times New Roman" w:hAnsi="Times New Roman"/>
      <w:i/>
    </w:rPr>
  </w:style>
  <w:style w:type="character" w:customStyle="1" w:styleId="dhqemphasis">
    <w:name w:val="dhq_emphasis"/>
    <w:basedOn w:val="DefaultParagraphFont"/>
    <w:uiPriority w:val="1"/>
    <w:qFormat/>
    <w:rsid w:val="00E42F3D"/>
    <w:rPr>
      <w:rFonts w:ascii="Times New Roman" w:hAnsi="Times New Roman"/>
      <w:i/>
    </w:rPr>
  </w:style>
  <w:style w:type="character" w:customStyle="1" w:styleId="Heading4Char">
    <w:name w:val="Heading 4 Char"/>
    <w:basedOn w:val="DefaultParagraphFont"/>
    <w:link w:val="Heading4"/>
    <w:uiPriority w:val="9"/>
    <w:qFormat/>
    <w:rsid w:val="000A0AC7"/>
    <w:rPr>
      <w:rFonts w:ascii="Times New Roman" w:hAnsi="Times New Roman" w:cs="Times New Roman"/>
      <w:b/>
      <w:bCs/>
      <w:sz w:val="20"/>
      <w:szCs w:val="20"/>
    </w:rPr>
  </w:style>
  <w:style w:type="character" w:customStyle="1" w:styleId="Internetverknpfung">
    <w:name w:val="Internetverknüpfung"/>
    <w:basedOn w:val="DefaultParagraphFont"/>
    <w:uiPriority w:val="99"/>
    <w:unhideWhenUsed/>
    <w:rsid w:val="00BA0E6D"/>
    <w:rPr>
      <w:rFonts w:ascii="Times New Roman" w:hAnsi="Times New Roman"/>
      <w:color w:val="0563C1" w:themeColor="hyperlink"/>
      <w:u w:val="single"/>
    </w:rPr>
  </w:style>
  <w:style w:type="character" w:customStyle="1" w:styleId="UnresolvedMention">
    <w:name w:val="Unresolved Mention"/>
    <w:basedOn w:val="DefaultParagraphFont"/>
    <w:uiPriority w:val="99"/>
    <w:semiHidden/>
    <w:unhideWhenUsed/>
    <w:qFormat/>
    <w:rsid w:val="00BA0E6D"/>
    <w:rPr>
      <w:rFonts w:ascii="Times New Roman" w:hAnsi="Times New Roman"/>
      <w:color w:val="605E5C"/>
      <w:shd w:val="clear" w:color="auto" w:fill="E1DFDD"/>
    </w:rPr>
  </w:style>
  <w:style w:type="character" w:customStyle="1" w:styleId="Funotenzeichen">
    <w:name w:val="Fußnotenzeichen"/>
    <w:qFormat/>
  </w:style>
  <w:style w:type="character" w:customStyle="1" w:styleId="Funotenanker">
    <w:name w:val="Fußnotenanker"/>
    <w:rPr>
      <w:vertAlign w:val="superscript"/>
    </w:rPr>
  </w:style>
  <w:style w:type="character" w:customStyle="1" w:styleId="Endnotenanker">
    <w:name w:val="Endnotenanker"/>
    <w:rPr>
      <w:vertAlign w:val="superscript"/>
    </w:rPr>
  </w:style>
  <w:style w:type="character" w:customStyle="1" w:styleId="Endnotenzeichen">
    <w:name w:val="Endnotenzeichen"/>
    <w:qFormat/>
  </w:style>
  <w:style w:type="paragraph" w:customStyle="1" w:styleId="berschrift">
    <w:name w:val="Überschrift"/>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Verzeichnis">
    <w:name w:val="Verzeichnis"/>
    <w:basedOn w:val="Normal"/>
    <w:qFormat/>
    <w:pPr>
      <w:suppressLineNumbers/>
    </w:pPr>
    <w:rPr>
      <w:rFonts w:cs="Lucida Sans"/>
    </w:rPr>
  </w:style>
  <w:style w:type="paragraph" w:styleId="ListParagraph">
    <w:name w:val="List Paragraph"/>
    <w:basedOn w:val="Normal"/>
    <w:uiPriority w:val="34"/>
    <w:qFormat/>
    <w:rsid w:val="00E42F3D"/>
    <w:pPr>
      <w:ind w:left="720"/>
      <w:contextualSpacing/>
    </w:pPr>
  </w:style>
  <w:style w:type="paragraph" w:customStyle="1" w:styleId="dhqcaption">
    <w:name w:val="dhq_caption"/>
    <w:basedOn w:val="Normal"/>
    <w:next w:val="Normal"/>
    <w:qFormat/>
    <w:rsid w:val="00561033"/>
    <w:pPr>
      <w:spacing w:after="0" w:line="240" w:lineRule="auto"/>
    </w:pPr>
    <w:rPr>
      <w:rFonts w:ascii="Arial" w:hAnsi="Arial" w:cs="Arial"/>
      <w:color w:val="000000" w:themeColor="text1"/>
    </w:rPr>
  </w:style>
  <w:style w:type="paragraph" w:customStyle="1" w:styleId="dhqfigdesc">
    <w:name w:val="dhq_figdesc"/>
    <w:basedOn w:val="Normal"/>
    <w:next w:val="Normal"/>
    <w:qFormat/>
    <w:rsid w:val="00561033"/>
    <w:pPr>
      <w:spacing w:line="240" w:lineRule="auto"/>
    </w:pPr>
    <w:rPr>
      <w:rFonts w:ascii="Arial" w:hAnsi="Arial" w:cs="Arial"/>
      <w:color w:val="4472C4" w:themeColor="accent1"/>
    </w:rPr>
  </w:style>
  <w:style w:type="paragraph" w:customStyle="1" w:styleId="dhqtabledata">
    <w:name w:val="dhq_table_data"/>
    <w:basedOn w:val="Normal"/>
    <w:qFormat/>
    <w:rsid w:val="00CE2EE4"/>
  </w:style>
  <w:style w:type="paragraph" w:customStyle="1" w:styleId="dhqtablelabel">
    <w:name w:val="dhq_table_label"/>
    <w:basedOn w:val="dhqtabledata"/>
    <w:qFormat/>
    <w:rsid w:val="00CE2EE4"/>
    <w:rPr>
      <w:b/>
      <w:bCs/>
    </w:rPr>
  </w:style>
  <w:style w:type="paragraph" w:styleId="FootnoteText">
    <w:name w:val="footnote text"/>
    <w:basedOn w:val="Normal"/>
  </w:style>
  <w:style w:type="table" w:styleId="TableGrid">
    <w:name w:val="Table Grid"/>
    <w:basedOn w:val="TableNormal"/>
    <w:uiPriority w:val="39"/>
    <w:rsid w:val="00CE2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ottbot.net/2014/09/" TargetMode="External"/><Relationship Id="rId3" Type="http://schemas.openxmlformats.org/officeDocument/2006/relationships/webSettings" Target="webSettings.xml"/><Relationship Id="rId21" Type="http://schemas.openxmlformats.org/officeDocument/2006/relationships/hyperlink" Target="http://fortext.net/routinen/methoden/manuelle-annot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voyant-tools.or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doi.org/10.5281/zenodo.1470118" TargetMode="External"/><Relationship Id="rId1" Type="http://schemas.openxmlformats.org/officeDocument/2006/relationships/styles" Target="styles.xml"/><Relationship Id="rId6" Type="http://schemas.openxmlformats.org/officeDocument/2006/relationships/hyperlink" Target="http://visavis.ouproj.org.il/" TargetMode="External"/><Relationship Id="rId11" Type="http://schemas.openxmlformats.org/officeDocument/2006/relationships/image" Target="media/image5.png"/><Relationship Id="rId24" Type="http://schemas.openxmlformats.org/officeDocument/2006/relationships/hyperlink" Target="https://doi.org/10.1057/9780230371934_4"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arxiv.org/abs/2211.02570"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2009.02063"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recogito.pelagios.org/" TargetMode="External"/><Relationship Id="rId2" Type="http://schemas.openxmlformats.org/officeDocument/2006/relationships/hyperlink" Target="https://inception-project.github.io/" TargetMode="External"/><Relationship Id="rId1" Type="http://schemas.openxmlformats.org/officeDocument/2006/relationships/hyperlink" Target="https://matthewsalomon.wordpress.com/2008/04/03/dan-pagis-conversation/" TargetMode="External"/><Relationship Id="rId4" Type="http://schemas.openxmlformats.org/officeDocument/2006/relationships/hyperlink" Target="https://inception-project.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8232</Words>
  <Characters>46929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Flanders, Julia</dc:creator>
  <dc:description/>
  <cp:lastModifiedBy>איתי מרינברג-מיליקובסקי</cp:lastModifiedBy>
  <cp:revision>2</cp:revision>
  <dcterms:created xsi:type="dcterms:W3CDTF">2023-06-14T09:52:00Z</dcterms:created>
  <dcterms:modified xsi:type="dcterms:W3CDTF">2023-06-14T09:52:00Z</dcterms:modified>
  <dc:language>de-DE</dc:language>
</cp:coreProperties>
</file>