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209E0" w:rsidRDefault="00000000">
      <w:pPr>
        <w:spacing w:after="240" w:line="240" w:lineRule="auto"/>
        <w:rPr>
          <w:rFonts w:ascii="Times New Roman" w:eastAsia="Times New Roman" w:hAnsi="Times New Roman"/>
          <w:sz w:val="24"/>
          <w:szCs w:val="24"/>
        </w:rPr>
      </w:pPr>
      <w:proofErr w:type="spellStart"/>
      <w:r>
        <w:rPr>
          <w:rFonts w:cs="Calibri"/>
          <w:b/>
          <w:color w:val="000000"/>
          <w:sz w:val="24"/>
          <w:szCs w:val="24"/>
          <w:u w:val="single"/>
        </w:rPr>
        <w:t>Polysemicolon</w:t>
      </w:r>
      <w:proofErr w:type="spellEnd"/>
      <w:r>
        <w:rPr>
          <w:rFonts w:cs="Calibri"/>
          <w:b/>
          <w:color w:val="000000"/>
          <w:sz w:val="24"/>
          <w:szCs w:val="24"/>
          <w:u w:val="single"/>
        </w:rPr>
        <w:t>; Novice Programmers and Java Keywords</w:t>
      </w:r>
      <w:r>
        <w:rPr>
          <w:rFonts w:cs="Calibri"/>
          <w:b/>
          <w:color w:val="000000"/>
          <w:sz w:val="24"/>
          <w:szCs w:val="24"/>
        </w:rPr>
        <w:t xml:space="preserve"> </w:t>
      </w:r>
      <w:r>
        <w:rPr>
          <w:rFonts w:cs="Calibri"/>
          <w:i/>
          <w:color w:val="000000"/>
          <w:sz w:val="24"/>
          <w:szCs w:val="24"/>
        </w:rPr>
        <w:t xml:space="preserve">(Briana </w:t>
      </w:r>
      <w:proofErr w:type="spellStart"/>
      <w:r>
        <w:rPr>
          <w:rFonts w:cs="Calibri"/>
          <w:i/>
          <w:color w:val="000000"/>
          <w:sz w:val="24"/>
          <w:szCs w:val="24"/>
        </w:rPr>
        <w:t>Bettin</w:t>
      </w:r>
      <w:proofErr w:type="spellEnd"/>
      <w:r>
        <w:rPr>
          <w:rFonts w:cs="Calibri"/>
          <w:i/>
          <w:color w:val="000000"/>
          <w:sz w:val="24"/>
          <w:szCs w:val="24"/>
        </w:rPr>
        <w:t>)</w:t>
      </w:r>
    </w:p>
    <w:p w14:paraId="0000000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Abstract</w:t>
      </w:r>
    </w:p>
    <w:p w14:paraId="0000000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Industry standard programming languages often leverage the English language for reserved keywords – words interpreted as specific execution commands for the compiled program. The Java programming language is no exception to using English reserved </w:t>
      </w:r>
      <w:proofErr w:type="gramStart"/>
      <w:r>
        <w:rPr>
          <w:rFonts w:cs="Calibri"/>
          <w:color w:val="000000"/>
          <w:sz w:val="24"/>
          <w:szCs w:val="24"/>
        </w:rPr>
        <w:t>keywords, and</w:t>
      </w:r>
      <w:proofErr w:type="gramEnd"/>
      <w:r>
        <w:rPr>
          <w:rFonts w:cs="Calibri"/>
          <w:color w:val="000000"/>
          <w:sz w:val="24"/>
          <w:szCs w:val="24"/>
        </w:rPr>
        <w:t xml:space="preserve"> is used widely in industrial and educational settings.</w:t>
      </w:r>
    </w:p>
    <w:p w14:paraId="0000000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expert-novice programmer divide exemplifies an intriguing middle-ground for navigating metaphor and highlighting polysemic interpretations of keywords. For experts, keywords become “dead metaphor” (drawn from </w:t>
      </w:r>
      <w:r>
        <w:rPr>
          <w:sz w:val="24"/>
          <w:szCs w:val="24"/>
        </w:rPr>
        <w:t>“</w:t>
      </w:r>
      <w:sdt>
        <w:sdtPr>
          <w:tag w:val="goog_rdk_0"/>
          <w:id w:val="217647159"/>
        </w:sdtPr>
        <w:sdtContent>
          <w:commentRangeStart w:id="0"/>
        </w:sdtContent>
      </w:sdt>
      <w:sdt>
        <w:sdtPr>
          <w:tag w:val="goog_rdk_1"/>
          <w:id w:val="1785611950"/>
        </w:sdtPr>
        <w:sdtContent>
          <w:commentRangeStart w:id="1"/>
        </w:sdtContent>
      </w:sdt>
      <w:r>
        <w:rPr>
          <w:rFonts w:cs="Calibri"/>
          <w:color w:val="000000"/>
          <w:sz w:val="24"/>
          <w:szCs w:val="24"/>
        </w:rPr>
        <w:t>career of metaphor</w:t>
      </w:r>
      <w:commentRangeEnd w:id="0"/>
      <w:r>
        <w:commentReference w:id="0"/>
      </w:r>
      <w:commentRangeEnd w:id="1"/>
      <w:r>
        <w:commentReference w:id="1"/>
      </w:r>
      <w:r>
        <w:rPr>
          <w:sz w:val="24"/>
          <w:szCs w:val="24"/>
        </w:rPr>
        <w:t>”</w:t>
      </w:r>
      <w:r>
        <w:rPr>
          <w:rFonts w:cs="Calibri"/>
          <w:color w:val="000000"/>
          <w:sz w:val="24"/>
          <w:szCs w:val="24"/>
        </w:rPr>
        <w:t xml:space="preserve"> theory). That is, the expert sees the keyword – often the entire grammatical construct with it – and derives programmatic meaning near instantly. For the expert, there is rare consideration of alternative English-language interpretations. Novices however, in attempting to first navigate programming, may use these English keywords as familiar landmarks in unfamiliar terrain. Amidst a sea of semicolons, single letter variables, and math operators, they may gravitate to familiar words such as “if” or “while” to derive meaning. </w:t>
      </w:r>
    </w:p>
    <w:p w14:paraId="0000000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Attempts by novices to create meaning using these English definitions can, however, result in potential misconceptions. The word “for” as a preposition has over a dozen distinct definitions. Which definition should a novice programmer use to achieve understanding in learning to program, and what misconceptions may they develop through alternatives to the “correct” choice? For some keywords, there may be no completely “correct” definition. While this ambiguity can create a myriad of interpretations for critical code studies, it can provide pitfalls for those first learning to program.</w:t>
      </w:r>
      <w:r>
        <w:rPr>
          <w:rFonts w:ascii="Times New Roman" w:eastAsia="Times New Roman" w:hAnsi="Times New Roman"/>
          <w:sz w:val="24"/>
          <w:szCs w:val="24"/>
        </w:rPr>
        <w:t xml:space="preserve"> </w:t>
      </w:r>
      <w:r>
        <w:rPr>
          <w:rFonts w:cs="Calibri"/>
          <w:color w:val="000000"/>
          <w:sz w:val="24"/>
          <w:szCs w:val="24"/>
        </w:rPr>
        <w:t>This essay samples several keyword interpretations that novice programmers may derive from the Java language’s keywords and how polysemous meaning may affect their interpretation. Through observation of students in their CS1 class, the author began exploring how polysemy, linguistics, and metaphoric interpretations may affect understanding in beginner courses. These students are largely native English speakers, highlighting that understanding rifts exist even for native and colloquial speakers.</w:t>
      </w:r>
    </w:p>
    <w:p w14:paraId="0000000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Code snippets are explored with both compiled keyword meanings and potential understood meanings. This provides insight into pathways for student reasoning and navigation in the programming landscape. The </w:t>
      </w:r>
      <w:proofErr w:type="gramStart"/>
      <w:r>
        <w:rPr>
          <w:rFonts w:cs="Calibri"/>
          <w:color w:val="000000"/>
          <w:sz w:val="24"/>
          <w:szCs w:val="24"/>
        </w:rPr>
        <w:t>myriad</w:t>
      </w:r>
      <w:proofErr w:type="gramEnd"/>
      <w:r>
        <w:rPr>
          <w:rFonts w:cs="Calibri"/>
          <w:color w:val="000000"/>
          <w:sz w:val="24"/>
          <w:szCs w:val="24"/>
        </w:rPr>
        <w:t xml:space="preserve"> of potential conclusions or definitions are contrasted against the compiler’s singular interpretation, and how the polysemic potential of natural language falls to singular dead metaphor in experts. This stark difference between natural linguistics, critical code analysis, and compiled code meaning highlights contrasts between programming and natural languages, in addition to highlight paradigm shifts that may occur in pursuit of expertise. </w:t>
      </w:r>
    </w:p>
    <w:p w14:paraId="0000000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This essay investigates the interplay of linguistics and syntax within novice mental models alongside considerations and conclusions that can be drawn from keyword polysemy.  </w:t>
      </w:r>
    </w:p>
    <w:p w14:paraId="00000008" w14:textId="77777777" w:rsidR="001209E0" w:rsidRDefault="001209E0">
      <w:pPr>
        <w:spacing w:after="0" w:line="240" w:lineRule="auto"/>
        <w:rPr>
          <w:rFonts w:ascii="Times New Roman" w:eastAsia="Times New Roman" w:hAnsi="Times New Roman"/>
          <w:sz w:val="24"/>
          <w:szCs w:val="24"/>
        </w:rPr>
      </w:pPr>
    </w:p>
    <w:p w14:paraId="0000000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lastRenderedPageBreak/>
        <w:t>1 – Strangers in a Strange Land: Novices at the Terminal</w:t>
      </w:r>
    </w:p>
    <w:p w14:paraId="0000000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a computer is not an easy task: we wave goodbye to the shores of our analog realm, immersed in pools of strict digital logic. Novice programmers often struggle to navigate this new terrain:  with strange symbols punctuating supposed sentences, and perplexing rules governing the effects of their efforts. When considering the complexity of the novice’s first voyage into programming, it is little wonder that syntactic keywords which appear as “real words," can become beacons they affix their interpretations to. </w:t>
      </w:r>
    </w:p>
    <w:p w14:paraId="0000000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1.1 Building Beacons: Core Concepts in this Essay’s Exploration</w:t>
      </w:r>
    </w:p>
    <w:p w14:paraId="0000000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setting out, let us place a grounding keyword beacon for this essay. The term “polysemy” suggests “the coexistence of many possible meanings for a word or phrase." </w:t>
      </w:r>
      <w:proofErr w:type="spellStart"/>
      <w:r>
        <w:rPr>
          <w:rFonts w:cs="Calibri"/>
          <w:color w:val="000000"/>
          <w:sz w:val="24"/>
          <w:szCs w:val="24"/>
        </w:rPr>
        <w:t>n</w:t>
      </w:r>
      <w:proofErr w:type="spellEnd"/>
      <w:r>
        <w:rPr>
          <w:rFonts w:cs="Calibri"/>
          <w:color w:val="000000"/>
          <w:sz w:val="24"/>
          <w:szCs w:val="24"/>
        </w:rPr>
        <w:t xml:space="preserve"> this essay, polysemy refers to the concept of multiple interpretations used while reasoning is at the forefront.</w:t>
      </w:r>
    </w:p>
    <w:p w14:paraId="0000000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Polysemy naturally cohabitates with ambiguity: with many paths of interpretation before us, which one will we choose? A word, a phrase, an idea, or a creative work may have many meanings, exemplifying polysemy. This space for interpretation, for </w:t>
      </w:r>
      <w:proofErr w:type="gramStart"/>
      <w:r>
        <w:rPr>
          <w:rFonts w:cs="Calibri"/>
          <w:color w:val="000000"/>
          <w:sz w:val="24"/>
          <w:szCs w:val="24"/>
        </w:rPr>
        <w:t>meaning-making</w:t>
      </w:r>
      <w:proofErr w:type="gramEnd"/>
      <w:r>
        <w:rPr>
          <w:rFonts w:cs="Calibri"/>
          <w:color w:val="000000"/>
          <w:sz w:val="24"/>
          <w:szCs w:val="24"/>
        </w:rPr>
        <w:t>, is central to critical analysis and human creative endeavors. The beauty of ambiguity, however, comes from a deep enough understanding to recognize and explore this ambiguity. The interpretation of polysemy in critical code studies requires one to be able to recognize a multitude of meanings within the text – to “walk each path” and consider its destination.</w:t>
      </w:r>
    </w:p>
    <w:p w14:paraId="0000000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potential gives polysemy its poetic power, as seen in critical readings and literature interpretations throughout human history. In pedagogical contexts, however, polysemy can create tension. The intense novelty of learning new skills and information can place pragmatic limits on our ability to appreciate polysemy. When learning </w:t>
      </w:r>
      <w:r>
        <w:rPr>
          <w:rFonts w:cs="Calibri"/>
          <w:i/>
          <w:color w:val="000000"/>
          <w:sz w:val="24"/>
          <w:szCs w:val="24"/>
        </w:rPr>
        <w:t>how</w:t>
      </w:r>
      <w:r>
        <w:rPr>
          <w:rFonts w:cs="Calibri"/>
          <w:color w:val="000000"/>
          <w:sz w:val="24"/>
          <w:szCs w:val="24"/>
        </w:rPr>
        <w:t xml:space="preserve"> to do a task (reading or writing, for example) we focus on skill development and tool mastery. Many pathways become an obstacle in this context: we cannot appreciate “walking paths of meaning” when we are still achieving a baseline of the ground beneath our feet. </w:t>
      </w:r>
    </w:p>
    <w:p w14:paraId="0000000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we can craft new meaning – exploring complexity and abstraction, inviting novelty – we must first understand how to wield what might be termed “original” or “intended” meanings. We subvert and transcend through meaning making only through knowledge of existing expectations and interpretations. As Critical Code Studies notes, “As with all texts, the discovery and creation of meaning grow out of the act of reading and interpretation” (Marino, 2020) – but this act of meaning making requires the skill of reading and the ability to interpret what we have read to be present first. Through this work’s usage of the term, polysemy may appear to be a negative to be “eradicated." This is not the intention: it is a foundation of critical code studies and to creative analysis and exploration of code. However, critical code studies rests on foundations of meaning-making </w:t>
      </w:r>
      <w:r>
        <w:rPr>
          <w:rFonts w:cs="Calibri"/>
          <w:i/>
          <w:color w:val="000000"/>
          <w:sz w:val="24"/>
          <w:szCs w:val="24"/>
        </w:rPr>
        <w:t>about and with code</w:t>
      </w:r>
      <w:r>
        <w:rPr>
          <w:rFonts w:cs="Calibri"/>
          <w:color w:val="000000"/>
          <w:sz w:val="24"/>
          <w:szCs w:val="24"/>
        </w:rPr>
        <w:t xml:space="preserve">, which may consequently </w:t>
      </w:r>
      <w:proofErr w:type="spellStart"/>
      <w:proofErr w:type="gramStart"/>
      <w:r>
        <w:rPr>
          <w:rFonts w:cs="Calibri"/>
          <w:color w:val="000000"/>
          <w:sz w:val="24"/>
          <w:szCs w:val="24"/>
        </w:rPr>
        <w:t>require“</w:t>
      </w:r>
      <w:proofErr w:type="gramEnd"/>
      <w:r>
        <w:rPr>
          <w:rFonts w:cs="Calibri"/>
          <w:color w:val="000000"/>
          <w:sz w:val="24"/>
          <w:szCs w:val="24"/>
        </w:rPr>
        <w:t>exploring</w:t>
      </w:r>
      <w:proofErr w:type="spellEnd"/>
      <w:r>
        <w:rPr>
          <w:rFonts w:cs="Calibri"/>
          <w:color w:val="000000"/>
          <w:sz w:val="24"/>
          <w:szCs w:val="24"/>
        </w:rPr>
        <w:t xml:space="preserve"> pathways." </w:t>
      </w:r>
    </w:p>
    <w:p w14:paraId="0000001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 xml:space="preserve">This challenge for novices learning to program is the crux of this </w:t>
      </w:r>
      <w:proofErr w:type="gramStart"/>
      <w:r>
        <w:rPr>
          <w:rFonts w:cs="Calibri"/>
          <w:color w:val="000000"/>
          <w:sz w:val="24"/>
          <w:szCs w:val="24"/>
        </w:rPr>
        <w:t>paper..</w:t>
      </w:r>
      <w:proofErr w:type="gramEnd"/>
      <w:r>
        <w:rPr>
          <w:rFonts w:cs="Calibri"/>
          <w:color w:val="000000"/>
          <w:sz w:val="24"/>
          <w:szCs w:val="24"/>
        </w:rPr>
        <w:t xml:space="preserve"> Novices often must first “resolve” on some level inherent polysemy in code – “choose a correct path” – </w:t>
      </w:r>
      <w:proofErr w:type="gramStart"/>
      <w:r>
        <w:rPr>
          <w:rFonts w:cs="Calibri"/>
          <w:color w:val="000000"/>
          <w:sz w:val="24"/>
          <w:szCs w:val="24"/>
        </w:rPr>
        <w:t>in order to</w:t>
      </w:r>
      <w:proofErr w:type="gramEnd"/>
      <w:r>
        <w:rPr>
          <w:rFonts w:cs="Calibri"/>
          <w:color w:val="000000"/>
          <w:sz w:val="24"/>
          <w:szCs w:val="24"/>
        </w:rPr>
        <w:t xml:space="preserve"> conceptually understand programming. Once the task of programming is understood, they may return and explore critically, recognizing and appreciating the multitude of polysemic paths. </w:t>
      </w:r>
    </w:p>
    <w:p w14:paraId="0000001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essay explores specifically how the polysemy inherent in programming language design </w:t>
      </w:r>
      <w:proofErr w:type="gramStart"/>
      <w:r>
        <w:rPr>
          <w:rFonts w:cs="Calibri"/>
          <w:color w:val="000000"/>
          <w:sz w:val="24"/>
          <w:szCs w:val="24"/>
        </w:rPr>
        <w:t>through the use of</w:t>
      </w:r>
      <w:proofErr w:type="gramEnd"/>
      <w:r>
        <w:rPr>
          <w:rFonts w:cs="Calibri"/>
          <w:color w:val="000000"/>
          <w:sz w:val="24"/>
          <w:szCs w:val="24"/>
        </w:rPr>
        <w:t xml:space="preserve"> English keywords can affect novice efforts to “make sense” of coding as a practice. For instructors of novice programmers, language designers seeking to create scaffolding for novice programmers to ease the barrier to entry, or for those seeking to understand how novice programmers may interpret code throughout the process of learning it, the question is how </w:t>
      </w:r>
      <w:proofErr w:type="gramStart"/>
      <w:r>
        <w:rPr>
          <w:rFonts w:cs="Calibri"/>
          <w:color w:val="000000"/>
          <w:sz w:val="24"/>
          <w:szCs w:val="24"/>
        </w:rPr>
        <w:t>might this ambiguity</w:t>
      </w:r>
      <w:proofErr w:type="gramEnd"/>
      <w:r>
        <w:rPr>
          <w:rFonts w:cs="Calibri"/>
          <w:color w:val="000000"/>
          <w:sz w:val="24"/>
          <w:szCs w:val="24"/>
        </w:rPr>
        <w:t xml:space="preserve"> be “resolved.” </w:t>
      </w:r>
    </w:p>
    <w:p w14:paraId="0000001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difficulties in polysemy “resolution” for novice learners should not be conflated with critical analysis and interpretation. Where inherent polysemy can create challenges on the path to learning, it creates potential and poetry by seeing code as a complex cultural text in the hands of experts.</w:t>
      </w:r>
    </w:p>
    <w:p w14:paraId="00000013"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1.2 Mental Maps: How Do We Rationalize and Reason? </w:t>
      </w:r>
    </w:p>
    <w:p w14:paraId="0000001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To better understand novice programmer engagement with syntactic keywords, it is vital to consider the consistent perils they overcome while exploring learning to code. Our investigation here of the novice’s journey begins with the concept of working memory and chunks </w:t>
      </w:r>
      <w:proofErr w:type="gramStart"/>
      <w:r>
        <w:rPr>
          <w:rFonts w:cs="Calibri"/>
          <w:color w:val="000000"/>
          <w:sz w:val="24"/>
          <w:szCs w:val="24"/>
        </w:rPr>
        <w:t>in order to</w:t>
      </w:r>
      <w:proofErr w:type="gramEnd"/>
      <w:r>
        <w:rPr>
          <w:rFonts w:cs="Calibri"/>
          <w:color w:val="000000"/>
          <w:sz w:val="24"/>
          <w:szCs w:val="24"/>
        </w:rPr>
        <w:t xml:space="preserve"> build our theoretical framework on cognitive limits. Expansion on these topics and their correlation to novice programming comprehension can be found in the author’s dissertation (</w:t>
      </w:r>
      <w:proofErr w:type="spellStart"/>
      <w:r>
        <w:rPr>
          <w:rFonts w:cs="Calibri"/>
          <w:color w:val="000000"/>
          <w:sz w:val="24"/>
          <w:szCs w:val="24"/>
        </w:rPr>
        <w:t>Bettin</w:t>
      </w:r>
      <w:proofErr w:type="spellEnd"/>
      <w:r>
        <w:rPr>
          <w:rFonts w:cs="Calibri"/>
          <w:color w:val="000000"/>
          <w:sz w:val="24"/>
          <w:szCs w:val="24"/>
        </w:rPr>
        <w:t>, 2020). </w:t>
      </w:r>
    </w:p>
    <w:p w14:paraId="0000001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Neuro, cognitive, and learning sciences present evidence helping us better understand novice programmers and the difficulty navigating digital landscapes. Novices develop mental models of their environments, including the task of programming. Mental models vary in size, complexity, and interconnectivity, but the summation of these models and their connections form the cognitive basis of how we understand the world around us (Norman, 1983; Glynn, 1994). </w:t>
      </w:r>
    </w:p>
    <w:p w14:paraId="0000001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Learning to program can require developing many models. These may range from “how a loop executes” to “how the computer interprets programming instructions," as well as connecting to other models, such as “interpreting real world and word problems to solve using code." Humans can possess multiple models of a single idea: interconnected models comprising a theme (such as the interconnected “programming models” shown prior), fragmented or partial models, and even distinctly different toggling models surrounding the same idea to view a problem from new perspectives (Norman, 1983; de </w:t>
      </w:r>
      <w:proofErr w:type="spellStart"/>
      <w:r>
        <w:rPr>
          <w:rFonts w:cs="Calibri"/>
          <w:color w:val="000000"/>
          <w:sz w:val="24"/>
          <w:szCs w:val="24"/>
        </w:rPr>
        <w:t>Kleer</w:t>
      </w:r>
      <w:proofErr w:type="spellEnd"/>
      <w:r>
        <w:rPr>
          <w:rFonts w:cs="Calibri"/>
          <w:color w:val="000000"/>
          <w:sz w:val="24"/>
          <w:szCs w:val="24"/>
        </w:rPr>
        <w:t xml:space="preserve"> and Brown, 1993; Linder, 1993). Modeling is a foundational theory in human cognition, making it foundational to understanding the process of learning to code.</w:t>
      </w:r>
    </w:p>
    <w:p w14:paraId="0000001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Our mental models help us reason about the world and organize the vast quantity of information in our minds. A complex problem becomes easier to solve when we recognize </w:t>
      </w:r>
      <w:r>
        <w:rPr>
          <w:rFonts w:cs="Calibri"/>
          <w:color w:val="000000"/>
          <w:sz w:val="24"/>
          <w:szCs w:val="24"/>
        </w:rPr>
        <w:lastRenderedPageBreak/>
        <w:t xml:space="preserve">component parts and their operational relationships. Understanding of those components is built upon pre-existing mental models, which we use to reason about concepts like potential action, reaction, and utility. When presented with problems so novel that we are forced to reason intensely on each individual piece, our success in reasoning suffers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xml:space="preserve">, 2007). In neuroscience, this lowered reasoning capability is largely correlated to working memory – the area of our brain devoted to active problem reasoning. This area is fast at reasoning about and retrieving relevant information but limited in the “space” it has for this information. Folk science (in this case informed by neuroscientific theory) suggests considering memory as 7 “plus or minus 2” chunks (Miller, 1956). For a novice learning to program, the whole problem space is a novel area, and each moving part can require distinct attention. </w:t>
      </w:r>
    </w:p>
    <w:p w14:paraId="0000001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“Chunks” in working memory is useful for understanding the difficult task novice programmers face. Mental model consolidation and organization helps to reduce the number of “chunks” taken up in working memory, creating more space for ideas and reasoning processes. If one is asked to remember the numbers “4 8 15 16 23 42," this would typically take up six imagined “chunks” of memory to actively maintain these disjoint pieces of information. However, if a fan of the TV show LOST is asked to recall “The Numbers” (Liber, Abrams, and </w:t>
      </w:r>
      <w:proofErr w:type="spellStart"/>
      <w:r>
        <w:rPr>
          <w:rFonts w:cs="Calibri"/>
          <w:color w:val="000000"/>
          <w:sz w:val="24"/>
          <w:szCs w:val="24"/>
        </w:rPr>
        <w:t>Lindeloff</w:t>
      </w:r>
      <w:proofErr w:type="spellEnd"/>
      <w:r>
        <w:rPr>
          <w:rFonts w:cs="Calibri"/>
          <w:color w:val="000000"/>
          <w:sz w:val="24"/>
          <w:szCs w:val="24"/>
        </w:rPr>
        <w:t>, 2004) they might easily retrieve this information as one model, even after significant time has passed from the remembrance task being given. </w:t>
      </w:r>
    </w:p>
    <w:p w14:paraId="0000001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Mental models aid in meaning attribution through such consolidation, making complex ideas and connections easier to access and retrieve. This leaves more working memory for active reasoning tasks, like using those numbers to do calculations and recall any necessary steps. Anyone who has repeated a phone number under their </w:t>
      </w:r>
      <w:proofErr w:type="gramStart"/>
      <w:r>
        <w:rPr>
          <w:rFonts w:cs="Calibri"/>
          <w:color w:val="000000"/>
          <w:sz w:val="24"/>
          <w:szCs w:val="24"/>
        </w:rPr>
        <w:t>breath, or</w:t>
      </w:r>
      <w:proofErr w:type="gramEnd"/>
      <w:r>
        <w:rPr>
          <w:rFonts w:cs="Calibri"/>
          <w:color w:val="000000"/>
          <w:sz w:val="24"/>
          <w:szCs w:val="24"/>
        </w:rPr>
        <w:t xml:space="preserve"> counted out loud only to start over after a distraction, has first-hand experience with working memory’s limitations. We only have so many “chunks” to devote to the problem at hand, and when we cannot or have not developed a mental model for the problem space yet, our ability to complete the task suffers as we struggle to juggle information and reasoning with limited chunks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2007). </w:t>
      </w:r>
    </w:p>
    <w:p w14:paraId="0000001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For the novice programmer, the nature of being a novice makes nearly every aspect of the programming task new: they are indeed strangers in a strange land. Individual lines of code are not even chunks – they are made up of chunks! Each element in that line is a separate glyph they must reason about. To understand this further, let us contrast the novice with the expert (or at least, more senior) programmer. </w:t>
      </w:r>
    </w:p>
    <w:p w14:paraId="0000001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2 – Exploring Expertise:  Chunking and the Career of Coding Metaphor</w:t>
      </w:r>
    </w:p>
    <w:p w14:paraId="0000001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Where the novice sees each element as novel and distinct, experts see abstracted meaning. </w:t>
      </w:r>
      <w:r>
        <w:rPr>
          <w:rFonts w:cs="Calibri"/>
          <w:color w:val="000000"/>
          <w:sz w:val="24"/>
          <w:szCs w:val="24"/>
        </w:rPr>
        <w:br/>
        <w:t>Quickly glance at this Java example snippet:</w:t>
      </w:r>
    </w:p>
    <w:p w14:paraId="0000001D" w14:textId="77777777" w:rsidR="001209E0" w:rsidRDefault="00000000">
      <w:pPr>
        <w:spacing w:before="240" w:after="240" w:line="240" w:lineRule="auto"/>
        <w:rPr>
          <w:rFonts w:ascii="Times New Roman" w:eastAsia="Times New Roman" w:hAnsi="Times New Roman"/>
          <w:sz w:val="24"/>
          <w:szCs w:val="24"/>
        </w:rPr>
      </w:pPr>
      <w:proofErr w:type="gramStart"/>
      <w:r w:rsidRPr="00C1775A">
        <w:rPr>
          <w:rFonts w:ascii="Consolas" w:eastAsia="Consolas" w:hAnsi="Consolas" w:cs="Consolas"/>
          <w:color w:val="000000"/>
          <w:sz w:val="24"/>
          <w:szCs w:val="24"/>
          <w:highlight w:val="yellow"/>
        </w:rPr>
        <w:lastRenderedPageBreak/>
        <w:t>for(</w:t>
      </w:r>
      <w:proofErr w:type="gramEnd"/>
      <w:r w:rsidRPr="00C1775A">
        <w:rPr>
          <w:rFonts w:ascii="Consolas" w:eastAsia="Consolas" w:hAnsi="Consolas" w:cs="Consolas"/>
          <w:color w:val="000000"/>
          <w:sz w:val="24"/>
          <w:szCs w:val="24"/>
          <w:highlight w:val="yellow"/>
        </w:rPr>
        <w:t xml:space="preserve">int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 0;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&lt; 10;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w:t>
      </w:r>
      <w:r w:rsidRPr="00C1775A">
        <w:rPr>
          <w:rFonts w:ascii="Consolas" w:eastAsia="Consolas" w:hAnsi="Consolas" w:cs="Consolas"/>
          <w:color w:val="000000"/>
          <w:sz w:val="24"/>
          <w:szCs w:val="24"/>
          <w:highlight w:val="yellow"/>
        </w:rPr>
        <w:br/>
        <w:t xml:space="preserve">         </w:t>
      </w:r>
      <w:proofErr w:type="spellStart"/>
      <w:r w:rsidRPr="00C1775A">
        <w:rPr>
          <w:rFonts w:ascii="Consolas" w:eastAsia="Consolas" w:hAnsi="Consolas" w:cs="Consolas"/>
          <w:color w:val="000000"/>
          <w:sz w:val="24"/>
          <w:szCs w:val="24"/>
          <w:highlight w:val="yellow"/>
        </w:rPr>
        <w:t>System.out.println</w:t>
      </w:r>
      <w:proofErr w:type="spellEnd"/>
      <w:r w:rsidRPr="00C1775A">
        <w:rPr>
          <w:rFonts w:ascii="Consolas" w:eastAsia="Consolas" w:hAnsi="Consolas" w:cs="Consolas"/>
          <w:color w:val="000000"/>
          <w:sz w:val="24"/>
          <w:szCs w:val="24"/>
          <w:highlight w:val="yellow"/>
        </w:rPr>
        <w:t>(</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w:t>
      </w:r>
      <w:r w:rsidRPr="00C1775A">
        <w:rPr>
          <w:rFonts w:ascii="Consolas" w:eastAsia="Consolas" w:hAnsi="Consolas" w:cs="Consolas"/>
          <w:color w:val="000000"/>
          <w:sz w:val="24"/>
          <w:szCs w:val="24"/>
          <w:highlight w:val="yellow"/>
        </w:rPr>
        <w:br/>
        <w:t>}</w:t>
      </w:r>
      <w:r>
        <w:rPr>
          <w:rFonts w:ascii="Consolas" w:eastAsia="Consolas" w:hAnsi="Consolas" w:cs="Consolas"/>
          <w:color w:val="000000"/>
          <w:sz w:val="24"/>
          <w:szCs w:val="24"/>
        </w:rPr>
        <w:t> </w:t>
      </w:r>
    </w:p>
    <w:p w14:paraId="0000001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If you have programmed before, what does the above mean to you? </w:t>
      </w:r>
    </w:p>
    <w:p w14:paraId="0000001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Depending on your level of confidence or cursory glance speed, you may indicate something high-level such as “it's a loop” or “it repeats and prints something." Perhaps you got more specific: “it prints the squares of the iterated values," “it’s a loop that runs ten times," or “the code prints the square of all values between 0 and 9." You may have had confusion at first if you have programmed in another language which uses the keyword “for” that is not Java, but you likely still arrived at an iteration-based conclusion. Regardless of how you interpreted the snippet (though how one communicates their interpretation is a viable critical code exploration in itself), your mental model of programming informs that quickly reasoned abstraction: repetition is happening in relation to numeric values. </w:t>
      </w:r>
    </w:p>
    <w:p w14:paraId="0000002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For the novice, there are several potential barriers to that abstraction. Where experts simply see “a for loop” as a single chunk, the novice is still reasoning about “what a for loop is." Let us imagine for a moment working memory “chunks” as an array in Java – a finitely sized grouping of elements. We will set our working memory array to a length of seven elements and attempt to represent the contents. This is of course a naive representation of our mental </w:t>
      </w:r>
      <w:proofErr w:type="gramStart"/>
      <w:r>
        <w:rPr>
          <w:rFonts w:cs="Calibri"/>
          <w:color w:val="000000"/>
          <w:sz w:val="24"/>
          <w:szCs w:val="24"/>
        </w:rPr>
        <w:t>processes, but</w:t>
      </w:r>
      <w:proofErr w:type="gramEnd"/>
      <w:r>
        <w:rPr>
          <w:rFonts w:cs="Calibri"/>
          <w:color w:val="000000"/>
          <w:sz w:val="24"/>
          <w:szCs w:val="24"/>
        </w:rPr>
        <w:t xml:space="preserve"> can help us understand the reasoning divide. The expert’s working memory in reviewing the snippet might currently be represented as:</w:t>
      </w:r>
    </w:p>
    <w:tbl>
      <w:tblPr>
        <w:tblStyle w:val="a1"/>
        <w:tblW w:w="3454" w:type="dxa"/>
        <w:tblInd w:w="-100" w:type="dxa"/>
        <w:tblLayout w:type="fixed"/>
        <w:tblLook w:val="0400" w:firstRow="0" w:lastRow="0" w:firstColumn="0" w:lastColumn="0" w:noHBand="0" w:noVBand="1"/>
      </w:tblPr>
      <w:tblGrid>
        <w:gridCol w:w="880"/>
        <w:gridCol w:w="1474"/>
        <w:gridCol w:w="220"/>
        <w:gridCol w:w="220"/>
        <w:gridCol w:w="220"/>
        <w:gridCol w:w="220"/>
        <w:gridCol w:w="220"/>
      </w:tblGrid>
      <w:tr w:rsidR="001209E0" w14:paraId="52CF985A" w14:textId="77777777">
        <w:tc>
          <w:tcPr>
            <w:tcW w:w="9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For loop</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2"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Loop body logic</w:t>
            </w: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3"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4"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5"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6"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7" w14:textId="77777777" w:rsidR="001209E0" w:rsidRDefault="001209E0">
            <w:pPr>
              <w:spacing w:after="0" w:line="240" w:lineRule="auto"/>
              <w:rPr>
                <w:rFonts w:ascii="Times New Roman" w:eastAsia="Times New Roman" w:hAnsi="Times New Roman"/>
                <w:sz w:val="24"/>
                <w:szCs w:val="24"/>
              </w:rPr>
            </w:pPr>
          </w:p>
        </w:tc>
      </w:tr>
    </w:tbl>
    <w:p w14:paraId="00000028"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1: </w:t>
      </w:r>
      <w:r>
        <w:rPr>
          <w:rFonts w:cs="Calibri"/>
          <w:color w:val="000000"/>
          <w:sz w:val="24"/>
          <w:szCs w:val="24"/>
        </w:rPr>
        <w:t>Diagram representing potential “chunks” used in expert programmer comprehension of the for-loop code snippet</w:t>
      </w:r>
    </w:p>
    <w:p w14:paraId="0000002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There is plenty of space for reasoning and “reconsolidating/collapsing” ideas. An expert may use a chunk to consider the “iteration pattern” and reason about the executions iterating variable </w:t>
      </w:r>
      <w:proofErr w:type="spellStart"/>
      <w:r>
        <w:rPr>
          <w:rFonts w:cs="Calibri"/>
          <w:color w:val="000000"/>
          <w:sz w:val="24"/>
          <w:szCs w:val="24"/>
        </w:rPr>
        <w:t>i</w:t>
      </w:r>
      <w:proofErr w:type="spellEnd"/>
      <w:r>
        <w:rPr>
          <w:rFonts w:cs="Calibri"/>
          <w:color w:val="000000"/>
          <w:sz w:val="24"/>
          <w:szCs w:val="24"/>
        </w:rPr>
        <w:t xml:space="preserve"> does, before reconsolidating that information back into the “for loop” chunk to “free up space” again. Experts often do such reconsolidation without recognizing any significant mental processing has even occurred!</w:t>
      </w:r>
    </w:p>
    <w:p w14:paraId="0000002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On the other hand, the novice is still developing their model of what a loop is. Their working memory looks much different. They reason about each component piece, trying to recall distinct sets of instructions and rules for each piece to ascribe meaning to the whole. For example:</w:t>
      </w:r>
    </w:p>
    <w:tbl>
      <w:tblPr>
        <w:tblStyle w:val="a2"/>
        <w:tblW w:w="9340" w:type="dxa"/>
        <w:tblInd w:w="-100" w:type="dxa"/>
        <w:tblLayout w:type="fixed"/>
        <w:tblLook w:val="0400" w:firstRow="0" w:lastRow="0" w:firstColumn="0" w:lastColumn="0" w:noHBand="0" w:noVBand="1"/>
      </w:tblPr>
      <w:tblGrid>
        <w:gridCol w:w="847"/>
        <w:gridCol w:w="1571"/>
        <w:gridCol w:w="1615"/>
        <w:gridCol w:w="1067"/>
        <w:gridCol w:w="1786"/>
        <w:gridCol w:w="1232"/>
        <w:gridCol w:w="1222"/>
      </w:tblGrid>
      <w:tr w:rsidR="001209E0" w14:paraId="0114A11F" w14:textId="77777777">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B"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lastRenderedPageBreak/>
              <w:t>for keyword</w:t>
            </w:r>
          </w:p>
        </w:tc>
        <w:tc>
          <w:tcPr>
            <w:tcW w:w="15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C"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three semicolon separated elements in parentheses after keyword</w:t>
            </w:r>
          </w:p>
        </w:tc>
        <w:tc>
          <w:tcPr>
            <w:tcW w:w="1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D"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Variable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used across parenthetical elements</w:t>
            </w:r>
          </w:p>
        </w:tc>
        <w:tc>
          <w:tcPr>
            <w:tcW w:w="10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E"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compared to the value 10</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F"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and order of three parenthetical elements somehow relates to keyword</w:t>
            </w:r>
          </w:p>
        </w:tc>
        <w:tc>
          <w:tcPr>
            <w:tcW w:w="12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0"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Statement with </w:t>
            </w:r>
            <w:proofErr w:type="spellStart"/>
            <w:r>
              <w:rPr>
                <w:rFonts w:ascii="Consolas" w:eastAsia="Consolas" w:hAnsi="Consolas" w:cs="Consolas"/>
                <w:color w:val="000000"/>
                <w:sz w:val="24"/>
                <w:szCs w:val="24"/>
              </w:rPr>
              <w:t>println</w:t>
            </w:r>
            <w:proofErr w:type="spellEnd"/>
            <w:r>
              <w:rPr>
                <w:rFonts w:ascii="Consolas" w:eastAsia="Consolas" w:hAnsi="Consolas" w:cs="Consolas"/>
                <w:color w:val="000000"/>
                <w:sz w:val="24"/>
                <w:szCs w:val="24"/>
              </w:rPr>
              <w:t xml:space="preserve"> in curly brackets</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Code in curly brackets somehow relates to keyword</w:t>
            </w:r>
          </w:p>
        </w:tc>
      </w:tr>
    </w:tbl>
    <w:p w14:paraId="0000003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2: </w:t>
      </w:r>
      <w:r>
        <w:rPr>
          <w:rFonts w:cs="Calibri"/>
          <w:color w:val="000000"/>
          <w:sz w:val="24"/>
          <w:szCs w:val="24"/>
        </w:rPr>
        <w:t>Diagram representing potential “chunks” used in novice programmer comprehension of the for-loop snippet.</w:t>
      </w:r>
    </w:p>
    <w:p w14:paraId="0000003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novice’s seven “chunks” are easily taken up in this example just assessing components of the for-loop structure. They must then also reason about potential vocabulary words, orders of operations, and use each element simultaneously in working memory to ascribe meaning to the entire snippet </w:t>
      </w:r>
      <w:proofErr w:type="gramStart"/>
      <w:r>
        <w:rPr>
          <w:rFonts w:cs="Calibri"/>
          <w:color w:val="000000"/>
          <w:sz w:val="24"/>
          <w:szCs w:val="24"/>
        </w:rPr>
        <w:t>in order to</w:t>
      </w:r>
      <w:proofErr w:type="gramEnd"/>
      <w:r>
        <w:rPr>
          <w:rFonts w:cs="Calibri"/>
          <w:color w:val="000000"/>
          <w:sz w:val="24"/>
          <w:szCs w:val="24"/>
        </w:rPr>
        <w:t xml:space="preserve"> understand it. The novice is also likely still assimilating prior topics, requiring additional resources to recall ideas still being formed in mental models, such as variables or conditional comparison behavior. This overload of working memory causes forgetting, mistakes, and slowed reasoning as one attempts to make the problem space more manageable. </w:t>
      </w:r>
    </w:p>
    <w:p w14:paraId="0000003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But </w:t>
      </w:r>
      <w:r>
        <w:rPr>
          <w:rFonts w:cs="Calibri"/>
          <w:i/>
          <w:color w:val="000000"/>
          <w:sz w:val="24"/>
          <w:szCs w:val="24"/>
        </w:rPr>
        <w:t>why</w:t>
      </w:r>
      <w:r>
        <w:rPr>
          <w:rFonts w:cs="Calibri"/>
          <w:color w:val="000000"/>
          <w:sz w:val="24"/>
          <w:szCs w:val="24"/>
        </w:rPr>
        <w:t xml:space="preserve"> do novices and experts reason so differently? Career of metaphor (Gentner and </w:t>
      </w:r>
      <w:proofErr w:type="spellStart"/>
      <w:r>
        <w:rPr>
          <w:rFonts w:cs="Calibri"/>
          <w:color w:val="000000"/>
          <w:sz w:val="24"/>
          <w:szCs w:val="24"/>
        </w:rPr>
        <w:t>Bowdle</w:t>
      </w:r>
      <w:proofErr w:type="spellEnd"/>
      <w:r>
        <w:rPr>
          <w:rFonts w:cs="Calibri"/>
          <w:color w:val="000000"/>
          <w:sz w:val="24"/>
          <w:szCs w:val="24"/>
        </w:rPr>
        <w:t>, 2008) offers potential insight. Career of metaphor suggests metaphoric interpretation undergoes four distinct phases: novel, conventional, frozen, and dead. “Novel” metaphor is entirely new; we must actively work to create connections and attribute meaning. As metaphor becomes “conventional," the concept and its metaphoric meaning is considered alongside other ascribed meanings, normalizing the concept’s metaphoric associations. “Frozen” metaphors are stuck in an intriguing historical state: their meaning is primarily metaphoric, but the rationale underlying this metaphoric meaning is easily known and reasoned about. “Dead” metaphors become purely associated with metaphoric meaning, with their historic roots largely unknown or not considered in reasoning. </w:t>
      </w:r>
    </w:p>
    <w:p w14:paraId="0000003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original paper introduces career of metaphor’s progression using the term “blockbuster” (Gentner and </w:t>
      </w:r>
      <w:proofErr w:type="spellStart"/>
      <w:r>
        <w:rPr>
          <w:rFonts w:cs="Calibri"/>
          <w:color w:val="000000"/>
          <w:sz w:val="24"/>
          <w:szCs w:val="24"/>
        </w:rPr>
        <w:t>Bowdle</w:t>
      </w:r>
      <w:proofErr w:type="spellEnd"/>
      <w:r>
        <w:rPr>
          <w:rFonts w:cs="Calibri"/>
          <w:color w:val="000000"/>
          <w:sz w:val="24"/>
          <w:szCs w:val="24"/>
        </w:rPr>
        <w:t xml:space="preserve">, 2008). Here, I use the concept of the “save” function on a computer. “Save” being associated with a semiotic representation of a floppy disk was novel, requiring consideration to associate the action and result (“clicking this button saves information to the object that looks like this”). As the metaphor became conventionalized, one did not need to “develop” the line of reasoning between why the floppy disk was a metaphor for “Save” – it became implicit. As save functionality moved toward CD-ROM, USB, and other forms, the icon of the floppy disk remained: exemplifying a “frozen” metaphor. Many folks could still easily recall the original connection, but the iconography was entirely metaphoric. Finally, Generation Z onward saw the floppy disk as a dead metaphor, associating it only with/as the save icon. The </w:t>
      </w:r>
      <w:r>
        <w:rPr>
          <w:rFonts w:cs="Calibri"/>
          <w:color w:val="000000"/>
          <w:sz w:val="24"/>
          <w:szCs w:val="24"/>
        </w:rPr>
        <w:lastRenderedPageBreak/>
        <w:t>metaphoric roots were not relevant to understanding the representation: the floppy disk “is” the save icon. </w:t>
      </w:r>
    </w:p>
    <w:p w14:paraId="00000036" w14:textId="77777777" w:rsidR="001209E0" w:rsidRDefault="00000000">
      <w:pPr>
        <w:spacing w:before="240" w:after="240" w:line="240" w:lineRule="auto"/>
        <w:rPr>
          <w:rFonts w:ascii="Times New Roman" w:eastAsia="Times New Roman" w:hAnsi="Times New Roman"/>
          <w:sz w:val="24"/>
          <w:szCs w:val="24"/>
        </w:rPr>
      </w:pPr>
      <w:r>
        <w:rPr>
          <w:rFonts w:cs="Calibri"/>
          <w:noProof/>
          <w:color w:val="000000"/>
          <w:sz w:val="24"/>
          <w:szCs w:val="24"/>
        </w:rPr>
        <w:drawing>
          <wp:inline distT="0" distB="0" distL="0" distR="0" wp14:anchorId="3F44E8C1" wp14:editId="51A21CDD">
            <wp:extent cx="5943600" cy="32289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943600" cy="3228975"/>
                    </a:xfrm>
                    <a:prstGeom prst="rect">
                      <a:avLst/>
                    </a:prstGeom>
                    <a:ln/>
                  </pic:spPr>
                </pic:pic>
              </a:graphicData>
            </a:graphic>
          </wp:inline>
        </w:drawing>
      </w:r>
      <w:r>
        <w:rPr>
          <w:rFonts w:cs="Calibri"/>
          <w:b/>
          <w:color w:val="000000"/>
          <w:sz w:val="24"/>
          <w:szCs w:val="24"/>
        </w:rPr>
        <w:t>Figure 3:</w:t>
      </w:r>
      <w:r>
        <w:rPr>
          <w:rFonts w:cs="Calibri"/>
          <w:color w:val="000000"/>
          <w:sz w:val="24"/>
          <w:szCs w:val="24"/>
        </w:rPr>
        <w:t xml:space="preserve"> Diagram showcasing career of metaphor through the “save” functionality on a computer. From author’s dissertation (</w:t>
      </w:r>
      <w:proofErr w:type="spellStart"/>
      <w:r>
        <w:rPr>
          <w:rFonts w:cs="Calibri"/>
          <w:color w:val="000000"/>
          <w:sz w:val="24"/>
          <w:szCs w:val="24"/>
        </w:rPr>
        <w:t>Bettin</w:t>
      </w:r>
      <w:proofErr w:type="spellEnd"/>
      <w:r>
        <w:rPr>
          <w:rFonts w:cs="Calibri"/>
          <w:color w:val="000000"/>
          <w:sz w:val="24"/>
          <w:szCs w:val="24"/>
        </w:rPr>
        <w:t>, 2020)</w:t>
      </w:r>
    </w:p>
    <w:p w14:paraId="00000037"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Career of metaphor and expert coder behaviors suggest that code concepts and patterns become frozen to dead-or-nearly-dead metaphor through repeated application and interpretation. Concepts are novel as novices: one must create considerations and associations, developing mental models of the idea. Through conventionalization and freezing, component parts collapse into a semiotic metaphor of the code concept. Mental models then crystalize to an intuitive and implicit, near-reactionary understanding of the meaning, giving no indication of the building and meaning-making process along the way. The metaphor dies: it is </w:t>
      </w:r>
      <w:r>
        <w:rPr>
          <w:rFonts w:cs="Calibri"/>
          <w:i/>
          <w:color w:val="000000"/>
          <w:sz w:val="24"/>
          <w:szCs w:val="24"/>
          <w:u w:val="single"/>
        </w:rPr>
        <w:t>just</w:t>
      </w:r>
      <w:r>
        <w:rPr>
          <w:rFonts w:cs="Calibri"/>
          <w:color w:val="000000"/>
          <w:sz w:val="24"/>
          <w:szCs w:val="24"/>
        </w:rPr>
        <w:t xml:space="preserve"> a for loop, after all. </w:t>
      </w:r>
    </w:p>
    <w:p w14:paraId="0000003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It is worth noting that “dead metaphor” does not denote that one cannot engage in critical studies or analysis to revive and “remix." When indicating an expert believes “it’s just a for loop," this denotes the ways in which expert mental models “rechunk” a for loop as a singular element </w:t>
      </w:r>
      <w:proofErr w:type="gramStart"/>
      <w:r>
        <w:rPr>
          <w:rFonts w:cs="Calibri"/>
          <w:color w:val="000000"/>
          <w:sz w:val="24"/>
          <w:szCs w:val="24"/>
        </w:rPr>
        <w:t>in order to</w:t>
      </w:r>
      <w:proofErr w:type="gramEnd"/>
      <w:r>
        <w:rPr>
          <w:rFonts w:cs="Calibri"/>
          <w:color w:val="000000"/>
          <w:sz w:val="24"/>
          <w:szCs w:val="24"/>
        </w:rPr>
        <w:t xml:space="preserve"> better process the larger code problem they are working with. One who engages in critical studies is inherently committing to deeper analysis (and thus, more working memory devoted) to each portion, “reviving” the pieces in mind </w:t>
      </w:r>
      <w:proofErr w:type="gramStart"/>
      <w:r>
        <w:rPr>
          <w:rFonts w:cs="Calibri"/>
          <w:color w:val="000000"/>
          <w:sz w:val="24"/>
          <w:szCs w:val="24"/>
        </w:rPr>
        <w:t>in order to</w:t>
      </w:r>
      <w:proofErr w:type="gramEnd"/>
      <w:r>
        <w:rPr>
          <w:rFonts w:cs="Calibri"/>
          <w:color w:val="000000"/>
          <w:sz w:val="24"/>
          <w:szCs w:val="24"/>
        </w:rPr>
        <w:t xml:space="preserve"> tinker, play, and critically consider their meaning. One could parallel this difference as rote memorization of a poem and critical analysis of its contents. While one who has memorized a poem may be capable of critically analyzing it, they are not </w:t>
      </w:r>
      <w:r>
        <w:rPr>
          <w:rFonts w:cs="Calibri"/>
          <w:i/>
          <w:color w:val="000000"/>
          <w:sz w:val="24"/>
          <w:szCs w:val="24"/>
        </w:rPr>
        <w:t>inherently</w:t>
      </w:r>
      <w:r>
        <w:rPr>
          <w:rFonts w:cs="Calibri"/>
          <w:color w:val="000000"/>
          <w:sz w:val="24"/>
          <w:szCs w:val="24"/>
        </w:rPr>
        <w:t xml:space="preserve"> engaging in that analysis each time they repeat it. However, their knowledge of the subject matter is in part what affords them the ability to critically analyze it. The same can be said for the expert: dead metaphor does not </w:t>
      </w:r>
      <w:r>
        <w:rPr>
          <w:rFonts w:cs="Calibri"/>
          <w:color w:val="000000"/>
          <w:sz w:val="24"/>
          <w:szCs w:val="24"/>
        </w:rPr>
        <w:lastRenderedPageBreak/>
        <w:t xml:space="preserve">inherently mean the expert cannot critically study code, but rather, in their “rote” daily activities, it may not be necessary, and in those times, the code concepts remain dead metaphor. </w:t>
      </w:r>
    </w:p>
    <w:p w14:paraId="0000003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 – Landmarks in Learning: Keywords as Wayfinding</w:t>
      </w:r>
    </w:p>
    <w:p w14:paraId="0000003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navigating the complex coding environment and attempting to develop mental models and schema are likely to engage in wayfinding behaviors to make sense of what they see. The wayfinding process can help orientation in the strange programming landscape through seeking recognized concepts. For many novices, one of the most salient </w:t>
      </w:r>
      <w:proofErr w:type="spellStart"/>
      <w:r>
        <w:rPr>
          <w:rFonts w:cs="Calibri"/>
          <w:color w:val="000000"/>
          <w:sz w:val="24"/>
          <w:szCs w:val="24"/>
        </w:rPr>
        <w:t>wayfinders</w:t>
      </w:r>
      <w:proofErr w:type="spellEnd"/>
      <w:r>
        <w:rPr>
          <w:rFonts w:cs="Calibri"/>
          <w:color w:val="000000"/>
          <w:sz w:val="24"/>
          <w:szCs w:val="24"/>
        </w:rPr>
        <w:t xml:space="preserve"> are English language keywords. These elements are ascribed special meaning, associated with some specific functionality in the programming language. </w:t>
      </w:r>
    </w:p>
    <w:p w14:paraId="0000003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Gaps in “fitting” existing English words with strict programmatic intentions can create pitfalls for novice programmers. As they seek out familiar elements in the unfamiliar territory of programming, these recognized words are tangible waypoints. However, they are expected to have one overarching intended meaning for </w:t>
      </w:r>
      <w:proofErr w:type="gramStart"/>
      <w:r>
        <w:rPr>
          <w:rFonts w:cs="Calibri"/>
          <w:color w:val="000000"/>
          <w:sz w:val="24"/>
          <w:szCs w:val="24"/>
        </w:rPr>
        <w:t>problem-solving, but</w:t>
      </w:r>
      <w:proofErr w:type="gramEnd"/>
      <w:r>
        <w:rPr>
          <w:rFonts w:cs="Calibri"/>
          <w:color w:val="000000"/>
          <w:sz w:val="24"/>
          <w:szCs w:val="24"/>
        </w:rPr>
        <w:t xml:space="preserve"> possess myriad interpretations novices could arrive at. </w:t>
      </w:r>
    </w:p>
    <w:p w14:paraId="0000003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multitude of interpretations may create confusion about how code works. Programming is “a problem of mapping one culture onto another" (</w:t>
      </w:r>
      <w:proofErr w:type="spellStart"/>
      <w:r>
        <w:rPr>
          <w:rFonts w:cs="Calibri"/>
          <w:color w:val="000000"/>
          <w:sz w:val="24"/>
          <w:szCs w:val="24"/>
        </w:rPr>
        <w:t>Arawjo</w:t>
      </w:r>
      <w:proofErr w:type="spellEnd"/>
      <w:r>
        <w:rPr>
          <w:rFonts w:cs="Calibri"/>
          <w:color w:val="000000"/>
          <w:sz w:val="24"/>
          <w:szCs w:val="24"/>
        </w:rPr>
        <w:t>, 2020), and sociocultural learning is “a gradual appropriation of aspects of a specific culture” (Haglund, 2013). When learning to program, novices reason not only about topics, but about norms and representations of a new discipline, working to incorporate them into their mental models. </w:t>
      </w:r>
    </w:p>
    <w:p w14:paraId="0000003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making novel metaphor connections to conventionalize programmatic understanding may derive incorrect interpretations through the process, especially among words which are already deeply polysemic. If keyword usage in programming and common parlance differ, novices must develop an entirely new polysemic meaning and undergo the career of metaphor process (Gentner and </w:t>
      </w:r>
      <w:proofErr w:type="spellStart"/>
      <w:r>
        <w:rPr>
          <w:rFonts w:cs="Calibri"/>
          <w:color w:val="000000"/>
          <w:sz w:val="24"/>
          <w:szCs w:val="24"/>
        </w:rPr>
        <w:t>Bowdle</w:t>
      </w:r>
      <w:proofErr w:type="spellEnd"/>
      <w:r>
        <w:rPr>
          <w:rFonts w:cs="Calibri"/>
          <w:color w:val="000000"/>
          <w:sz w:val="24"/>
          <w:szCs w:val="24"/>
        </w:rPr>
        <w:t>, 2008).  Programming syntax precision compared to human language can easily necessitate polysemous meaning for terms strictly based in “coding meaning" (</w:t>
      </w:r>
      <w:proofErr w:type="spellStart"/>
      <w:proofErr w:type="gramStart"/>
      <w:r>
        <w:rPr>
          <w:rFonts w:cs="Calibri"/>
          <w:color w:val="000000"/>
          <w:sz w:val="24"/>
          <w:szCs w:val="24"/>
        </w:rPr>
        <w:t>Krishnamurthi</w:t>
      </w:r>
      <w:proofErr w:type="spellEnd"/>
      <w:r>
        <w:rPr>
          <w:rFonts w:cs="Calibri"/>
          <w:color w:val="000000"/>
          <w:sz w:val="24"/>
          <w:szCs w:val="24"/>
        </w:rPr>
        <w:t>  and</w:t>
      </w:r>
      <w:proofErr w:type="gramEnd"/>
      <w:r>
        <w:rPr>
          <w:rFonts w:cs="Calibri"/>
          <w:color w:val="000000"/>
          <w:sz w:val="24"/>
          <w:szCs w:val="24"/>
        </w:rPr>
        <w:t xml:space="preserve"> </w:t>
      </w:r>
      <w:proofErr w:type="spellStart"/>
      <w:r>
        <w:rPr>
          <w:rFonts w:cs="Calibri"/>
          <w:color w:val="000000"/>
          <w:sz w:val="24"/>
          <w:szCs w:val="24"/>
        </w:rPr>
        <w:t>Fisler</w:t>
      </w:r>
      <w:proofErr w:type="spellEnd"/>
      <w:r>
        <w:rPr>
          <w:rFonts w:cs="Calibri"/>
          <w:color w:val="000000"/>
          <w:sz w:val="24"/>
          <w:szCs w:val="24"/>
        </w:rPr>
        <w:t xml:space="preserve">, 2019). The keyword often serves here as a seemingly viable mid-step, creating programmatic meaning for that word by considering “the English use in a code context." With English use understood, this can facilitate meaning-making </w:t>
      </w:r>
      <w:proofErr w:type="gramStart"/>
      <w:r>
        <w:rPr>
          <w:rFonts w:cs="Calibri"/>
          <w:color w:val="000000"/>
          <w:sz w:val="24"/>
          <w:szCs w:val="24"/>
        </w:rPr>
        <w:t>in order to</w:t>
      </w:r>
      <w:proofErr w:type="gramEnd"/>
      <w:r>
        <w:rPr>
          <w:rFonts w:cs="Calibri"/>
          <w:color w:val="000000"/>
          <w:sz w:val="24"/>
          <w:szCs w:val="24"/>
        </w:rPr>
        <w:t xml:space="preserve"> reduce cognitive load. This behavior is by design: keywords were chosen because of this potential transfer and relevance. </w:t>
      </w:r>
    </w:p>
    <w:p w14:paraId="0000003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existing definitions, however, can imply new or distinct meanings to novice programmers which result in confusion while learning. Evidence for linguistic considerations in programming language structure was shown in an empirical study which requested participants identify the word they most associated with a behavior description. Perceived intuitiveness of syntax words observably differed between programmers and non-programmers, and specific terms such as “repeat” were more intuitive across populations (</w:t>
      </w:r>
      <w:proofErr w:type="spellStart"/>
      <w:r>
        <w:rPr>
          <w:rFonts w:cs="Calibri"/>
          <w:color w:val="000000"/>
          <w:sz w:val="24"/>
          <w:szCs w:val="24"/>
        </w:rPr>
        <w:t>Stefik</w:t>
      </w:r>
      <w:proofErr w:type="spellEnd"/>
      <w:r>
        <w:rPr>
          <w:rFonts w:cs="Calibri"/>
          <w:color w:val="000000"/>
          <w:sz w:val="24"/>
          <w:szCs w:val="24"/>
        </w:rPr>
        <w:t xml:space="preserve"> and Siebert, 2013). Such lexicon issues also exist with words such as “document” and “save," which behave as polysemic metaphor by </w:t>
      </w:r>
      <w:r>
        <w:rPr>
          <w:rFonts w:cs="Calibri"/>
          <w:color w:val="000000"/>
          <w:sz w:val="24"/>
          <w:szCs w:val="24"/>
        </w:rPr>
        <w:lastRenderedPageBreak/>
        <w:t>connecting to analog equivalents, but typically have a stricter meaning in technology contexts (</w:t>
      </w:r>
      <w:proofErr w:type="spellStart"/>
      <w:r>
        <w:rPr>
          <w:rFonts w:cs="Calibri"/>
          <w:color w:val="000000"/>
          <w:sz w:val="24"/>
          <w:szCs w:val="24"/>
        </w:rPr>
        <w:t>Forišek</w:t>
      </w:r>
      <w:proofErr w:type="spellEnd"/>
      <w:r>
        <w:rPr>
          <w:rFonts w:cs="Calibri"/>
          <w:color w:val="000000"/>
          <w:sz w:val="24"/>
          <w:szCs w:val="24"/>
        </w:rPr>
        <w:t xml:space="preserve"> and </w:t>
      </w:r>
      <w:proofErr w:type="spellStart"/>
      <w:r>
        <w:rPr>
          <w:rFonts w:cs="Calibri"/>
          <w:color w:val="000000"/>
          <w:sz w:val="24"/>
          <w:szCs w:val="24"/>
        </w:rPr>
        <w:t>Steinová</w:t>
      </w:r>
      <w:proofErr w:type="spellEnd"/>
      <w:r>
        <w:rPr>
          <w:rFonts w:cs="Calibri"/>
          <w:color w:val="000000"/>
          <w:sz w:val="24"/>
          <w:szCs w:val="24"/>
        </w:rPr>
        <w:t>, 2012). Linguistic factors extend beyond the scope of syntax: they are embedded in the design of technological vocabulary itself.</w:t>
      </w:r>
    </w:p>
    <w:p w14:paraId="0000003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Through teaching novice computer science students, I have seen polysemic perils confuse students still learning the programmatic paths before them. The power of words making ideas tangible is a near-magical aspect of </w:t>
      </w:r>
      <w:proofErr w:type="gramStart"/>
      <w:r>
        <w:rPr>
          <w:rFonts w:cs="Calibri"/>
          <w:color w:val="000000"/>
          <w:sz w:val="24"/>
          <w:szCs w:val="24"/>
        </w:rPr>
        <w:t>coding, but</w:t>
      </w:r>
      <w:proofErr w:type="gramEnd"/>
      <w:r>
        <w:rPr>
          <w:rFonts w:cs="Calibri"/>
          <w:color w:val="000000"/>
          <w:sz w:val="24"/>
          <w:szCs w:val="24"/>
        </w:rPr>
        <w:t xml:space="preserve"> can be in conflict with the narrow definitions these words hold to the compiler in programming. Investigating these alternative meanings that may carry over provides an interesting linguistic challenge for learners, programming instructors, and language developers.</w:t>
      </w:r>
    </w:p>
    <w:p w14:paraId="00000040" w14:textId="7EECCFDB"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 xml:space="preserve">1 </w:t>
      </w:r>
      <w:r>
        <w:rPr>
          <w:rFonts w:cs="Calibri"/>
          <w:b/>
          <w:color w:val="000000"/>
          <w:sz w:val="24"/>
          <w:szCs w:val="24"/>
        </w:rPr>
        <w:t>Navigating Nuances: The Folly of ‘For’</w:t>
      </w:r>
    </w:p>
    <w:p w14:paraId="0000004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keyword “for” is inherently difficult due to its definition being highly context dependent to its usage. To explore polysemy and its potential implications </w:t>
      </w:r>
      <w:proofErr w:type="gramStart"/>
      <w:r>
        <w:rPr>
          <w:rFonts w:cs="Calibri"/>
          <w:color w:val="000000"/>
          <w:sz w:val="24"/>
          <w:szCs w:val="24"/>
        </w:rPr>
        <w:t>with regard to</w:t>
      </w:r>
      <w:proofErr w:type="gramEnd"/>
      <w:r>
        <w:rPr>
          <w:rFonts w:cs="Calibri"/>
          <w:color w:val="000000"/>
          <w:sz w:val="24"/>
          <w:szCs w:val="24"/>
        </w:rPr>
        <w:t xml:space="preserve"> learners, “for” is in a league of its own. Isolated, the word “for” as a wayfinding tool is largely unhelpful due to its plethora of meanings – all of which are context-dependent. Working with a student, one might attempt to explain this code snippet:</w:t>
      </w:r>
    </w:p>
    <w:p w14:paraId="00000042"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for(</w:t>
      </w:r>
      <w:proofErr w:type="gramEnd"/>
      <w:r>
        <w:rPr>
          <w:rFonts w:ascii="Consolas" w:eastAsia="Consolas" w:hAnsi="Consolas" w:cs="Consolas"/>
          <w:color w:val="000000"/>
          <w:sz w:val="24"/>
          <w:szCs w:val="24"/>
        </w:rPr>
        <w:t xml:space="preserve">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&lt; 10;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w:t>
      </w:r>
    </w:p>
    <w:p w14:paraId="0000004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mean this: </w:t>
      </w:r>
    </w:p>
    <w:p w14:paraId="00000044" w14:textId="77777777" w:rsidR="001209E0" w:rsidRDefault="00000000">
      <w:pPr>
        <w:spacing w:before="240" w:after="240" w:line="240" w:lineRule="auto"/>
        <w:rPr>
          <w:rFonts w:ascii="Times New Roman" w:eastAsia="Times New Roman" w:hAnsi="Times New Roman"/>
          <w:i/>
          <w:sz w:val="24"/>
          <w:szCs w:val="24"/>
        </w:rPr>
      </w:pPr>
      <w:r>
        <w:rPr>
          <w:rFonts w:cs="Calibri"/>
          <w:i/>
          <w:color w:val="000000"/>
          <w:sz w:val="24"/>
          <w:szCs w:val="24"/>
        </w:rPr>
        <w:t xml:space="preserve">“Starting with an integer </w:t>
      </w:r>
      <w:proofErr w:type="spellStart"/>
      <w:r>
        <w:rPr>
          <w:rFonts w:cs="Calibri"/>
          <w:i/>
          <w:color w:val="000000"/>
          <w:sz w:val="24"/>
          <w:szCs w:val="24"/>
        </w:rPr>
        <w:t>i</w:t>
      </w:r>
      <w:proofErr w:type="spellEnd"/>
      <w:r>
        <w:rPr>
          <w:rFonts w:cs="Calibri"/>
          <w:i/>
          <w:color w:val="000000"/>
          <w:sz w:val="24"/>
          <w:szCs w:val="24"/>
        </w:rPr>
        <w:t xml:space="preserve"> that is equal to zero, continue repeating the code inside the curly brackets while </w:t>
      </w:r>
      <w:proofErr w:type="spellStart"/>
      <w:r>
        <w:rPr>
          <w:rFonts w:cs="Calibri"/>
          <w:i/>
          <w:color w:val="000000"/>
          <w:sz w:val="24"/>
          <w:szCs w:val="24"/>
        </w:rPr>
        <w:t>i</w:t>
      </w:r>
      <w:proofErr w:type="spellEnd"/>
      <w:r>
        <w:rPr>
          <w:rFonts w:cs="Calibri"/>
          <w:i/>
          <w:color w:val="000000"/>
          <w:sz w:val="24"/>
          <w:szCs w:val="24"/>
        </w:rPr>
        <w:t xml:space="preserve"> is less than 10. Each time a repetition is over, increase </w:t>
      </w:r>
      <w:proofErr w:type="spellStart"/>
      <w:r>
        <w:rPr>
          <w:rFonts w:cs="Calibri"/>
          <w:i/>
          <w:color w:val="000000"/>
          <w:sz w:val="24"/>
          <w:szCs w:val="24"/>
        </w:rPr>
        <w:t>i</w:t>
      </w:r>
      <w:proofErr w:type="spellEnd"/>
      <w:r>
        <w:rPr>
          <w:rFonts w:cs="Calibri"/>
          <w:i/>
          <w:color w:val="000000"/>
          <w:sz w:val="24"/>
          <w:szCs w:val="24"/>
        </w:rPr>
        <w:t xml:space="preserve"> by 1 before evaluating if </w:t>
      </w:r>
      <w:proofErr w:type="spellStart"/>
      <w:r>
        <w:rPr>
          <w:rFonts w:cs="Calibri"/>
          <w:i/>
          <w:color w:val="000000"/>
          <w:sz w:val="24"/>
          <w:szCs w:val="24"/>
        </w:rPr>
        <w:t>i</w:t>
      </w:r>
      <w:proofErr w:type="spellEnd"/>
      <w:r>
        <w:rPr>
          <w:rFonts w:cs="Calibri"/>
          <w:i/>
          <w:color w:val="000000"/>
          <w:sz w:val="24"/>
          <w:szCs w:val="24"/>
        </w:rPr>
        <w:t xml:space="preserve"> is still less than 10 again. The inside code calculates and prints out </w:t>
      </w:r>
      <w:proofErr w:type="spellStart"/>
      <w:r>
        <w:rPr>
          <w:rFonts w:cs="Calibri"/>
          <w:i/>
          <w:color w:val="000000"/>
          <w:sz w:val="24"/>
          <w:szCs w:val="24"/>
        </w:rPr>
        <w:t>i</w:t>
      </w:r>
      <w:proofErr w:type="spellEnd"/>
      <w:r>
        <w:rPr>
          <w:rFonts w:cs="Calibri"/>
          <w:i/>
          <w:color w:val="000000"/>
          <w:sz w:val="24"/>
          <w:szCs w:val="24"/>
        </w:rPr>
        <w:t xml:space="preserve"> times </w:t>
      </w:r>
      <w:proofErr w:type="spellStart"/>
      <w:r>
        <w:rPr>
          <w:rFonts w:cs="Calibri"/>
          <w:i/>
          <w:color w:val="000000"/>
          <w:sz w:val="24"/>
          <w:szCs w:val="24"/>
        </w:rPr>
        <w:t>i</w:t>
      </w:r>
      <w:proofErr w:type="spellEnd"/>
      <w:r>
        <w:rPr>
          <w:rFonts w:cs="Calibri"/>
          <w:i/>
          <w:color w:val="000000"/>
          <w:sz w:val="24"/>
          <w:szCs w:val="24"/>
        </w:rPr>
        <w:t xml:space="preserve">. This repeating loop starts at 0 and continues while </w:t>
      </w:r>
      <w:proofErr w:type="spellStart"/>
      <w:r>
        <w:rPr>
          <w:rFonts w:cs="Calibri"/>
          <w:i/>
          <w:color w:val="000000"/>
          <w:sz w:val="24"/>
          <w:szCs w:val="24"/>
        </w:rPr>
        <w:t>i</w:t>
      </w:r>
      <w:proofErr w:type="spellEnd"/>
      <w:r>
        <w:rPr>
          <w:rFonts w:cs="Calibri"/>
          <w:i/>
          <w:color w:val="000000"/>
          <w:sz w:val="24"/>
          <w:szCs w:val="24"/>
        </w:rPr>
        <w:t xml:space="preserve"> is less than 10, with </w:t>
      </w:r>
      <w:proofErr w:type="spellStart"/>
      <w:r>
        <w:rPr>
          <w:rFonts w:cs="Calibri"/>
          <w:i/>
          <w:color w:val="000000"/>
          <w:sz w:val="24"/>
          <w:szCs w:val="24"/>
        </w:rPr>
        <w:t>i</w:t>
      </w:r>
      <w:proofErr w:type="spellEnd"/>
      <w:r>
        <w:rPr>
          <w:rFonts w:cs="Calibri"/>
          <w:i/>
          <w:color w:val="000000"/>
          <w:sz w:val="24"/>
          <w:szCs w:val="24"/>
        </w:rPr>
        <w:t xml:space="preserve"> increasing by 1 each time. That means this loop is going to print out the values of all whole numbers from 0 to 9 squared.” </w:t>
      </w:r>
    </w:p>
    <w:p w14:paraId="0000004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Notice that in this description the word 'for' was never used. When one pauses beyond rote syntax to ask: </w:t>
      </w:r>
      <w:r>
        <w:rPr>
          <w:rFonts w:cs="Calibri"/>
          <w:i/>
          <w:color w:val="000000"/>
          <w:sz w:val="24"/>
          <w:szCs w:val="24"/>
        </w:rPr>
        <w:t>“where is the for in the for-</w:t>
      </w:r>
      <w:proofErr w:type="gramStart"/>
      <w:r>
        <w:rPr>
          <w:rFonts w:cs="Calibri"/>
          <w:i/>
          <w:color w:val="000000"/>
          <w:sz w:val="24"/>
          <w:szCs w:val="24"/>
        </w:rPr>
        <w:t>loop?,</w:t>
      </w:r>
      <w:proofErr w:type="gramEnd"/>
      <w:r>
        <w:rPr>
          <w:rFonts w:cs="Calibri"/>
          <w:i/>
          <w:color w:val="000000"/>
          <w:sz w:val="24"/>
          <w:szCs w:val="24"/>
        </w:rPr>
        <w:t>"</w:t>
      </w:r>
      <w:r>
        <w:rPr>
          <w:rFonts w:cs="Calibri"/>
          <w:color w:val="000000"/>
          <w:sz w:val="24"/>
          <w:szCs w:val="24"/>
        </w:rPr>
        <w:t xml:space="preserve"> this keyword can easily begin to feel shoehorned in. We might say: “for </w:t>
      </w:r>
      <w:proofErr w:type="spellStart"/>
      <w:r>
        <w:rPr>
          <w:rFonts w:cs="Calibri"/>
          <w:color w:val="000000"/>
          <w:sz w:val="24"/>
          <w:szCs w:val="24"/>
        </w:rPr>
        <w:t>i</w:t>
      </w:r>
      <w:proofErr w:type="spellEnd"/>
      <w:r>
        <w:rPr>
          <w:rFonts w:cs="Calibri"/>
          <w:color w:val="000000"/>
          <w:sz w:val="24"/>
          <w:szCs w:val="24"/>
        </w:rPr>
        <w:t xml:space="preserve"> starting at 0, while </w:t>
      </w:r>
      <w:proofErr w:type="spellStart"/>
      <w:r>
        <w:rPr>
          <w:rFonts w:cs="Calibri"/>
          <w:color w:val="000000"/>
          <w:sz w:val="24"/>
          <w:szCs w:val="24"/>
        </w:rPr>
        <w:t>i</w:t>
      </w:r>
      <w:proofErr w:type="spellEnd"/>
      <w:r>
        <w:rPr>
          <w:rFonts w:cs="Calibri"/>
          <w:color w:val="000000"/>
          <w:sz w:val="24"/>
          <w:szCs w:val="24"/>
        </w:rPr>
        <w:t xml:space="preserve"> is less than 10...” but this does not provide any new or more specific meaning. The keyword 'for' is lost in the weeds of additional, frankly strange-looking syntax. This strange syntax and unhelpful keyword can lead students to believe a for-loop must be “fundamentally different” than other loop types. Pedagogically, it is not: the looping condition is identical to a “while” loop condition. The use of “for” does not suggest this, nor does it provide any context on the additional syntax provided in this loop structure.</w:t>
      </w:r>
    </w:p>
    <w:p w14:paraId="00000046" w14:textId="77777777" w:rsidR="001209E0" w:rsidRDefault="00000000">
      <w:pPr>
        <w:spacing w:before="240" w:after="240" w:line="240" w:lineRule="auto"/>
        <w:rPr>
          <w:rFonts w:cs="Calibri"/>
          <w:color w:val="000000"/>
          <w:sz w:val="24"/>
          <w:szCs w:val="24"/>
        </w:rPr>
      </w:pPr>
      <w:r>
        <w:rPr>
          <w:rFonts w:cs="Calibri"/>
          <w:color w:val="000000"/>
          <w:sz w:val="24"/>
          <w:szCs w:val="24"/>
        </w:rPr>
        <w:t>Historically, the use of the “for” keyword was introduced in ALGOL in 1958 (Wikipedia, 2022). Prior, “do” was the closest keyword match. The origin of “for” uses different syntax than we see in Java and many other languages today:</w:t>
      </w:r>
    </w:p>
    <w:p w14:paraId="00000047"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lastRenderedPageBreak/>
        <w:t xml:space="preserve">FOR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(3) 99 BEGIN</w:t>
      </w:r>
      <w:r>
        <w:rPr>
          <w:rFonts w:ascii="Consolas" w:eastAsia="Consolas" w:hAnsi="Consolas" w:cs="Consolas"/>
          <w:color w:val="000000"/>
          <w:sz w:val="24"/>
          <w:szCs w:val="24"/>
        </w:rPr>
        <w:br/>
        <w:t xml:space="preserve">PRINT (FL)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END</w:t>
      </w:r>
    </w:p>
    <w:p w14:paraId="0000004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Would print out in ALGOL each value of “</w:t>
      </w:r>
      <w:proofErr w:type="spellStart"/>
      <w:r>
        <w:rPr>
          <w:rFonts w:cs="Calibri"/>
          <w:color w:val="000000"/>
          <w:sz w:val="24"/>
          <w:szCs w:val="24"/>
        </w:rPr>
        <w:t>i</w:t>
      </w:r>
      <w:proofErr w:type="spellEnd"/>
      <w:r>
        <w:rPr>
          <w:rFonts w:cs="Calibri"/>
          <w:color w:val="000000"/>
          <w:sz w:val="24"/>
          <w:szCs w:val="24"/>
        </w:rPr>
        <w:t>” starting at 0, changing by 3 each time, and ending at 99. In this context, we might read it as: “</w:t>
      </w:r>
      <w:r>
        <w:rPr>
          <w:rFonts w:cs="Calibri"/>
          <w:i/>
          <w:color w:val="000000"/>
          <w:sz w:val="24"/>
          <w:szCs w:val="24"/>
        </w:rPr>
        <w:t>for</w:t>
      </w:r>
      <w:r>
        <w:rPr>
          <w:rFonts w:cs="Calibri"/>
          <w:color w:val="000000"/>
          <w:sz w:val="24"/>
          <w:szCs w:val="24"/>
        </w:rPr>
        <w:t xml:space="preserve"> </w:t>
      </w:r>
      <w:proofErr w:type="spellStart"/>
      <w:r>
        <w:rPr>
          <w:rFonts w:cs="Calibri"/>
          <w:color w:val="000000"/>
          <w:sz w:val="24"/>
          <w:szCs w:val="24"/>
        </w:rPr>
        <w:t>i</w:t>
      </w:r>
      <w:proofErr w:type="spellEnd"/>
      <w:r>
        <w:rPr>
          <w:rFonts w:cs="Calibri"/>
          <w:color w:val="000000"/>
          <w:sz w:val="24"/>
          <w:szCs w:val="24"/>
        </w:rPr>
        <w:t xml:space="preserve"> starting at 0, incrementing by 3 and stopping at 99, print out </w:t>
      </w:r>
      <w:proofErr w:type="spellStart"/>
      <w:r>
        <w:rPr>
          <w:rFonts w:cs="Calibri"/>
          <w:color w:val="000000"/>
          <w:sz w:val="24"/>
          <w:szCs w:val="24"/>
        </w:rPr>
        <w:t>i</w:t>
      </w:r>
      <w:proofErr w:type="spellEnd"/>
      <w:r>
        <w:rPr>
          <w:rFonts w:cs="Calibri"/>
          <w:color w:val="000000"/>
          <w:sz w:val="24"/>
          <w:szCs w:val="24"/>
        </w:rPr>
        <w:t xml:space="preserve">." This historical context may shed some light on the keyword’s </w:t>
      </w:r>
      <w:proofErr w:type="gramStart"/>
      <w:r>
        <w:rPr>
          <w:rFonts w:cs="Calibri"/>
          <w:color w:val="000000"/>
          <w:sz w:val="24"/>
          <w:szCs w:val="24"/>
        </w:rPr>
        <w:t>origins, but</w:t>
      </w:r>
      <w:proofErr w:type="gramEnd"/>
      <w:r>
        <w:rPr>
          <w:rFonts w:cs="Calibri"/>
          <w:color w:val="000000"/>
          <w:sz w:val="24"/>
          <w:szCs w:val="24"/>
        </w:rPr>
        <w:t xml:space="preserve"> does little to help a novice looking at the modern Java syntax make sense of the word choice today. Even in trying to map the pieces, the ordering and function of elements has morphed as well: what was once (base, step, end) is now (base, continue, step). </w:t>
      </w:r>
    </w:p>
    <w:p w14:paraId="0000004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Merriam-Webster's dictionary provides two entries and eleven total definitions of “for” (Merriam-Webster, 2020). Ten of these definitions apply to “for” as preposition and one is a conjunctive version (this is excluding any prefix or suffix-based definitions). This alone highlights the fluid, polysemic nature of “for” in natural language. Programming's use of “for” to create understanding for novices captures none of that, often leading to confusion as to “what it means” in the programming context. With “for” being a context dependent word in English, only to become an independent syntactic keyword in languages like Java, it is no wonder novice </w:t>
      </w:r>
      <w:proofErr w:type="gramStart"/>
      <w:r>
        <w:rPr>
          <w:rFonts w:cs="Calibri"/>
          <w:color w:val="000000"/>
          <w:sz w:val="24"/>
          <w:szCs w:val="24"/>
        </w:rPr>
        <w:t>meaning-making</w:t>
      </w:r>
      <w:proofErr w:type="gramEnd"/>
      <w:r>
        <w:rPr>
          <w:rFonts w:cs="Calibri"/>
          <w:color w:val="000000"/>
          <w:sz w:val="24"/>
          <w:szCs w:val="24"/>
        </w:rPr>
        <w:t xml:space="preserve"> gets lost in translation.</w:t>
      </w:r>
    </w:p>
    <w:p w14:paraId="0000004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Uses of the word “for” in other modern programming languages – and even in other concepts within Java – may only add to novice confusion. A “for each” loop (also called an enhanced for loop) is another Java loop structure with a different syntactic pattern:</w:t>
      </w:r>
    </w:p>
    <w:p w14:paraId="0000004B"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int[</w:t>
      </w:r>
      <w:proofErr w:type="gramEnd"/>
      <w:r>
        <w:rPr>
          <w:rFonts w:ascii="Consolas" w:eastAsia="Consolas" w:hAnsi="Consolas" w:cs="Consolas"/>
          <w:color w:val="000000"/>
          <w:sz w:val="24"/>
          <w:szCs w:val="24"/>
        </w:rPr>
        <w:t xml:space="preserve"> ] a = {0, 1, 2, 3, 4, 5, 6, 7, 8, 9};</w:t>
      </w:r>
      <w:r>
        <w:rPr>
          <w:rFonts w:ascii="Consolas" w:eastAsia="Consolas" w:hAnsi="Consolas" w:cs="Consolas"/>
          <w:color w:val="000000"/>
          <w:sz w:val="24"/>
          <w:szCs w:val="24"/>
        </w:rPr>
        <w:br/>
        <w:t xml:space="preserve">for (int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a) {</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w:t>
      </w:r>
    </w:p>
    <w:p w14:paraId="0000004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above snippet uses the variable </w:t>
      </w:r>
      <w:proofErr w:type="spellStart"/>
      <w:r>
        <w:rPr>
          <w:rFonts w:cs="Calibri"/>
          <w:color w:val="000000"/>
          <w:sz w:val="24"/>
          <w:szCs w:val="24"/>
        </w:rPr>
        <w:t>i</w:t>
      </w:r>
      <w:proofErr w:type="spellEnd"/>
      <w:r>
        <w:rPr>
          <w:rFonts w:cs="Calibri"/>
          <w:color w:val="000000"/>
          <w:sz w:val="24"/>
          <w:szCs w:val="24"/>
        </w:rPr>
        <w:t xml:space="preserve"> not as an iterating numeric value, but as a variable taking on the </w:t>
      </w:r>
      <w:r>
        <w:rPr>
          <w:rFonts w:cs="Calibri"/>
          <w:i/>
          <w:color w:val="000000"/>
          <w:sz w:val="24"/>
          <w:szCs w:val="24"/>
        </w:rPr>
        <w:t>value of each element</w:t>
      </w:r>
      <w:r>
        <w:rPr>
          <w:rFonts w:cs="Calibri"/>
          <w:color w:val="000000"/>
          <w:sz w:val="24"/>
          <w:szCs w:val="24"/>
        </w:rPr>
        <w:t xml:space="preserve"> in an </w:t>
      </w:r>
      <w:proofErr w:type="spellStart"/>
      <w:r>
        <w:rPr>
          <w:rFonts w:cs="Calibri"/>
          <w:color w:val="000000"/>
          <w:sz w:val="24"/>
          <w:szCs w:val="24"/>
        </w:rPr>
        <w:t>iterable</w:t>
      </w:r>
      <w:proofErr w:type="spellEnd"/>
      <w:r>
        <w:rPr>
          <w:rFonts w:cs="Calibri"/>
          <w:color w:val="000000"/>
          <w:sz w:val="24"/>
          <w:szCs w:val="24"/>
        </w:rPr>
        <w:t xml:space="preserve"> set. With a created array of integer values named “a” prior to the “for-each” loop containing the values </w:t>
      </w:r>
      <w:proofErr w:type="spellStart"/>
      <w:r>
        <w:rPr>
          <w:rFonts w:cs="Calibri"/>
          <w:color w:val="000000"/>
          <w:sz w:val="24"/>
          <w:szCs w:val="24"/>
        </w:rPr>
        <w:t>i</w:t>
      </w:r>
      <w:proofErr w:type="spellEnd"/>
      <w:r>
        <w:rPr>
          <w:rFonts w:cs="Calibri"/>
          <w:color w:val="000000"/>
          <w:sz w:val="24"/>
          <w:szCs w:val="24"/>
        </w:rPr>
        <w:t xml:space="preserve"> “took on” in the original for-loop, the “for-each” loop presents the same keyword with new grammar as polysemic within the language itself. The “for each” loop uses the same word to indicate instead “for each element in a, let </w:t>
      </w:r>
      <w:proofErr w:type="spellStart"/>
      <w:r>
        <w:rPr>
          <w:rFonts w:cs="Calibri"/>
          <w:color w:val="000000"/>
          <w:sz w:val="24"/>
          <w:szCs w:val="24"/>
        </w:rPr>
        <w:t>i</w:t>
      </w:r>
      <w:proofErr w:type="spellEnd"/>
      <w:r>
        <w:rPr>
          <w:rFonts w:cs="Calibri"/>
          <w:color w:val="000000"/>
          <w:sz w:val="24"/>
          <w:szCs w:val="24"/>
        </w:rPr>
        <w:t xml:space="preserve"> represent that element, and do the actions within the loop body." </w:t>
      </w:r>
    </w:p>
    <w:p w14:paraId="0000004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each” loop is somewhat clarifying in that it “does some action (FOR) each thing," but obfuscates even more what the word “for” as a keyword means, especially in the original example. Novices cannot be blamed for wondering if “for” is always an abbreviation of “for each” and thus arriving at misconceptions.  </w:t>
      </w:r>
    </w:p>
    <w:p w14:paraId="0000004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Exposure to additional programming languages can create murkier waters for understanding “for."  The MATLAB </w:t>
      </w:r>
      <w:proofErr w:type="gramStart"/>
      <w:r>
        <w:rPr>
          <w:rFonts w:cs="Calibri"/>
          <w:color w:val="000000"/>
          <w:sz w:val="24"/>
          <w:szCs w:val="24"/>
        </w:rPr>
        <w:t>language’s</w:t>
      </w:r>
      <w:proofErr w:type="gramEnd"/>
      <w:r>
        <w:rPr>
          <w:rFonts w:cs="Calibri"/>
          <w:color w:val="000000"/>
          <w:sz w:val="24"/>
          <w:szCs w:val="24"/>
        </w:rPr>
        <w:t xml:space="preserve"> “for” loops use an iterating numeric variable like Java’s, but are syntactically more similar to Java’s “for each” loop. This can easily draw confusion as two distinct concepts in Java are “blended” in MATLAB. In Snap! (a block based graphical programming language), one block states the action “say for x seconds." Here we see the </w:t>
      </w:r>
      <w:r>
        <w:rPr>
          <w:rFonts w:cs="Calibri"/>
          <w:color w:val="000000"/>
          <w:sz w:val="24"/>
          <w:szCs w:val="24"/>
        </w:rPr>
        <w:lastRenderedPageBreak/>
        <w:t>syntactic keyword from Java – “for” – used as part of a natural language command description! The use of “for” is not the same here: this block describes a duration of real-world time, not programmer-controlled iteration. While it may seem trivial, students first learning to program may relate these prior experiences when encountering keywords across courses. They may arrive at unique and seemingly improbable reasoning through polysemic blends of wayfinding and known meanings. </w:t>
      </w:r>
    </w:p>
    <w:p w14:paraId="0000004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keyword highlights some of the rote expectations in learning programming and why it can be difficult to understand what novices do not understand. Expert programmers, through repetition, ingrain the strict representation of “what a for loop does” and “how to set up a for loop." Experts internalize sentences like the one above, automatically associating them to the representative code. Deeper investigation reveals that those interpretations are not inherent – in fact, those mappings can be incredibly difficult. The nuance of meanings within this word betrays its confusing nature. The ease with which experts map keyword “meaning” outside of any syntactic evidence is a learned skill, masking some of the difficulty English language presents in syntax. In fact, this rote memorization and dead metaphoric relation can even cause inability to recognize how this lexicon could pose obstacles at all.  </w:t>
      </w:r>
    </w:p>
    <w:p w14:paraId="00000050" w14:textId="3654360D"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2</w:t>
      </w:r>
      <w:r>
        <w:rPr>
          <w:rFonts w:cs="Calibri"/>
          <w:b/>
          <w:color w:val="000000"/>
          <w:sz w:val="24"/>
          <w:szCs w:val="24"/>
        </w:rPr>
        <w:t xml:space="preserve"> Charting the Terrain: What’s This? </w:t>
      </w:r>
    </w:p>
    <w:p w14:paraId="0000005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keyword “this” in Java refers to the implicit parameter -- the object calling an instance method, “this object." For example, a Dog class:</w:t>
      </w:r>
    </w:p>
    <w:p w14:paraId="0000005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class Dog </w:t>
      </w:r>
      <w:proofErr w:type="gramStart"/>
      <w:r>
        <w:rPr>
          <w:rFonts w:ascii="Consolas" w:eastAsia="Consolas" w:hAnsi="Consolas" w:cs="Consolas"/>
          <w:color w:val="000000"/>
          <w:sz w:val="24"/>
          <w:szCs w:val="24"/>
        </w:rPr>
        <w:t>{ }</w:t>
      </w:r>
      <w:proofErr w:type="gramEnd"/>
    </w:p>
    <w:p w14:paraId="0000005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Might be used to create Dog object variables in a program. The Dog class defines all the properties and behaviors of Dog objects. I may wish to have the </w:t>
      </w:r>
      <w:proofErr w:type="gramStart"/>
      <w:r>
        <w:rPr>
          <w:rFonts w:cs="Calibri"/>
          <w:color w:val="000000"/>
          <w:sz w:val="24"/>
          <w:szCs w:val="24"/>
        </w:rPr>
        <w:t>particular Dog</w:t>
      </w:r>
      <w:proofErr w:type="gramEnd"/>
      <w:r>
        <w:rPr>
          <w:rFonts w:cs="Calibri"/>
          <w:color w:val="000000"/>
          <w:sz w:val="24"/>
          <w:szCs w:val="24"/>
        </w:rPr>
        <w:t xml:space="preserve"> object, which is referencing the class, do an action or access as a variable. If the Dog class defines some “play” behavior, I may wish to have “</w:t>
      </w:r>
      <w:r>
        <w:rPr>
          <w:rFonts w:cs="Calibri"/>
          <w:b/>
          <w:color w:val="000000"/>
          <w:sz w:val="24"/>
          <w:szCs w:val="24"/>
        </w:rPr>
        <w:t>the Dog that is playing</w:t>
      </w:r>
      <w:r>
        <w:rPr>
          <w:rFonts w:cs="Calibri"/>
          <w:color w:val="000000"/>
          <w:sz w:val="24"/>
          <w:szCs w:val="24"/>
        </w:rPr>
        <w:t xml:space="preserve">” wag its tail. Within the play behavior, one could write: </w:t>
      </w:r>
      <w:r>
        <w:rPr>
          <w:rFonts w:cs="Calibri"/>
          <w:color w:val="000000"/>
          <w:sz w:val="24"/>
          <w:szCs w:val="24"/>
        </w:rPr>
        <w:br/>
      </w:r>
      <w:r>
        <w:rPr>
          <w:rFonts w:ascii="Arial" w:eastAsia="Arial" w:hAnsi="Arial" w:cs="Arial"/>
          <w:color w:val="000000"/>
          <w:sz w:val="24"/>
          <w:szCs w:val="24"/>
        </w:rPr>
        <w:br/>
      </w:r>
      <w:proofErr w:type="spellStart"/>
      <w:proofErr w:type="gramStart"/>
      <w:r>
        <w:rPr>
          <w:rFonts w:ascii="Consolas" w:eastAsia="Consolas" w:hAnsi="Consolas" w:cs="Consolas"/>
          <w:color w:val="000000"/>
          <w:sz w:val="24"/>
          <w:szCs w:val="24"/>
        </w:rPr>
        <w:t>this.wagTail</w:t>
      </w:r>
      <w:proofErr w:type="spellEnd"/>
      <w:proofErr w:type="gramEnd"/>
      <w:r>
        <w:rPr>
          <w:rFonts w:ascii="Consolas" w:eastAsia="Consolas" w:hAnsi="Consolas" w:cs="Consolas"/>
          <w:color w:val="000000"/>
          <w:sz w:val="24"/>
          <w:szCs w:val="24"/>
        </w:rPr>
        <w:t>();</w:t>
      </w:r>
    </w:p>
    <w:p w14:paraId="00000054" w14:textId="77777777" w:rsidR="001209E0" w:rsidRDefault="00000000">
      <w:pPr>
        <w:spacing w:before="240" w:after="240" w:line="240" w:lineRule="auto"/>
        <w:rPr>
          <w:rFonts w:ascii="Times New Roman" w:eastAsia="Times New Roman" w:hAnsi="Times New Roman"/>
          <w:sz w:val="24"/>
          <w:szCs w:val="24"/>
        </w:rPr>
      </w:pPr>
      <w:proofErr w:type="gramStart"/>
      <w:r>
        <w:rPr>
          <w:rFonts w:cs="Calibri"/>
          <w:color w:val="000000"/>
          <w:sz w:val="24"/>
          <w:szCs w:val="24"/>
        </w:rPr>
        <w:t>So</w:t>
      </w:r>
      <w:proofErr w:type="gramEnd"/>
      <w:r>
        <w:rPr>
          <w:rFonts w:cs="Calibri"/>
          <w:color w:val="000000"/>
          <w:sz w:val="24"/>
          <w:szCs w:val="24"/>
        </w:rPr>
        <w:t xml:space="preserve"> when any dog object uses the play behavior, “that dog” will wag its tail.</w:t>
      </w:r>
    </w:p>
    <w:p w14:paraId="00000055"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Dog jake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jake.play</w:t>
      </w:r>
      <w:proofErr w:type="spellEnd"/>
      <w:r>
        <w:rPr>
          <w:rFonts w:ascii="Consolas" w:eastAsia="Consolas" w:hAnsi="Consolas" w:cs="Consolas"/>
          <w:color w:val="000000"/>
          <w:sz w:val="24"/>
          <w:szCs w:val="24"/>
        </w:rPr>
        <w:t>();</w:t>
      </w:r>
    </w:p>
    <w:p w14:paraId="0000005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creates a new Dog variable based on the class named “jake," and has “jake” execute the play behavior (method). When “jake” does the play action, the Dog class as a template is referenced for “how to do this action." The Dog class has no idea what any variable may be named – programmers are able to name variables at their discretion. The “this” keyword thus serves as a mirror reflecting “the object that called the method” – in our case, “this” translates to “jake." </w:t>
      </w:r>
    </w:p>
    <w:p w14:paraId="00000057"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For novices, the keyword “this” and its function can be a source of confusion. Utilizing “this” requires an understanding of object-oriented paradigm, which can be a major shift from traditional ways of programming. Not only are students working to assimilate meanings and models of various code concepts, but entire ways of thinking about “how code is written” and “what code does” can be upended through object-oriented paradigms.</w:t>
      </w:r>
    </w:p>
    <w:p w14:paraId="00000058"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this.breed</w:t>
      </w:r>
      <w:proofErr w:type="spellEnd"/>
      <w:r>
        <w:rPr>
          <w:rFonts w:ascii="Consolas" w:eastAsia="Consolas" w:hAnsi="Consolas" w:cs="Consolas"/>
          <w:color w:val="000000"/>
          <w:sz w:val="24"/>
          <w:szCs w:val="24"/>
        </w:rPr>
        <w:t xml:space="preserve"> = breed;</w:t>
      </w:r>
      <w:r>
        <w:rPr>
          <w:rFonts w:ascii="Consolas" w:eastAsia="Consolas" w:hAnsi="Consolas" w:cs="Consolas"/>
          <w:color w:val="000000"/>
          <w:sz w:val="24"/>
          <w:szCs w:val="24"/>
        </w:rPr>
        <w:br/>
        <w:t>}</w:t>
      </w:r>
    </w:p>
    <w:p w14:paraId="00000059"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In the above example, the “this” keyword allows a demarcation to distinguish between two variables of the same name. “this” refers to “This object” – the object calling the constructor here </w:t>
      </w:r>
      <w:proofErr w:type="gramStart"/>
      <w:r>
        <w:rPr>
          <w:rFonts w:cs="Calibri"/>
          <w:color w:val="000000"/>
          <w:sz w:val="24"/>
          <w:szCs w:val="24"/>
        </w:rPr>
        <w:t>in order to</w:t>
      </w:r>
      <w:proofErr w:type="gramEnd"/>
      <w:r>
        <w:rPr>
          <w:rFonts w:cs="Calibri"/>
          <w:color w:val="000000"/>
          <w:sz w:val="24"/>
          <w:szCs w:val="24"/>
        </w:rPr>
        <w:t xml:space="preserve"> create a Dog object. </w:t>
      </w:r>
      <w:proofErr w:type="spellStart"/>
      <w:r>
        <w:rPr>
          <w:rFonts w:cs="Calibri"/>
          <w:color w:val="000000"/>
          <w:sz w:val="24"/>
          <w:szCs w:val="24"/>
        </w:rPr>
        <w:t>Were</w:t>
      </w:r>
      <w:proofErr w:type="spellEnd"/>
      <w:r>
        <w:rPr>
          <w:rFonts w:cs="Calibri"/>
          <w:color w:val="000000"/>
          <w:sz w:val="24"/>
          <w:szCs w:val="24"/>
        </w:rPr>
        <w:t xml:space="preserve"> I to reference creating an object by indicating:</w:t>
      </w:r>
    </w:p>
    <w:p w14:paraId="0000005A"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new Dog(“Doberman”</w:t>
      </w:r>
      <w:proofErr w:type="gramStart"/>
      <w:r>
        <w:rPr>
          <w:rFonts w:ascii="Consolas" w:eastAsia="Consolas" w:hAnsi="Consolas" w:cs="Consolas"/>
          <w:color w:val="000000"/>
          <w:sz w:val="24"/>
          <w:szCs w:val="24"/>
        </w:rPr>
        <w:t>);</w:t>
      </w:r>
      <w:proofErr w:type="gramEnd"/>
    </w:p>
    <w:p w14:paraId="0000005B" w14:textId="77777777" w:rsidR="001209E0" w:rsidRDefault="00000000">
      <w:pPr>
        <w:spacing w:before="240" w:after="240" w:line="240" w:lineRule="auto"/>
        <w:rPr>
          <w:rFonts w:cs="Calibri"/>
          <w:color w:val="000000"/>
          <w:sz w:val="24"/>
          <w:szCs w:val="24"/>
        </w:rPr>
      </w:pPr>
      <w:r>
        <w:rPr>
          <w:rFonts w:cs="Calibri"/>
          <w:color w:val="000000"/>
          <w:sz w:val="24"/>
          <w:szCs w:val="24"/>
        </w:rPr>
        <w:t>“this” would refer to “</w:t>
      </w:r>
      <w:proofErr w:type="spellStart"/>
      <w:r>
        <w:rPr>
          <w:rFonts w:cs="Calibri"/>
          <w:color w:val="000000"/>
          <w:sz w:val="24"/>
          <w:szCs w:val="24"/>
        </w:rPr>
        <w:t>ziggy</w:t>
      </w:r>
      <w:proofErr w:type="spellEnd"/>
      <w:r>
        <w:rPr>
          <w:rFonts w:cs="Calibri"/>
          <w:color w:val="000000"/>
          <w:sz w:val="24"/>
          <w:szCs w:val="24"/>
        </w:rPr>
        <w:t>” – this object, the object calling the constructor. Thus, the code above can use the same variable name (breed) to refer to two different concepts – the value passed to the constructor, and an instance variable of the object. “</w:t>
      </w:r>
      <w:proofErr w:type="spellStart"/>
      <w:proofErr w:type="gramStart"/>
      <w:r>
        <w:rPr>
          <w:rFonts w:cs="Calibri"/>
          <w:color w:val="000000"/>
          <w:sz w:val="24"/>
          <w:szCs w:val="24"/>
        </w:rPr>
        <w:t>this.breed</w:t>
      </w:r>
      <w:proofErr w:type="spellEnd"/>
      <w:proofErr w:type="gramEnd"/>
      <w:r>
        <w:rPr>
          <w:rFonts w:cs="Calibri"/>
          <w:color w:val="000000"/>
          <w:sz w:val="24"/>
          <w:szCs w:val="24"/>
        </w:rPr>
        <w:t>” says THIS dog object’s “breed” variable, “</w:t>
      </w:r>
      <w:proofErr w:type="spellStart"/>
      <w:r>
        <w:rPr>
          <w:rFonts w:cs="Calibri"/>
          <w:color w:val="000000"/>
          <w:sz w:val="24"/>
          <w:szCs w:val="24"/>
        </w:rPr>
        <w:t>ziggy’s</w:t>
      </w:r>
      <w:proofErr w:type="spellEnd"/>
      <w:r>
        <w:rPr>
          <w:rFonts w:cs="Calibri"/>
          <w:color w:val="000000"/>
          <w:sz w:val="24"/>
          <w:szCs w:val="24"/>
        </w:rPr>
        <w:t xml:space="preserve"> variable”</w:t>
      </w:r>
      <w:r>
        <w:rPr>
          <w:sz w:val="24"/>
          <w:szCs w:val="24"/>
        </w:rPr>
        <w:t>. The use “</w:t>
      </w:r>
      <w:proofErr w:type="spellStart"/>
      <w:proofErr w:type="gramStart"/>
      <w:r>
        <w:rPr>
          <w:sz w:val="24"/>
          <w:szCs w:val="24"/>
        </w:rPr>
        <w:t>this”prior</w:t>
      </w:r>
      <w:proofErr w:type="spellEnd"/>
      <w:proofErr w:type="gramEnd"/>
      <w:r>
        <w:rPr>
          <w:sz w:val="24"/>
          <w:szCs w:val="24"/>
        </w:rPr>
        <w:t xml:space="preserve"> to the variable name is here</w:t>
      </w:r>
      <w:r>
        <w:rPr>
          <w:rFonts w:cs="Calibri"/>
          <w:color w:val="000000"/>
          <w:sz w:val="24"/>
          <w:szCs w:val="24"/>
        </w:rPr>
        <w:t xml:space="preserve"> </w:t>
      </w:r>
      <w:r>
        <w:rPr>
          <w:sz w:val="24"/>
          <w:szCs w:val="24"/>
        </w:rPr>
        <w:t>indicating use of an “</w:t>
      </w:r>
      <w:sdt>
        <w:sdtPr>
          <w:tag w:val="goog_rdk_2"/>
          <w:id w:val="518744897"/>
        </w:sdtPr>
        <w:sdtContent>
          <w:commentRangeStart w:id="2"/>
        </w:sdtContent>
      </w:sdt>
      <w:sdt>
        <w:sdtPr>
          <w:tag w:val="goog_rdk_3"/>
          <w:id w:val="126829887"/>
        </w:sdtPr>
        <w:sdtContent>
          <w:commentRangeStart w:id="3"/>
        </w:sdtContent>
      </w:sdt>
      <w:r>
        <w:rPr>
          <w:rFonts w:cs="Calibri"/>
          <w:color w:val="000000"/>
          <w:sz w:val="24"/>
          <w:szCs w:val="24"/>
        </w:rPr>
        <w:t>instance variable</w:t>
      </w:r>
      <w:commentRangeEnd w:id="2"/>
      <w:r>
        <w:commentReference w:id="2"/>
      </w:r>
      <w:commentRangeEnd w:id="3"/>
      <w:r>
        <w:commentReference w:id="3"/>
      </w:r>
      <w:r>
        <w:rPr>
          <w:sz w:val="24"/>
          <w:szCs w:val="24"/>
        </w:rPr>
        <w:t>” - a variable belonging to a particular instance of the class (which is an object)</w:t>
      </w:r>
      <w:r>
        <w:rPr>
          <w:rFonts w:cs="Calibri"/>
          <w:color w:val="000000"/>
          <w:sz w:val="24"/>
          <w:szCs w:val="24"/>
        </w:rPr>
        <w:t>. This syntax would mean the Dog class would contain the following declaration:</w:t>
      </w:r>
    </w:p>
    <w:p w14:paraId="0000005C"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private String </w:t>
      </w:r>
      <w:proofErr w:type="gramStart"/>
      <w:r>
        <w:rPr>
          <w:rFonts w:ascii="Consolas" w:eastAsia="Consolas" w:hAnsi="Consolas" w:cs="Consolas"/>
          <w:color w:val="000000"/>
          <w:sz w:val="24"/>
          <w:szCs w:val="24"/>
        </w:rPr>
        <w:t>breed;</w:t>
      </w:r>
      <w:proofErr w:type="gramEnd"/>
      <w:r>
        <w:rPr>
          <w:rFonts w:ascii="Consolas" w:eastAsia="Consolas" w:hAnsi="Consolas" w:cs="Consolas"/>
          <w:color w:val="000000"/>
          <w:sz w:val="24"/>
          <w:szCs w:val="24"/>
        </w:rPr>
        <w:t xml:space="preserve"> </w:t>
      </w:r>
    </w:p>
    <w:p w14:paraId="0000005D" w14:textId="77777777" w:rsidR="001209E0" w:rsidRDefault="00000000">
      <w:pPr>
        <w:spacing w:before="240" w:after="240" w:line="240" w:lineRule="auto"/>
        <w:rPr>
          <w:rFonts w:cs="Calibri"/>
          <w:color w:val="000000"/>
          <w:sz w:val="24"/>
          <w:szCs w:val="24"/>
        </w:rPr>
      </w:pPr>
      <w:r>
        <w:rPr>
          <w:rFonts w:cs="Calibri"/>
          <w:color w:val="000000"/>
          <w:sz w:val="24"/>
          <w:szCs w:val="24"/>
        </w:rPr>
        <w:t>But the class’s private variable is a distinct variable from “String breed” noted in the constructor parameter list – despite having the same name. The implication here is that “</w:t>
      </w:r>
      <w:proofErr w:type="spellStart"/>
      <w:proofErr w:type="gramStart"/>
      <w:r>
        <w:rPr>
          <w:rFonts w:cs="Calibri"/>
          <w:color w:val="000000"/>
          <w:sz w:val="24"/>
          <w:szCs w:val="24"/>
        </w:rPr>
        <w:t>this.breed</w:t>
      </w:r>
      <w:proofErr w:type="spellEnd"/>
      <w:proofErr w:type="gramEnd"/>
      <w:r>
        <w:rPr>
          <w:rFonts w:cs="Calibri"/>
          <w:color w:val="000000"/>
          <w:sz w:val="24"/>
          <w:szCs w:val="24"/>
        </w:rPr>
        <w:t xml:space="preserve"> = breed” allows one to indicate “the Dog object calling this constructor’s breed variable should be set equal to the breed variable in the parameter list." In our case, “Doberman” was passed as argument to the parameter, and so </w:t>
      </w:r>
      <w:proofErr w:type="spellStart"/>
      <w:r>
        <w:rPr>
          <w:rFonts w:cs="Calibri"/>
          <w:color w:val="000000"/>
          <w:sz w:val="24"/>
          <w:szCs w:val="24"/>
        </w:rPr>
        <w:t>ziggy’s</w:t>
      </w:r>
      <w:proofErr w:type="spellEnd"/>
      <w:r>
        <w:rPr>
          <w:rFonts w:cs="Calibri"/>
          <w:color w:val="000000"/>
          <w:sz w:val="24"/>
          <w:szCs w:val="24"/>
        </w:rPr>
        <w:t xml:space="preserve"> private breed variable would be set equal to “Doberman." </w:t>
      </w:r>
    </w:p>
    <w:p w14:paraId="0000005E"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It can be difficult for novices to understand what “this” is, because “this” has the potential to be any object! Tying to polysemic confusion, “this” typically refers to an entity “close at hand or being indicated or experienced” (Merriam-Webster, 2021). Novice programmers often write code to solve a specific problem, yet the “this” keyword requires grappling with potential futures and objects which may not exist yet. When considered from the extensible program design angle, “this” in programming is almost at odds with its vocabulary definition. Novices know the name of variables “close at hand” in their program – they created them. </w:t>
      </w:r>
      <w:r>
        <w:rPr>
          <w:rFonts w:cs="Calibri"/>
          <w:i/>
          <w:color w:val="000000"/>
          <w:sz w:val="24"/>
          <w:szCs w:val="24"/>
        </w:rPr>
        <w:t>“Why not just call them by name? What is the point of “this”?”</w:t>
      </w:r>
      <w:r>
        <w:rPr>
          <w:rFonts w:cs="Calibri"/>
          <w:color w:val="000000"/>
          <w:sz w:val="24"/>
          <w:szCs w:val="24"/>
        </w:rPr>
        <w:t xml:space="preserve"> These questions encapsulate difficulty with an object-oriented paradigm shift, one the “this” keyword’s polysemy does not initially help novices mitigate, given their proximity to their own code files.</w:t>
      </w:r>
    </w:p>
    <w:p w14:paraId="0000005F"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Novice programmers, in not understanding extensible design yet, may attempt the following in writing their classes:</w:t>
      </w:r>
    </w:p>
    <w:p w14:paraId="00000060"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ziggy.setBreed</w:t>
      </w:r>
      <w:proofErr w:type="spellEnd"/>
      <w:r>
        <w:rPr>
          <w:rFonts w:ascii="Consolas" w:eastAsia="Consolas" w:hAnsi="Consolas" w:cs="Consolas"/>
          <w:color w:val="000000"/>
          <w:sz w:val="24"/>
          <w:szCs w:val="24"/>
        </w:rPr>
        <w:t xml:space="preserve">(breed);  </w:t>
      </w:r>
      <w:r>
        <w:rPr>
          <w:rFonts w:ascii="Consolas" w:eastAsia="Consolas" w:hAnsi="Consolas" w:cs="Consolas"/>
          <w:color w:val="000000"/>
          <w:sz w:val="24"/>
          <w:szCs w:val="24"/>
        </w:rPr>
        <w:br/>
        <w:t>}</w:t>
      </w:r>
    </w:p>
    <w:p w14:paraId="00000061" w14:textId="77777777" w:rsidR="001209E0" w:rsidRDefault="00000000">
      <w:pPr>
        <w:spacing w:before="240" w:after="240" w:line="240" w:lineRule="auto"/>
        <w:rPr>
          <w:rFonts w:cs="Calibri"/>
          <w:color w:val="000000"/>
          <w:sz w:val="24"/>
          <w:szCs w:val="24"/>
        </w:rPr>
      </w:pPr>
      <w:r>
        <w:rPr>
          <w:rFonts w:cs="Calibri"/>
          <w:color w:val="000000"/>
          <w:sz w:val="24"/>
          <w:szCs w:val="24"/>
        </w:rPr>
        <w:t>In the above example, the novice is attempting to use the variable name they know (“</w:t>
      </w:r>
      <w:proofErr w:type="spellStart"/>
      <w:r>
        <w:rPr>
          <w:rFonts w:cs="Calibri"/>
          <w:color w:val="000000"/>
          <w:sz w:val="24"/>
          <w:szCs w:val="24"/>
        </w:rPr>
        <w:t>ziggy</w:t>
      </w:r>
      <w:proofErr w:type="spellEnd"/>
      <w:r>
        <w:rPr>
          <w:rFonts w:cs="Calibri"/>
          <w:color w:val="000000"/>
          <w:sz w:val="24"/>
          <w:szCs w:val="24"/>
        </w:rPr>
        <w:t xml:space="preserve">”) in place of “this." However, this makes the constructor only ever modify </w:t>
      </w:r>
      <w:proofErr w:type="spellStart"/>
      <w:r>
        <w:rPr>
          <w:rFonts w:cs="Calibri"/>
          <w:color w:val="000000"/>
          <w:sz w:val="24"/>
          <w:szCs w:val="24"/>
        </w:rPr>
        <w:t>ziggy</w:t>
      </w:r>
      <w:proofErr w:type="spellEnd"/>
      <w:r>
        <w:rPr>
          <w:rFonts w:cs="Calibri"/>
          <w:color w:val="000000"/>
          <w:sz w:val="24"/>
          <w:szCs w:val="24"/>
        </w:rPr>
        <w:t xml:space="preserve">, despite a constructor being called </w:t>
      </w:r>
      <w:proofErr w:type="gramStart"/>
      <w:r>
        <w:rPr>
          <w:rFonts w:cs="Calibri"/>
          <w:color w:val="000000"/>
          <w:sz w:val="24"/>
          <w:szCs w:val="24"/>
        </w:rPr>
        <w:t>in order to</w:t>
      </w:r>
      <w:proofErr w:type="gramEnd"/>
      <w:r>
        <w:rPr>
          <w:rFonts w:cs="Calibri"/>
          <w:color w:val="000000"/>
          <w:sz w:val="24"/>
          <w:szCs w:val="24"/>
        </w:rPr>
        <w:t xml:space="preserve"> construct new Dog objects. </w:t>
      </w:r>
      <w:proofErr w:type="gramStart"/>
      <w:r>
        <w:rPr>
          <w:rFonts w:cs="Calibri"/>
          <w:color w:val="000000"/>
          <w:sz w:val="24"/>
          <w:szCs w:val="24"/>
        </w:rPr>
        <w:t>Thus</w:t>
      </w:r>
      <w:proofErr w:type="gramEnd"/>
      <w:r>
        <w:rPr>
          <w:rFonts w:cs="Calibri"/>
          <w:color w:val="000000"/>
          <w:sz w:val="24"/>
          <w:szCs w:val="24"/>
        </w:rPr>
        <w:t xml:space="preserve"> if the student then writes:</w:t>
      </w:r>
    </w:p>
    <w:p w14:paraId="00000062"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wishbone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“Jack Russell Terrier”); </w:t>
      </w:r>
    </w:p>
    <w:p w14:paraId="00000063" w14:textId="77777777" w:rsidR="001209E0" w:rsidRDefault="00000000">
      <w:pPr>
        <w:spacing w:before="240" w:after="240" w:line="240" w:lineRule="auto"/>
        <w:rPr>
          <w:rFonts w:cs="Calibri"/>
          <w:color w:val="000000"/>
          <w:sz w:val="24"/>
          <w:szCs w:val="24"/>
        </w:rPr>
      </w:pPr>
      <w:r>
        <w:rPr>
          <w:rFonts w:cs="Calibri"/>
          <w:color w:val="000000"/>
          <w:sz w:val="24"/>
          <w:szCs w:val="24"/>
        </w:rPr>
        <w:t>When the constructor is called to create “wishbone," “</w:t>
      </w:r>
      <w:proofErr w:type="spellStart"/>
      <w:r>
        <w:rPr>
          <w:rFonts w:cs="Calibri"/>
          <w:color w:val="000000"/>
          <w:sz w:val="24"/>
          <w:szCs w:val="24"/>
        </w:rPr>
        <w:t>ziggy</w:t>
      </w:r>
      <w:proofErr w:type="spellEnd"/>
      <w:r>
        <w:rPr>
          <w:rFonts w:cs="Calibri"/>
          <w:color w:val="000000"/>
          <w:sz w:val="24"/>
          <w:szCs w:val="24"/>
        </w:rPr>
        <w:t xml:space="preserve">” will be modified to be a Jack Russell terrier, and no variables will be set for wishbone. Further, this code will only function without error if the students are in fact creating their Dog objects in the Dog class itself. Consider </w:t>
      </w:r>
      <w:proofErr w:type="gramStart"/>
      <w:r>
        <w:rPr>
          <w:rFonts w:cs="Calibri"/>
          <w:color w:val="000000"/>
          <w:sz w:val="24"/>
          <w:szCs w:val="24"/>
        </w:rPr>
        <w:t>when  Dogs</w:t>
      </w:r>
      <w:proofErr w:type="gramEnd"/>
      <w:r>
        <w:rPr>
          <w:rFonts w:cs="Calibri"/>
          <w:color w:val="000000"/>
          <w:sz w:val="24"/>
          <w:szCs w:val="24"/>
        </w:rPr>
        <w:t xml:space="preserve"> are created in a “</w:t>
      </w:r>
      <w:proofErr w:type="spellStart"/>
      <w:r>
        <w:rPr>
          <w:rFonts w:cs="Calibri"/>
          <w:color w:val="000000"/>
          <w:sz w:val="24"/>
          <w:szCs w:val="24"/>
        </w:rPr>
        <w:t>DogPark</w:t>
      </w:r>
      <w:proofErr w:type="spellEnd"/>
      <w:r>
        <w:rPr>
          <w:rFonts w:cs="Calibri"/>
          <w:color w:val="000000"/>
          <w:sz w:val="24"/>
          <w:szCs w:val="24"/>
        </w:rPr>
        <w:t>” class for example that exists in the same project:</w:t>
      </w:r>
    </w:p>
    <w:p w14:paraId="00000064"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class </w:t>
      </w:r>
      <w:proofErr w:type="spellStart"/>
      <w:proofErr w:type="gramStart"/>
      <w:r>
        <w:rPr>
          <w:rFonts w:ascii="Consolas" w:eastAsia="Consolas" w:hAnsi="Consolas" w:cs="Consolas"/>
          <w:color w:val="000000"/>
          <w:sz w:val="24"/>
          <w:szCs w:val="24"/>
        </w:rPr>
        <w:t>DogPark</w:t>
      </w:r>
      <w:proofErr w:type="spellEnd"/>
      <w:r>
        <w:rPr>
          <w:rFonts w:ascii="Consolas" w:eastAsia="Consolas" w:hAnsi="Consolas" w:cs="Consolas"/>
          <w:color w:val="000000"/>
          <w:sz w:val="24"/>
          <w:szCs w:val="24"/>
        </w:rPr>
        <w:t>(</w:t>
      </w:r>
      <w:proofErr w:type="gram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public static void main(String[]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new Dog(“Doberman”);</w:t>
      </w:r>
      <w:r>
        <w:rPr>
          <w:rFonts w:ascii="Consolas" w:eastAsia="Consolas" w:hAnsi="Consolas" w:cs="Consolas"/>
          <w:color w:val="000000"/>
          <w:sz w:val="24"/>
          <w:szCs w:val="24"/>
        </w:rPr>
        <w:br/>
        <w:t xml:space="preserve">         Dog wishbone = new Dog(“Jack Russell Terrier”); </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p>
    <w:p w14:paraId="0000006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novice’s attempts simply will not function, as the Dog objects are out of scope in the Dog class, and thus, attempting to call those object’s variable names within that scope will give errors. This is often a source of confusion: “I made my Dog variable, and I change the breed, why doesn’t the code recognize the variable?” </w:t>
      </w:r>
    </w:p>
    <w:p w14:paraId="00000066" w14:textId="77777777" w:rsidR="001209E0" w:rsidRDefault="00000000">
      <w:pPr>
        <w:spacing w:before="240" w:after="240" w:line="240" w:lineRule="auto"/>
        <w:rPr>
          <w:rFonts w:cs="Calibri"/>
          <w:color w:val="000000"/>
          <w:sz w:val="24"/>
          <w:szCs w:val="24"/>
        </w:rPr>
      </w:pPr>
      <w:r>
        <w:rPr>
          <w:rFonts w:cs="Calibri"/>
          <w:color w:val="000000"/>
          <w:sz w:val="24"/>
          <w:szCs w:val="24"/>
        </w:rPr>
        <w:t>While the above examples of “avoiding” this might seem strange to an expert, they are reasonable for the novice who is first grappling with extensible class design. The concept of classes as “templates," which may derive many different variables, is removed from a “step by step” paradigm that many novices are first introduced to. The avoidance of “this” is rooted in confusion surrounding extensible object-oriented programming for the first time.  However, as novices begin to unravel extensible object-based paradigms, “this” can reverse from confusing to clarifying. The trouble often lies in novices needing to use “this” to navigate object-oriented design in the first place (as shown above to change the Dog breed), creating a chicken-and-egg scenario. </w:t>
      </w:r>
    </w:p>
    <w:p w14:paraId="00000067" w14:textId="65364B1D" w:rsidR="001209E0" w:rsidRPr="0026301D" w:rsidRDefault="00000000" w:rsidP="0026301D">
      <w:pPr>
        <w:shd w:val="clear" w:color="auto" w:fill="FFFFFF"/>
        <w:autoSpaceDE w:val="0"/>
        <w:autoSpaceDN w:val="0"/>
        <w:adjustRightInd w:val="0"/>
        <w:spacing w:after="0" w:line="240" w:lineRule="auto"/>
        <w:rPr>
          <w:rFonts w:ascii="Times New Roman" w:hAnsi="Times New Roman"/>
          <w:sz w:val="24"/>
          <w:szCs w:val="24"/>
          <w:highlight w:val="white"/>
        </w:rPr>
      </w:pPr>
      <w:proofErr w:type="gramStart"/>
      <w:r>
        <w:rPr>
          <w:rFonts w:cs="Calibri"/>
          <w:b/>
          <w:color w:val="000000"/>
          <w:sz w:val="24"/>
          <w:szCs w:val="24"/>
        </w:rPr>
        <w:t>3.</w:t>
      </w:r>
      <w:r w:rsidR="0026301D">
        <w:rPr>
          <w:rFonts w:cs="Calibri"/>
          <w:b/>
          <w:color w:val="000000"/>
          <w:sz w:val="24"/>
          <w:szCs w:val="24"/>
        </w:rPr>
        <w:t>3</w:t>
      </w:r>
      <w:r w:rsidR="0026301D" w:rsidRPr="0026301D">
        <w:rPr>
          <w:rFonts w:ascii="Times New Roman" w:hAnsi="Times New Roman"/>
          <w:color w:val="000000"/>
          <w:sz w:val="24"/>
          <w:szCs w:val="24"/>
          <w:highlight w:val="white"/>
        </w:rPr>
        <w:t xml:space="preserve"> </w:t>
      </w:r>
      <w:r w:rsidR="0026301D">
        <w:rPr>
          <w:rFonts w:ascii="Times New Roman" w:hAnsi="Times New Roman"/>
          <w:color w:val="000000"/>
          <w:sz w:val="24"/>
          <w:szCs w:val="24"/>
          <w:highlight w:val="white"/>
        </w:rPr>
        <w:t xml:space="preserve"> –</w:t>
      </w:r>
      <w:proofErr w:type="gramEnd"/>
      <w:r w:rsidR="0026301D">
        <w:rPr>
          <w:rFonts w:ascii="Times New Roman" w:hAnsi="Times New Roman"/>
          <w:color w:val="000000"/>
          <w:sz w:val="24"/>
          <w:szCs w:val="24"/>
          <w:highlight w:val="white"/>
        </w:rPr>
        <w:t xml:space="preserve"> Landmarks in Learning: Keywords as Wayfinding</w:t>
      </w:r>
      <w:r w:rsidR="0026301D">
        <w:rPr>
          <w:rFonts w:ascii="Times New Roman" w:hAnsi="Times New Roman"/>
          <w:sz w:val="24"/>
          <w:szCs w:val="24"/>
        </w:rPr>
        <w:t>3</w:t>
      </w:r>
      <w:r>
        <w:rPr>
          <w:rFonts w:cs="Calibri"/>
          <w:b/>
          <w:color w:val="000000"/>
          <w:sz w:val="24"/>
          <w:szCs w:val="24"/>
        </w:rPr>
        <w:t xml:space="preserve"> Pondering Paths: Other Examples of Polysemy Play and Syntax Specifics</w:t>
      </w:r>
    </w:p>
    <w:p w14:paraId="00000068" w14:textId="14CD7970"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lastRenderedPageBreak/>
        <w:t>3.</w:t>
      </w:r>
      <w:r w:rsidR="0026301D">
        <w:rPr>
          <w:rFonts w:cs="Calibri"/>
          <w:b/>
          <w:color w:val="000000"/>
          <w:sz w:val="24"/>
          <w:szCs w:val="24"/>
        </w:rPr>
        <w:t>3.1</w:t>
      </w:r>
      <w:r>
        <w:rPr>
          <w:rFonts w:cs="Calibri"/>
          <w:b/>
          <w:color w:val="000000"/>
          <w:sz w:val="24"/>
          <w:szCs w:val="24"/>
        </w:rPr>
        <w:t xml:space="preserve"> – </w:t>
      </w:r>
      <w:proofErr w:type="gramStart"/>
      <w:r>
        <w:rPr>
          <w:rFonts w:cs="Calibri"/>
          <w:b/>
          <w:color w:val="000000"/>
          <w:sz w:val="24"/>
          <w:szCs w:val="24"/>
        </w:rPr>
        <w:t>Final :</w:t>
      </w:r>
      <w:proofErr w:type="gramEnd"/>
      <w:r>
        <w:rPr>
          <w:rFonts w:cs="Calibri"/>
          <w:color w:val="000000"/>
          <w:sz w:val="24"/>
          <w:szCs w:val="24"/>
        </w:rPr>
        <w:t xml:space="preserve"> The “final” keyword in Java denotes variables which have an unchanging value. The value is “finalized."</w:t>
      </w:r>
    </w:p>
    <w:p w14:paraId="00000069"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final double PI = </w:t>
      </w:r>
      <w:proofErr w:type="gramStart"/>
      <w:r>
        <w:rPr>
          <w:rFonts w:ascii="Consolas" w:eastAsia="Consolas" w:hAnsi="Consolas" w:cs="Consolas"/>
          <w:color w:val="000000"/>
          <w:sz w:val="24"/>
          <w:szCs w:val="24"/>
        </w:rPr>
        <w:t>3.14159;</w:t>
      </w:r>
      <w:proofErr w:type="gramEnd"/>
    </w:p>
    <w:p w14:paraId="0000006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means the variable “PI," which is of type double, cannot be changed from its final value of 3.14159. However, the word “final” can often indicate completion of something that was previously able to change. In Java, “final” must be stated during declaration when the variable’s name and type are defined. Simply: one must know a variable is going to be “final” when the variable is created, so it will only ever have that one value. Java has no process for the variable to take on different values before achieving the “final” value. We cannot do calculations and then “arrive” at the final value. The variable starts as, and always is, final. </w:t>
      </w:r>
    </w:p>
    <w:p w14:paraId="0000006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Other languages use the keyword “constant” or “const” to represent the concept of “final” in Java. “Constant” describes a persistent state of being in the same form, which is much more aligned to the expected behavior in Java. Though better, “constant” is not perfect, as it may introduce new polysemic confusion, such as a variable being “constantly” available </w:t>
      </w:r>
      <w:proofErr w:type="gramStart"/>
      <w:r>
        <w:rPr>
          <w:rFonts w:cs="Calibri"/>
          <w:color w:val="000000"/>
          <w:sz w:val="24"/>
          <w:szCs w:val="24"/>
        </w:rPr>
        <w:t>similar to</w:t>
      </w:r>
      <w:proofErr w:type="gramEnd"/>
      <w:r>
        <w:rPr>
          <w:rFonts w:cs="Calibri"/>
          <w:color w:val="000000"/>
          <w:sz w:val="24"/>
          <w:szCs w:val="24"/>
        </w:rPr>
        <w:t xml:space="preserve"> how a “public” variable might be. Java’s use of “final” introduces potential new ideas and interpretations for how the code is allowed to execute due to the keyword’s existing meaning. This polysemy when used in wayfinding may lead to misconceived notions. </w:t>
      </w:r>
    </w:p>
    <w:p w14:paraId="0000006C" w14:textId="77777777" w:rsidR="001209E0" w:rsidRDefault="001209E0">
      <w:pPr>
        <w:spacing w:before="240" w:after="240" w:line="240" w:lineRule="auto"/>
        <w:rPr>
          <w:rFonts w:cs="Calibri"/>
          <w:color w:val="000000"/>
          <w:sz w:val="24"/>
          <w:szCs w:val="24"/>
        </w:rPr>
      </w:pPr>
    </w:p>
    <w:p w14:paraId="0000006D" w14:textId="226A3A7C"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3</w:t>
      </w:r>
      <w:r>
        <w:rPr>
          <w:rFonts w:cs="Calibri"/>
          <w:b/>
          <w:color w:val="000000"/>
          <w:sz w:val="24"/>
          <w:szCs w:val="24"/>
        </w:rPr>
        <w:t xml:space="preserve">.2 – </w:t>
      </w:r>
      <w:proofErr w:type="gramStart"/>
      <w:r>
        <w:rPr>
          <w:rFonts w:cs="Calibri"/>
          <w:b/>
          <w:color w:val="000000"/>
          <w:sz w:val="24"/>
          <w:szCs w:val="24"/>
        </w:rPr>
        <w:t>Static :</w:t>
      </w:r>
      <w:proofErr w:type="gramEnd"/>
      <w:r>
        <w:rPr>
          <w:rFonts w:cs="Calibri"/>
          <w:color w:val="000000"/>
          <w:sz w:val="24"/>
          <w:szCs w:val="24"/>
        </w:rPr>
        <w:t xml:space="preserve"> Methods (functionality or actions; sometimes called functions, tasks, or sub procedures in other languages) that do not return a value use the keyword “void” as their return type in Java. “Void” indicates to be “empty or without something," but can also mean “absence of” or “lacking." Novices can struggle to recognize void methods can still have “value” in their actions, even if they cannot return a value back. A novice may question “why they would ever write a void method," believing these methods are </w:t>
      </w:r>
      <w:r>
        <w:rPr>
          <w:rFonts w:cs="Calibri"/>
          <w:i/>
          <w:color w:val="000000"/>
          <w:sz w:val="24"/>
          <w:szCs w:val="24"/>
        </w:rPr>
        <w:t>without</w:t>
      </w:r>
      <w:r>
        <w:rPr>
          <w:rFonts w:cs="Calibri"/>
          <w:color w:val="000000"/>
          <w:sz w:val="24"/>
          <w:szCs w:val="24"/>
        </w:rPr>
        <w:t xml:space="preserve"> any value of use. This case of polysemy obstructing understanding is rather amusing, as most applications in Java require the following method </w:t>
      </w:r>
      <w:proofErr w:type="gramStart"/>
      <w:r>
        <w:rPr>
          <w:rFonts w:cs="Calibri"/>
          <w:color w:val="000000"/>
          <w:sz w:val="24"/>
          <w:szCs w:val="24"/>
        </w:rPr>
        <w:t>in order to</w:t>
      </w:r>
      <w:proofErr w:type="gramEnd"/>
      <w:r>
        <w:rPr>
          <w:rFonts w:cs="Calibri"/>
          <w:color w:val="000000"/>
          <w:sz w:val="24"/>
          <w:szCs w:val="24"/>
        </w:rPr>
        <w:t xml:space="preserve"> encapsulate the runnable code:</w:t>
      </w:r>
    </w:p>
    <w:p w14:paraId="0000006E"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static void </w:t>
      </w:r>
      <w:proofErr w:type="gramStart"/>
      <w:r>
        <w:rPr>
          <w:rFonts w:ascii="Consolas" w:eastAsia="Consolas" w:hAnsi="Consolas" w:cs="Consolas"/>
          <w:color w:val="000000"/>
          <w:sz w:val="24"/>
          <w:szCs w:val="24"/>
        </w:rPr>
        <w:t>main(</w:t>
      </w:r>
      <w:proofErr w:type="gramEnd"/>
      <w:r>
        <w:rPr>
          <w:rFonts w:ascii="Consolas" w:eastAsia="Consolas" w:hAnsi="Consolas" w:cs="Consolas"/>
          <w:color w:val="000000"/>
          <w:sz w:val="24"/>
          <w:szCs w:val="24"/>
        </w:rPr>
        <w:t xml:space="preserve">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 { } </w:t>
      </w:r>
    </w:p>
    <w:p w14:paraId="0000006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are clearly aware this method “has value," as without it they cannot run their code. When writing their own custom methods, however, they can struggle with void’s meaning in </w:t>
      </w:r>
      <w:proofErr w:type="gramStart"/>
      <w:r>
        <w:rPr>
          <w:rFonts w:cs="Calibri"/>
          <w:color w:val="000000"/>
          <w:sz w:val="24"/>
          <w:szCs w:val="24"/>
        </w:rPr>
        <w:t>context, and</w:t>
      </w:r>
      <w:proofErr w:type="gramEnd"/>
      <w:r>
        <w:rPr>
          <w:rFonts w:cs="Calibri"/>
          <w:color w:val="000000"/>
          <w:sz w:val="24"/>
          <w:szCs w:val="24"/>
        </w:rPr>
        <w:t xml:space="preserve"> see the value of “methods that aren’t main” as only being “to send stuff back." Methods promote consolidation and </w:t>
      </w:r>
      <w:proofErr w:type="gramStart"/>
      <w:r>
        <w:rPr>
          <w:rFonts w:cs="Calibri"/>
          <w:color w:val="000000"/>
          <w:sz w:val="24"/>
          <w:szCs w:val="24"/>
        </w:rPr>
        <w:t>meaning-making</w:t>
      </w:r>
      <w:proofErr w:type="gramEnd"/>
      <w:r>
        <w:rPr>
          <w:rFonts w:cs="Calibri"/>
          <w:color w:val="000000"/>
          <w:sz w:val="24"/>
          <w:szCs w:val="24"/>
        </w:rPr>
        <w:t xml:space="preserve"> in programs, allowing statements that have meaning to be bundled together and clarified with a name used to activate those statements. </w:t>
      </w:r>
    </w:p>
    <w:p w14:paraId="0000007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One may also question if novices draw to mind the “not valid” definition of “void," such as when a check or contract is voided. They may believe that writing “void” negates their method and makes it unusable in some way, thereby rendering it to have “no value." This definition of </w:t>
      </w:r>
      <w:r>
        <w:rPr>
          <w:rFonts w:cs="Calibri"/>
          <w:color w:val="000000"/>
          <w:sz w:val="24"/>
          <w:szCs w:val="24"/>
        </w:rPr>
        <w:lastRenderedPageBreak/>
        <w:t>void is one of the more common “daily life” uses, and thus would be a reasonable polysemic connection for a novice to make. </w:t>
      </w:r>
    </w:p>
    <w:p w14:paraId="00000071" w14:textId="56A62777" w:rsidR="001209E0" w:rsidRDefault="00000000">
      <w:pPr>
        <w:spacing w:before="240" w:after="240" w:line="240" w:lineRule="auto"/>
        <w:rPr>
          <w:rFonts w:ascii="Times New Roman" w:eastAsia="Times New Roman" w:hAnsi="Times New Roman"/>
          <w:sz w:val="24"/>
          <w:szCs w:val="24"/>
        </w:rPr>
      </w:pPr>
      <w:proofErr w:type="gramStart"/>
      <w:r>
        <w:rPr>
          <w:rFonts w:cs="Calibri"/>
          <w:b/>
          <w:color w:val="000000"/>
          <w:sz w:val="24"/>
          <w:szCs w:val="24"/>
        </w:rPr>
        <w:t>3.</w:t>
      </w:r>
      <w:r w:rsidR="0026301D">
        <w:rPr>
          <w:rFonts w:cs="Calibri"/>
          <w:b/>
          <w:color w:val="000000"/>
          <w:sz w:val="24"/>
          <w:szCs w:val="24"/>
        </w:rPr>
        <w:t>3</w:t>
      </w:r>
      <w:r>
        <w:rPr>
          <w:rFonts w:cs="Calibri"/>
          <w:b/>
          <w:color w:val="000000"/>
          <w:sz w:val="24"/>
          <w:szCs w:val="24"/>
        </w:rPr>
        <w:t>.3  –</w:t>
      </w:r>
      <w:proofErr w:type="gramEnd"/>
      <w:r>
        <w:rPr>
          <w:rFonts w:cs="Calibri"/>
          <w:b/>
          <w:color w:val="000000"/>
          <w:sz w:val="24"/>
          <w:szCs w:val="24"/>
        </w:rPr>
        <w:t xml:space="preserve"> Continue and Break :</w:t>
      </w:r>
      <w:r>
        <w:rPr>
          <w:rFonts w:cs="Calibri"/>
          <w:color w:val="000000"/>
          <w:sz w:val="24"/>
          <w:szCs w:val="24"/>
        </w:rPr>
        <w:t xml:space="preserve"> There are many cases where a keyword’s definition-based meaning may be clear, but its intended usage in a “code sentence” is not.  Keyword “continue” for example might be interpreted to mean “continue on to the next statement” not “continue on to the next loop iteration":</w:t>
      </w:r>
    </w:p>
    <w:p w14:paraId="0000007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while (true</w:t>
      </w:r>
      <w:proofErr w:type="gramStart"/>
      <w:r>
        <w:rPr>
          <w:rFonts w:ascii="Consolas" w:eastAsia="Consolas" w:hAnsi="Consolas" w:cs="Consolas"/>
          <w:color w:val="000000"/>
          <w:sz w:val="24"/>
          <w:szCs w:val="24"/>
        </w:rPr>
        <w:t>){</w:t>
      </w:r>
      <w:proofErr w:type="gramEnd"/>
      <w:r>
        <w:rPr>
          <w:rFonts w:ascii="Consolas" w:eastAsia="Consolas" w:hAnsi="Consolas" w:cs="Consolas"/>
          <w:color w:val="000000"/>
          <w:sz w:val="24"/>
          <w:szCs w:val="24"/>
        </w:rPr>
        <w:br/>
        <w:t xml:space="preserve">     continue;</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(“Hello”);</w:t>
      </w:r>
      <w:r>
        <w:rPr>
          <w:rFonts w:ascii="Consolas" w:eastAsia="Consolas" w:hAnsi="Consolas" w:cs="Consolas"/>
          <w:color w:val="000000"/>
          <w:sz w:val="24"/>
          <w:szCs w:val="24"/>
        </w:rPr>
        <w:br/>
        <w:t>}</w:t>
      </w:r>
    </w:p>
    <w:p w14:paraId="00000073"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expert might question in this example how one could read “continue” as meaning “move to the next statement” as it would be trivial. They would question writing a loop that infinitely checks its condition then continue to the next iteration while never printing anything. For a novice investigating code examples for the first time, however, continue may look like a “permission” statement. They may believe “continue” is required in loops to move forward to the body when the condition is true. If one has not learned the specific intended meaning in programming, an assumption like this can form and subsequently strange code artifacts can result. A novice may similarly believe interpretations such as “break” meaning “to break out of the program, to stop immediately” rather than “to leave the current iteration of the loop." Novices have written code snippets not unlike the following: </w:t>
      </w:r>
    </w:p>
    <w:p w14:paraId="00000074"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while (x &lt; 10) {</w:t>
      </w:r>
      <w:r>
        <w:rPr>
          <w:rFonts w:ascii="Consolas" w:eastAsia="Consolas" w:hAnsi="Consolas" w:cs="Consolas"/>
          <w:color w:val="000000"/>
          <w:sz w:val="24"/>
          <w:szCs w:val="24"/>
        </w:rPr>
        <w:br/>
        <w:t xml:space="preserve">   //some changes are being made to x here</w:t>
      </w:r>
      <w:r>
        <w:rPr>
          <w:rFonts w:ascii="Consolas" w:eastAsia="Consolas" w:hAnsi="Consolas" w:cs="Consolas"/>
          <w:color w:val="000000"/>
          <w:sz w:val="24"/>
          <w:szCs w:val="24"/>
        </w:rPr>
        <w:br/>
        <w:t xml:space="preserve">   if (x == </w:t>
      </w:r>
      <w:proofErr w:type="gramStart"/>
      <w:r>
        <w:rPr>
          <w:rFonts w:ascii="Consolas" w:eastAsia="Consolas" w:hAnsi="Consolas" w:cs="Consolas"/>
          <w:color w:val="000000"/>
          <w:sz w:val="24"/>
          <w:szCs w:val="24"/>
        </w:rPr>
        <w:t>12){</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t xml:space="preserve">       break;</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(“Program complete”);</w:t>
      </w:r>
    </w:p>
    <w:p w14:paraId="00000075" w14:textId="77777777" w:rsidR="001209E0" w:rsidRDefault="00000000">
      <w:pPr>
        <w:spacing w:before="240" w:after="240" w:line="240" w:lineRule="auto"/>
        <w:rPr>
          <w:rFonts w:cs="Calibri"/>
          <w:color w:val="000000"/>
          <w:sz w:val="24"/>
          <w:szCs w:val="24"/>
        </w:rPr>
      </w:pPr>
      <w:r>
        <w:rPr>
          <w:sz w:val="24"/>
          <w:szCs w:val="24"/>
        </w:rPr>
        <w:t>If a novice interprets “break” as “break out of the program”, then they</w:t>
      </w:r>
      <w:sdt>
        <w:sdtPr>
          <w:tag w:val="goog_rdk_4"/>
          <w:id w:val="-634637896"/>
        </w:sdtPr>
        <w:sdtContent>
          <w:commentRangeStart w:id="4"/>
        </w:sdtContent>
      </w:sdt>
      <w:sdt>
        <w:sdtPr>
          <w:tag w:val="goog_rdk_5"/>
          <w:id w:val="-1372218319"/>
        </w:sdtPr>
        <w:sdtContent>
          <w:commentRangeStart w:id="5"/>
        </w:sdtContent>
      </w:sdt>
      <w:r>
        <w:rPr>
          <w:sz w:val="24"/>
          <w:szCs w:val="24"/>
        </w:rPr>
        <w:t xml:space="preserve"> do not believe</w:t>
      </w:r>
      <w:r>
        <w:rPr>
          <w:rFonts w:cs="Calibri"/>
          <w:color w:val="000000"/>
          <w:sz w:val="24"/>
          <w:szCs w:val="24"/>
        </w:rPr>
        <w:t xml:space="preserve"> “Program complete” will print out at all if x is equal to 12 in the loop</w:t>
      </w:r>
      <w:r>
        <w:rPr>
          <w:sz w:val="24"/>
          <w:szCs w:val="24"/>
        </w:rPr>
        <w:t>. Instead, 12 is seen as a special exit case which terminates the program early.</w:t>
      </w:r>
      <w:r>
        <w:rPr>
          <w:rFonts w:cs="Calibri"/>
          <w:color w:val="000000"/>
          <w:sz w:val="24"/>
          <w:szCs w:val="24"/>
        </w:rPr>
        <w:t xml:space="preserve">  </w:t>
      </w:r>
      <w:commentRangeEnd w:id="4"/>
      <w:r>
        <w:commentReference w:id="4"/>
      </w:r>
      <w:commentRangeEnd w:id="5"/>
      <w:r>
        <w:commentReference w:id="5"/>
      </w:r>
    </w:p>
    <w:p w14:paraId="00000076"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 – Monuments with Petrified Purpose: Assimilation to the Unbending Compiler</w:t>
      </w:r>
    </w:p>
    <w:p w14:paraId="0000007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Often, novice programmers are making a good faith effort to communicate programmatic ideas – not unlike a traveler making a good faith effort to speak local languages or dialects. However, where locals often also </w:t>
      </w:r>
      <w:proofErr w:type="gramStart"/>
      <w:r>
        <w:rPr>
          <w:rFonts w:cs="Calibri"/>
          <w:color w:val="000000"/>
          <w:sz w:val="24"/>
          <w:szCs w:val="24"/>
        </w:rPr>
        <w:t>make an effort</w:t>
      </w:r>
      <w:proofErr w:type="gramEnd"/>
      <w:r>
        <w:rPr>
          <w:rFonts w:cs="Calibri"/>
          <w:color w:val="000000"/>
          <w:sz w:val="24"/>
          <w:szCs w:val="24"/>
        </w:rPr>
        <w:t xml:space="preserve"> to understand speakers with weak language skills, the computer makes no such effort – because it cannot. The computer is viewed as an intelligent but suspicious conversation partner. We trust a computational conversation partner is “telling the truth</w:t>
      </w:r>
      <w:proofErr w:type="gramStart"/>
      <w:r>
        <w:rPr>
          <w:rFonts w:cs="Calibri"/>
          <w:color w:val="000000"/>
          <w:sz w:val="24"/>
          <w:szCs w:val="24"/>
        </w:rPr>
        <w:t>” in</w:t>
      </w:r>
      <w:proofErr w:type="gramEnd"/>
      <w:r>
        <w:rPr>
          <w:rFonts w:cs="Calibri"/>
          <w:color w:val="000000"/>
          <w:sz w:val="24"/>
          <w:szCs w:val="24"/>
        </w:rPr>
        <w:t xml:space="preserve"> terms of its actions, but often do not “trust” it. Uncanny valley, fear of </w:t>
      </w:r>
      <w:r>
        <w:rPr>
          <w:rFonts w:cs="Calibri"/>
          <w:color w:val="000000"/>
          <w:sz w:val="24"/>
          <w:szCs w:val="24"/>
        </w:rPr>
        <w:lastRenderedPageBreak/>
        <w:t>automation, and further digital phenomena point to value acknowledgement but scrutinizing uncertainty by humans. Programming can compound this preconception. </w:t>
      </w:r>
    </w:p>
    <w:p w14:paraId="0000007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Perceiving the computer as knowledgeable but not trustworthy only exacerbates efforts by technologists to build stronger support into the programming conversation. When programs like Microsoft Word attempt to aid users with formatting – trying to “converse” with users knowledgeable about writing – it can be seen as patronizing, intrusive, and annoying. When programming environments with “</w:t>
      </w:r>
      <w:proofErr w:type="spellStart"/>
      <w:r>
        <w:rPr>
          <w:rFonts w:cs="Calibri"/>
          <w:color w:val="000000"/>
          <w:sz w:val="24"/>
          <w:szCs w:val="24"/>
        </w:rPr>
        <w:t>intelli</w:t>
      </w:r>
      <w:proofErr w:type="spellEnd"/>
      <w:r>
        <w:rPr>
          <w:rFonts w:cs="Calibri"/>
          <w:color w:val="000000"/>
          <w:sz w:val="24"/>
          <w:szCs w:val="24"/>
        </w:rPr>
        <w:t>-sense” such as Eclipse or IntelliJ attempt to help novices correct mistakes through in-application feedback, the “knowledgeable” preconception overrides other characteristics.</w:t>
      </w:r>
      <w:sdt>
        <w:sdtPr>
          <w:tag w:val="goog_rdk_6"/>
          <w:id w:val="-1424797356"/>
        </w:sdtPr>
        <w:sdtContent>
          <w:commentRangeStart w:id="6"/>
        </w:sdtContent>
      </w:sdt>
      <w:sdt>
        <w:sdtPr>
          <w:tag w:val="goog_rdk_7"/>
          <w:id w:val="1329873684"/>
        </w:sdtPr>
        <w:sdtContent>
          <w:commentRangeStart w:id="7"/>
        </w:sdtContent>
      </w:sdt>
      <w:r>
        <w:rPr>
          <w:rFonts w:cs="Calibri"/>
          <w:color w:val="000000"/>
          <w:sz w:val="24"/>
          <w:szCs w:val="24"/>
        </w:rPr>
        <w:t xml:space="preserve"> The novice programmer sees the computer as expert in matters of computational language,</w:t>
      </w:r>
      <w:commentRangeEnd w:id="6"/>
      <w:r>
        <w:commentReference w:id="6"/>
      </w:r>
      <w:commentRangeEnd w:id="7"/>
      <w:r>
        <w:commentReference w:id="7"/>
      </w:r>
      <w:r>
        <w:rPr>
          <w:rFonts w:cs="Calibri"/>
          <w:color w:val="000000"/>
          <w:sz w:val="24"/>
          <w:szCs w:val="24"/>
        </w:rPr>
        <w:t xml:space="preserve"> taking its suggestions without critical analysis or discourse.</w:t>
      </w:r>
    </w:p>
    <w:p w14:paraId="0000007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While novices in all fields often defer to experts as truth tellers, the preconceptions of the computer add a new layer. Conversations become one-sided, with programming software intended to help appearing to “state facts” rather than providing feedback for critical analysis. This causes additional issues that the “truthful” nature of human experts does not. The compiler does not have context for intention: it parses, translates, and derives meaning only from what it sees within the coded communication. Human experts may say something confusing, leading novices to an incorrect assumption. However, human experts have contextual information allowing them to revise their responses and effectively deliver their expertise. Compilers, </w:t>
      </w:r>
      <w:proofErr w:type="spellStart"/>
      <w:r>
        <w:rPr>
          <w:rFonts w:cs="Calibri"/>
          <w:color w:val="000000"/>
          <w:sz w:val="24"/>
          <w:szCs w:val="24"/>
        </w:rPr>
        <w:t>intelli</w:t>
      </w:r>
      <w:proofErr w:type="spellEnd"/>
      <w:r>
        <w:rPr>
          <w:rFonts w:cs="Calibri"/>
          <w:color w:val="000000"/>
          <w:sz w:val="24"/>
          <w:szCs w:val="24"/>
        </w:rPr>
        <w:t>-sense, and such can only revise within their parsing and capacity to interpret that parsing. We communicate, but the program has limited bounds to understand that communication. And unlike natural language, we cannot shift our linguistic style or add additional explanations in the same way to bridge understanding. We are communicating, but not in the way we as humans are conditioned to expect.</w:t>
      </w:r>
    </w:p>
    <w:p w14:paraId="0000007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New keywords, strange structures, and a lack of guidance on why it was suggested to “put that element there” can lead to novice reasoning attempts which manipulate the polysemy of keywords in ways that lead to incorrect conclusions. In learning object-oriented paradigms, students may often struggle with the “static” keyword’s use (or lack of) in Java. A non-static method is one an object uses, and what students learning object-oriented paradigms should be creating. However, if they struggle to invoke their non-static methods, the development environment often suggests converting the method to static </w:t>
      </w:r>
      <w:proofErr w:type="gramStart"/>
      <w:r>
        <w:rPr>
          <w:rFonts w:cs="Calibri"/>
          <w:color w:val="000000"/>
          <w:sz w:val="24"/>
          <w:szCs w:val="24"/>
        </w:rPr>
        <w:t>in an attempt to</w:t>
      </w:r>
      <w:proofErr w:type="gramEnd"/>
      <w:r>
        <w:rPr>
          <w:rFonts w:cs="Calibri"/>
          <w:color w:val="000000"/>
          <w:sz w:val="24"/>
          <w:szCs w:val="24"/>
        </w:rPr>
        <w:t xml:space="preserve"> “resolve the issue." The “knowledgeable” computer is “the expert," and the student implements the suggestion, but the program is no longer object-oriented. The compiler has communicated an illogical suggestion for the problem at hand, and the student, working still to develop and recall meaning, does not know better. The student may make assumptions about static methods based on these suggestions, because their code now “works." In attempting to understand the word “static” as a bridge to their problem’s “solution," they may create entirely new meanings and subsequently, new models justifying this coded behavior. </w:t>
      </w:r>
    </w:p>
    <w:p w14:paraId="0000007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Even when programmers become capable of reviewing compiler and development environment suggestions as feedback to be analyzed, the conversation falls short beyond that point. They are now engaged in critical analysis, but the compiler can only help begin that </w:t>
      </w:r>
      <w:r>
        <w:rPr>
          <w:rFonts w:cs="Calibri"/>
          <w:color w:val="000000"/>
          <w:sz w:val="24"/>
          <w:szCs w:val="24"/>
        </w:rPr>
        <w:lastRenderedPageBreak/>
        <w:t>process – it is not a conversational partner through it. More expert programmers know that this programmatic feedback should become an exercise in analysis and consideration. But once the computer opens the conversation, it promptly becomes ill equipped to engage in it! Debugging approaches allow the computer to facilitate and become part of the process, but the programmer develops the analysis and discourse within their own mind. The conversation partner is not really a partner at this point – the concept of communication has shifted at the exact point that strong communication is desirable.</w:t>
      </w:r>
    </w:p>
    <w:p w14:paraId="0000007C"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4.1 Lost in Translation: The Novice-Expert-Compiler Fault Lines</w:t>
      </w:r>
    </w:p>
    <w:p w14:paraId="0000007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Novice programmers face a daunting task in learning to program. They create mental models of an entirely new way of reasoning, symbols and grammars within that reasoning, and translating ideas across native spoken/written languages to programming ones. The nature of this learning can become more difficult due to expert-novice gaps and compiler-programmer relationships. </w:t>
      </w:r>
    </w:p>
    <w:p w14:paraId="0000007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simply see “a for loop” and intuitively understand its meaning is to have navigated the career of metaphor and created meaning for the entire code concept. To grok the concept in this way moves past polysemic keyword wayfinding (and often even component part acknowledgement) into a built model which identifies the entire code concept as a monolithic metaphoric representation. </w:t>
      </w:r>
    </w:p>
    <w:p w14:paraId="0000007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monolithic metaphors can be seen as dead-or-nearly-dead clearly through the struggle of those who “know programming” to tangle out how they arrived at them. Frustration takes root as experts try desperately to point out what the code, to them, definitively is: “</w:t>
      </w:r>
      <w:r>
        <w:rPr>
          <w:rFonts w:cs="Calibri"/>
          <w:i/>
          <w:color w:val="000000"/>
          <w:sz w:val="24"/>
          <w:szCs w:val="24"/>
        </w:rPr>
        <w:t xml:space="preserve">it’s just a for loop, that’s what it </w:t>
      </w:r>
      <w:proofErr w:type="gramStart"/>
      <w:r>
        <w:rPr>
          <w:rFonts w:cs="Calibri"/>
          <w:i/>
          <w:color w:val="000000"/>
          <w:sz w:val="24"/>
          <w:szCs w:val="24"/>
        </w:rPr>
        <w:t>does!.</w:t>
      </w:r>
      <w:proofErr w:type="gramEnd"/>
      <w:r>
        <w:rPr>
          <w:rFonts w:cs="Calibri"/>
          <w:i/>
          <w:color w:val="000000"/>
          <w:sz w:val="24"/>
          <w:szCs w:val="24"/>
        </w:rPr>
        <w:t>"</w:t>
      </w:r>
      <w:r>
        <w:rPr>
          <w:rFonts w:cs="Calibri"/>
          <w:color w:val="000000"/>
          <w:sz w:val="24"/>
          <w:szCs w:val="24"/>
        </w:rPr>
        <w:t xml:space="preserve"> The novice, working to learn and create these associations, cannot appreciate this dead metaphor. They are grappling with the novelty and connection making of so many smaller chunks to build this larger metaphoric model. Their difficulties with polysemic keyword interpretation make no sense to the expert, so removed from reasoning about the concept at that level that they cannot separate the parts from the whole. Many struggles in teaching and peer learning activities stem from communication gaps. Several of these gaps are likely attributed to distinct levels of mental model changing what metaphoric interpretation is occurring. </w:t>
      </w:r>
    </w:p>
    <w:p w14:paraId="00000080"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4.2 Back to Square One: Novices as Experts, then Novices Yet Again</w:t>
      </w:r>
    </w:p>
    <w:p w14:paraId="0000008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Given the potential confusion and obstacles, it may be a wonder that novices become expert programmers at all. Novices are resilient, and our mental models adapt through critique and challenges (de </w:t>
      </w:r>
      <w:proofErr w:type="spellStart"/>
      <w:r>
        <w:rPr>
          <w:rFonts w:cs="Calibri"/>
          <w:color w:val="000000"/>
          <w:sz w:val="24"/>
          <w:szCs w:val="24"/>
        </w:rPr>
        <w:t>Kleer</w:t>
      </w:r>
      <w:proofErr w:type="spellEnd"/>
      <w:r>
        <w:rPr>
          <w:rFonts w:cs="Calibri"/>
          <w:color w:val="000000"/>
          <w:sz w:val="24"/>
          <w:szCs w:val="24"/>
        </w:rPr>
        <w:t xml:space="preserve"> and Brown, 1983). As novices encounter situations which conflict with the polysemic “meaning making” they have arrived at, critique and revision promotes development toward understanding “how code works." Novices engage with programming culture and the digital landscape, growing more familiar with programming norms. Repeated exposure and practice further develop their models, freeing working memory and allowing them to reason more about the semiotic meaning of keywords. </w:t>
      </w:r>
    </w:p>
    <w:p w14:paraId="0000008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 xml:space="preserve">Experts are not strictly confined to dead metaphors either. As keywords are used in new contexts, experts often leverage the same heuristic wayfinding to English meaning that novices use. Experts may use this in conjunction with what they “already know about code," attempting to critique and expand their model further. Experts also extend this heuristic commonly in another direction: they may see common keywords as dead </w:t>
      </w:r>
      <w:proofErr w:type="gramStart"/>
      <w:r>
        <w:rPr>
          <w:rFonts w:cs="Calibri"/>
          <w:color w:val="000000"/>
          <w:sz w:val="24"/>
          <w:szCs w:val="24"/>
        </w:rPr>
        <w:t>metaphors, but</w:t>
      </w:r>
      <w:proofErr w:type="gramEnd"/>
      <w:r>
        <w:rPr>
          <w:rFonts w:cs="Calibri"/>
          <w:color w:val="000000"/>
          <w:sz w:val="24"/>
          <w:szCs w:val="24"/>
        </w:rPr>
        <w:t xml:space="preserve"> make assumptions about the behavior of non-keyword functionality given its naming convention. Method names are intended to reveal expected behavior such as “</w:t>
      </w:r>
      <w:proofErr w:type="spellStart"/>
      <w:r>
        <w:rPr>
          <w:rFonts w:cs="Calibri"/>
          <w:color w:val="000000"/>
          <w:sz w:val="24"/>
          <w:szCs w:val="24"/>
        </w:rPr>
        <w:t>hasNextLine</w:t>
      </w:r>
      <w:proofErr w:type="spellEnd"/>
      <w:r>
        <w:rPr>
          <w:rFonts w:cs="Calibri"/>
          <w:color w:val="000000"/>
          <w:sz w:val="24"/>
          <w:szCs w:val="24"/>
        </w:rPr>
        <w:t>” determining if another line of text exists for a Scanner object to read. An expert may make assumptions or have skewed perspective in interpreting a method’s intention as they create polysemic associations between the functionality name and the functionality they imagine a need for. Just as novices become experts through repetition, so too do experts in new environments and novel situations often return to this novice wayfinding tendency.  </w:t>
      </w:r>
    </w:p>
    <w:p w14:paraId="0000008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Circling back to our beginnings, experts may once again break free from dead metaphor to interrogate the power of polysemy through critical code studies explorations. With “dead metaphor” understanding in hand, reflection, analysis, and questioning may allow for more interpretations and new views of “old, dead” code as a cultural text to make new meaning from and with. </w:t>
      </w:r>
    </w:p>
    <w:p w14:paraId="00000084"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5 – Markings Meant for More: Towards Polysemic Programming Futures for All</w:t>
      </w:r>
    </w:p>
    <w:p w14:paraId="0000008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Programming expresses problem solutions using specific grammars, definitions, and structures. These methods of expression are referred to as programming “languages," further driving implications of communication. This creates a paradox of polysemy for novices at the onset. Where natural language is malleable and able to shift with culture, programming’s current form requires rigid ascribed meanings for compiler translation. We can (and do) develop high level languages, </w:t>
      </w:r>
      <w:proofErr w:type="spellStart"/>
      <w:r>
        <w:rPr>
          <w:rFonts w:cs="Calibri"/>
          <w:color w:val="000000"/>
          <w:sz w:val="24"/>
          <w:szCs w:val="24"/>
        </w:rPr>
        <w:t>intelli</w:t>
      </w:r>
      <w:proofErr w:type="spellEnd"/>
      <w:r>
        <w:rPr>
          <w:rFonts w:cs="Calibri"/>
          <w:color w:val="000000"/>
          <w:sz w:val="24"/>
          <w:szCs w:val="24"/>
        </w:rPr>
        <w:t>-sense, and other features attempting to bridge divides. Still, our programs are currently bound by the need for the compiler to execute them. And the compiler, unlike humans, does not have an ability to contextually interpret, shift linguistic patterns, accommodate communication levels for conversation participants, and so on. </w:t>
      </w:r>
    </w:p>
    <w:p w14:paraId="0000008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Humans do these things in conversation. Machines, presently, cannot. </w:t>
      </w:r>
    </w:p>
    <w:p w14:paraId="0000008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requires mapping new concepts, environments, and vocabularies: metaphoric ideas are woven into the representations within computer systems, such as icons, application designs, and commands (</w:t>
      </w:r>
      <w:proofErr w:type="spellStart"/>
      <w:r>
        <w:rPr>
          <w:rFonts w:cs="Calibri"/>
          <w:color w:val="000000"/>
          <w:sz w:val="24"/>
          <w:szCs w:val="24"/>
        </w:rPr>
        <w:t>Wozny</w:t>
      </w:r>
      <w:proofErr w:type="spellEnd"/>
      <w:r>
        <w:rPr>
          <w:rFonts w:cs="Calibri"/>
          <w:color w:val="000000"/>
          <w:sz w:val="24"/>
          <w:szCs w:val="24"/>
        </w:rPr>
        <w:t xml:space="preserve">, 1989). Computation’s language is largely borrowed, and the discipline of computer science consistently creates its own subject matter, a novelty among disciplines (Colburn and Shute, 2008). The metaphors within programming contexts create comfortable analogs to non-programming, “known” landscapes, such as the English language or physical objects. These analogs can help us navigate these strange spaces – to make sense of novel terrain through footholds in the familiar. They may even promote creative comparison of programming to other disciplines, and of course in the hands of experts, these metaphors can spark creative critical code analysis leading to new forms of meaning making. Despite these benefits of metaphor creating pathways and connections in meaning </w:t>
      </w:r>
      <w:r>
        <w:rPr>
          <w:rFonts w:cs="Calibri"/>
          <w:color w:val="000000"/>
          <w:sz w:val="24"/>
          <w:szCs w:val="24"/>
        </w:rPr>
        <w:lastRenderedPageBreak/>
        <w:t>making, we are ultimately expected to engage with concepts, systems, and vocabularies in a specific way as novice learners to navigate “how to code."</w:t>
      </w:r>
    </w:p>
    <w:p w14:paraId="00000088"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While programming keywords rely heavily on polysemic meaning, their compiled interpretation is rigid and unrelenting, at odds with the flexibility and context of natural language. However, as a discipline that invents itself, programming can imagine new and different futures for its languages. New language development may: center and employ different design </w:t>
      </w:r>
      <w:proofErr w:type="gramStart"/>
      <w:r>
        <w:rPr>
          <w:rFonts w:cs="Calibri"/>
          <w:color w:val="000000"/>
          <w:sz w:val="24"/>
          <w:szCs w:val="24"/>
        </w:rPr>
        <w:t>approaches,  consider</w:t>
      </w:r>
      <w:proofErr w:type="gramEnd"/>
      <w:r>
        <w:rPr>
          <w:rFonts w:cs="Calibri"/>
          <w:color w:val="000000"/>
          <w:sz w:val="24"/>
          <w:szCs w:val="24"/>
        </w:rPr>
        <w:t xml:space="preserve"> implications and potential meaning-making before choosing keywords, and explore the pitfalls and poetic power that keywords may present. New compiler and integrated development technologies could scaffold “context creation," to create more relevant dialogues between the programmer and the technology, aiding model development and communication. Integrated development tools could help novices interrogate polysemy, indicating when a programmer may be applying a definition at odds with expected compilation behavior. Languages taking on new paradigms and characteristics may also allow for greater polysemic meaning making and new ways of creating programming metaphor, such as Jon Corbett’s morphemic language structure in Cree# (Corbett and Temkin, 2021). </w:t>
      </w:r>
    </w:p>
    <w:p w14:paraId="0000008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While polysemy may be an initial hurdle for the novice, moving past these initial hurdles into expertise allows them to reopen this world of metaphoric meaning as a design instrument in their code. However, to get there they must first narrow their view of meaning to “what will happen during execution” before they can fan out again. Natural language and culture are nuanced and dynamic, but programming keywords compile rigidly and single-mindedly. Metaphorical and situational reasoning, including the process of polysemy, are core aspects of our cognition, meaning-making, and subsequent modeling of the world (</w:t>
      </w:r>
      <w:proofErr w:type="spellStart"/>
      <w:r>
        <w:rPr>
          <w:rFonts w:cs="Calibri"/>
          <w:color w:val="000000"/>
          <w:sz w:val="24"/>
          <w:szCs w:val="24"/>
        </w:rPr>
        <w:t>Gick</w:t>
      </w:r>
      <w:proofErr w:type="spellEnd"/>
      <w:r>
        <w:rPr>
          <w:rFonts w:cs="Calibri"/>
          <w:color w:val="000000"/>
          <w:sz w:val="24"/>
          <w:szCs w:val="24"/>
        </w:rPr>
        <w:t xml:space="preserve"> and </w:t>
      </w:r>
      <w:proofErr w:type="spellStart"/>
      <w:r>
        <w:rPr>
          <w:rFonts w:cs="Calibri"/>
          <w:color w:val="000000"/>
          <w:sz w:val="24"/>
          <w:szCs w:val="24"/>
        </w:rPr>
        <w:t>Holyoak</w:t>
      </w:r>
      <w:proofErr w:type="spellEnd"/>
      <w:r>
        <w:rPr>
          <w:rFonts w:cs="Calibri"/>
          <w:color w:val="000000"/>
          <w:sz w:val="24"/>
          <w:szCs w:val="24"/>
        </w:rPr>
        <w:t xml:space="preserve"> 1980; Gentner, 1983). As programming moves forward, let us hope for languages and tools that foster greater communication and understanding, allowing novices to create enough meaning of programming to become experts able to themselves engage in the subversive and cultural meaning-making of critical code studies.</w:t>
      </w:r>
    </w:p>
    <w:p w14:paraId="0000008A"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Works Cited</w:t>
      </w:r>
    </w:p>
    <w:p w14:paraId="0000008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John R. Anderson and Robin Jeffries. 1985. Novice LISP Errors: Undetected Losses of Information from Working Memory. </w:t>
      </w:r>
      <w:proofErr w:type="gramStart"/>
      <w:r>
        <w:rPr>
          <w:rFonts w:cs="Calibri"/>
          <w:color w:val="000000"/>
          <w:sz w:val="24"/>
          <w:szCs w:val="24"/>
        </w:rPr>
        <w:t>Hum.-</w:t>
      </w:r>
      <w:proofErr w:type="spellStart"/>
      <w:proofErr w:type="gramEnd"/>
      <w:r>
        <w:rPr>
          <w:rFonts w:cs="Calibri"/>
          <w:color w:val="000000"/>
          <w:sz w:val="24"/>
          <w:szCs w:val="24"/>
        </w:rPr>
        <w:t>Comput</w:t>
      </w:r>
      <w:proofErr w:type="spellEnd"/>
      <w:r>
        <w:rPr>
          <w:rFonts w:cs="Calibri"/>
          <w:color w:val="000000"/>
          <w:sz w:val="24"/>
          <w:szCs w:val="24"/>
        </w:rPr>
        <w:t>. Interact.1, 2 (June 1985),107–131. https://doi.org/10.1207/s15327051hci0102_2</w:t>
      </w:r>
    </w:p>
    <w:p w14:paraId="0000008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Ian </w:t>
      </w:r>
      <w:proofErr w:type="spellStart"/>
      <w:r>
        <w:rPr>
          <w:rFonts w:cs="Calibri"/>
          <w:color w:val="000000"/>
          <w:sz w:val="24"/>
          <w:szCs w:val="24"/>
        </w:rPr>
        <w:t>Arawjo</w:t>
      </w:r>
      <w:proofErr w:type="spellEnd"/>
      <w:r>
        <w:rPr>
          <w:rFonts w:cs="Calibri"/>
          <w:color w:val="000000"/>
          <w:sz w:val="24"/>
          <w:szCs w:val="24"/>
        </w:rPr>
        <w:t xml:space="preserve">. 2020. To Write Code: The Cultural Fabrication of Programming Notation and Practice. In Proceedings of the 2020 CHI Conference on Human Factors </w:t>
      </w:r>
      <w:proofErr w:type="gramStart"/>
      <w:r>
        <w:rPr>
          <w:rFonts w:cs="Calibri"/>
          <w:color w:val="000000"/>
          <w:sz w:val="24"/>
          <w:szCs w:val="24"/>
        </w:rPr>
        <w:t>In</w:t>
      </w:r>
      <w:proofErr w:type="gramEnd"/>
      <w:r>
        <w:rPr>
          <w:rFonts w:cs="Calibri"/>
          <w:color w:val="000000"/>
          <w:sz w:val="24"/>
          <w:szCs w:val="24"/>
        </w:rPr>
        <w:t xml:space="preserve"> Computing Systems (CHI ’20). Association for Computing Machinery, New York, NY, USA, 1–15. https://doi.org/10.1145/3313831.3376731</w:t>
      </w:r>
    </w:p>
    <w:p w14:paraId="0000008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Briana </w:t>
      </w:r>
      <w:proofErr w:type="spellStart"/>
      <w:r>
        <w:rPr>
          <w:rFonts w:cs="Calibri"/>
          <w:color w:val="000000"/>
          <w:sz w:val="24"/>
          <w:szCs w:val="24"/>
        </w:rPr>
        <w:t>Bettin</w:t>
      </w:r>
      <w:proofErr w:type="spellEnd"/>
      <w:r>
        <w:rPr>
          <w:rFonts w:cs="Calibri"/>
          <w:color w:val="000000"/>
          <w:sz w:val="24"/>
          <w:szCs w:val="24"/>
        </w:rPr>
        <w:t xml:space="preserve">. 2020. The Stained Glass of Knowledge: On Understanding Novice Mental Models of Computing. Open Access Dissertation. Michigan Technological University, Houghton, MI, USA. 307 pages. </w:t>
      </w:r>
      <w:hyperlink r:id="rId11">
        <w:r w:rsidR="001209E0">
          <w:rPr>
            <w:rFonts w:cs="Calibri"/>
            <w:color w:val="000000"/>
            <w:sz w:val="24"/>
            <w:szCs w:val="24"/>
            <w:u w:val="single"/>
          </w:rPr>
          <w:t>https://doi.org/10.37099/mtu.dc.etdr/1086</w:t>
        </w:r>
      </w:hyperlink>
      <w:r>
        <w:rPr>
          <w:rFonts w:cs="Calibri"/>
          <w:color w:val="000000"/>
          <w:sz w:val="24"/>
          <w:szCs w:val="24"/>
        </w:rPr>
        <w:t>.</w:t>
      </w:r>
    </w:p>
    <w:p w14:paraId="0000008E" w14:textId="77777777" w:rsidR="001209E0" w:rsidRDefault="001209E0">
      <w:pPr>
        <w:spacing w:after="0" w:line="240" w:lineRule="auto"/>
        <w:rPr>
          <w:rFonts w:ascii="Times New Roman" w:eastAsia="Times New Roman" w:hAnsi="Times New Roman"/>
          <w:sz w:val="24"/>
          <w:szCs w:val="24"/>
        </w:rPr>
      </w:pPr>
    </w:p>
    <w:p w14:paraId="0000008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lastRenderedPageBreak/>
        <w:t xml:space="preserve">T. R. Colburn and G. M. Shute. 2008. Metaphor in Computer Science. Journal of Applied Logic 6, 4 (2008), 526–533. </w:t>
      </w:r>
      <w:hyperlink r:id="rId12">
        <w:r w:rsidR="001209E0">
          <w:rPr>
            <w:rFonts w:cs="Calibri"/>
            <w:color w:val="000000"/>
            <w:sz w:val="24"/>
            <w:szCs w:val="24"/>
            <w:u w:val="single"/>
          </w:rPr>
          <w:t>https://doi.org/10.1016/j.jal.2008.09.005</w:t>
        </w:r>
      </w:hyperlink>
    </w:p>
    <w:p w14:paraId="0000009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Jon Corbett and Daniel Temkin. 2021. Interview with Jon Corbett. </w:t>
      </w:r>
      <w:proofErr w:type="spellStart"/>
      <w:r>
        <w:rPr>
          <w:rFonts w:cs="Calibri"/>
          <w:color w:val="000000"/>
          <w:sz w:val="24"/>
          <w:szCs w:val="24"/>
        </w:rPr>
        <w:t>Esoteric.Codes</w:t>
      </w:r>
      <w:proofErr w:type="spellEnd"/>
      <w:r>
        <w:rPr>
          <w:rFonts w:cs="Calibri"/>
          <w:color w:val="000000"/>
          <w:sz w:val="24"/>
          <w:szCs w:val="24"/>
        </w:rPr>
        <w:t xml:space="preserve">.   </w:t>
      </w:r>
      <w:hyperlink r:id="rId13">
        <w:r w:rsidR="001209E0">
          <w:rPr>
            <w:rFonts w:cs="Calibri"/>
            <w:color w:val="000000"/>
            <w:sz w:val="24"/>
            <w:szCs w:val="24"/>
            <w:u w:val="single"/>
          </w:rPr>
          <w:t>https://esoteric.codes/blog/jon-corbett</w:t>
        </w:r>
      </w:hyperlink>
      <w:r>
        <w:rPr>
          <w:rFonts w:cs="Calibri"/>
          <w:color w:val="000000"/>
          <w:sz w:val="24"/>
          <w:szCs w:val="24"/>
        </w:rPr>
        <w:t> </w:t>
      </w:r>
    </w:p>
    <w:p w14:paraId="0000009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Johan de </w:t>
      </w:r>
      <w:proofErr w:type="spellStart"/>
      <w:r>
        <w:rPr>
          <w:rFonts w:cs="Calibri"/>
          <w:color w:val="000000"/>
          <w:sz w:val="24"/>
          <w:szCs w:val="24"/>
        </w:rPr>
        <w:t>Kleer</w:t>
      </w:r>
      <w:proofErr w:type="spellEnd"/>
      <w:r>
        <w:rPr>
          <w:rFonts w:cs="Calibri"/>
          <w:color w:val="000000"/>
          <w:sz w:val="24"/>
          <w:szCs w:val="24"/>
        </w:rPr>
        <w:t xml:space="preserve"> and John Seely Brown. 1983. Assumptions and Ambiguities in Mechanistic Mental Models. In Mental Models. Lawrence Erlbaum Associates, Inc., Chapter 8, 155–190.</w:t>
      </w:r>
    </w:p>
    <w:p w14:paraId="0000009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Michal </w:t>
      </w:r>
      <w:proofErr w:type="spellStart"/>
      <w:r>
        <w:rPr>
          <w:rFonts w:cs="Calibri"/>
          <w:color w:val="000000"/>
          <w:sz w:val="24"/>
          <w:szCs w:val="24"/>
        </w:rPr>
        <w:t>Forišek</w:t>
      </w:r>
      <w:proofErr w:type="spellEnd"/>
      <w:r>
        <w:rPr>
          <w:rFonts w:cs="Calibri"/>
          <w:color w:val="000000"/>
          <w:sz w:val="24"/>
          <w:szCs w:val="24"/>
        </w:rPr>
        <w:t xml:space="preserve"> and Monika </w:t>
      </w:r>
      <w:proofErr w:type="spellStart"/>
      <w:r>
        <w:rPr>
          <w:rFonts w:cs="Calibri"/>
          <w:color w:val="000000"/>
          <w:sz w:val="24"/>
          <w:szCs w:val="24"/>
        </w:rPr>
        <w:t>Steinová</w:t>
      </w:r>
      <w:proofErr w:type="spellEnd"/>
      <w:r>
        <w:rPr>
          <w:rFonts w:cs="Calibri"/>
          <w:color w:val="000000"/>
          <w:sz w:val="24"/>
          <w:szCs w:val="24"/>
        </w:rPr>
        <w:t>. 2012. Metaphors and Analogies for Teaching Algorithms. In Proceedings of the 43rd ACM Technical Symposium on Computer Science Education (SIGCSE ’12). ACM, New York, NY, USA, 15–20. https://doi.org/10.1145/2157136.2157147</w:t>
      </w:r>
    </w:p>
    <w:p w14:paraId="00000093" w14:textId="77777777" w:rsidR="001209E0" w:rsidRDefault="00000000">
      <w:pPr>
        <w:spacing w:after="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1983. Structure-mapping: A theoretical framework for analogy. Cognitive Science 7, 2 (1983), 155 – 170. </w:t>
      </w:r>
      <w:hyperlink r:id="rId14">
        <w:r w:rsidR="001209E0">
          <w:rPr>
            <w:rFonts w:cs="Calibri"/>
            <w:color w:val="000000"/>
            <w:sz w:val="24"/>
            <w:szCs w:val="24"/>
            <w:u w:val="single"/>
          </w:rPr>
          <w:t>https://doi.org/10.1016/S0364-0213(8</w:t>
        </w:r>
      </w:hyperlink>
      <w:r>
        <w:rPr>
          <w:rFonts w:cs="Calibri"/>
          <w:color w:val="000000"/>
          <w:sz w:val="24"/>
          <w:szCs w:val="24"/>
        </w:rPr>
        <w:t>3)80009-3</w:t>
      </w:r>
    </w:p>
    <w:p w14:paraId="00000094" w14:textId="77777777" w:rsidR="001209E0" w:rsidRDefault="001209E0">
      <w:pPr>
        <w:spacing w:after="0" w:line="240" w:lineRule="auto"/>
        <w:rPr>
          <w:rFonts w:ascii="Times New Roman" w:eastAsia="Times New Roman" w:hAnsi="Times New Roman"/>
          <w:sz w:val="24"/>
          <w:szCs w:val="24"/>
        </w:rPr>
      </w:pPr>
    </w:p>
    <w:p w14:paraId="00000095" w14:textId="77777777" w:rsidR="001209E0" w:rsidRDefault="00000000">
      <w:pPr>
        <w:spacing w:after="20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and Brian </w:t>
      </w:r>
      <w:proofErr w:type="spellStart"/>
      <w:r>
        <w:rPr>
          <w:rFonts w:cs="Calibri"/>
          <w:color w:val="000000"/>
          <w:sz w:val="24"/>
          <w:szCs w:val="24"/>
        </w:rPr>
        <w:t>Bowdle</w:t>
      </w:r>
      <w:proofErr w:type="spellEnd"/>
      <w:r>
        <w:rPr>
          <w:rFonts w:cs="Calibri"/>
          <w:color w:val="000000"/>
          <w:sz w:val="24"/>
          <w:szCs w:val="24"/>
        </w:rPr>
        <w:t>. 2008. Metaphor as structure-mapping. In The Cambridge Handbook of Metaphor and Thought. Cambridge University Press. Pages 109 -128. </w:t>
      </w:r>
    </w:p>
    <w:p w14:paraId="00000096" w14:textId="77777777" w:rsidR="001209E0" w:rsidRDefault="00000000">
      <w:pPr>
        <w:spacing w:after="200" w:line="240" w:lineRule="auto"/>
        <w:rPr>
          <w:rFonts w:ascii="Times New Roman" w:eastAsia="Times New Roman" w:hAnsi="Times New Roman"/>
          <w:sz w:val="24"/>
          <w:szCs w:val="24"/>
        </w:rPr>
      </w:pPr>
      <w:r>
        <w:rPr>
          <w:rFonts w:cs="Calibri"/>
          <w:color w:val="000000"/>
          <w:sz w:val="24"/>
          <w:szCs w:val="24"/>
        </w:rPr>
        <w:t xml:space="preserve">Mary L. </w:t>
      </w:r>
      <w:proofErr w:type="spellStart"/>
      <w:r>
        <w:rPr>
          <w:rFonts w:cs="Calibri"/>
          <w:color w:val="000000"/>
          <w:sz w:val="24"/>
          <w:szCs w:val="24"/>
        </w:rPr>
        <w:t>Gick</w:t>
      </w:r>
      <w:proofErr w:type="spellEnd"/>
      <w:r>
        <w:rPr>
          <w:rFonts w:cs="Calibri"/>
          <w:color w:val="000000"/>
          <w:sz w:val="24"/>
          <w:szCs w:val="24"/>
        </w:rPr>
        <w:t xml:space="preserve"> and Keith J. </w:t>
      </w:r>
      <w:proofErr w:type="spellStart"/>
      <w:r>
        <w:rPr>
          <w:rFonts w:cs="Calibri"/>
          <w:color w:val="000000"/>
          <w:sz w:val="24"/>
          <w:szCs w:val="24"/>
        </w:rPr>
        <w:t>Holyoak</w:t>
      </w:r>
      <w:proofErr w:type="spellEnd"/>
      <w:r>
        <w:rPr>
          <w:rFonts w:cs="Calibri"/>
          <w:color w:val="000000"/>
          <w:sz w:val="24"/>
          <w:szCs w:val="24"/>
        </w:rPr>
        <w:t xml:space="preserve">. 1980. Analogical problem solving. Cognitive Psychology 12, 3 (1980), 306 – 355. </w:t>
      </w:r>
      <w:hyperlink r:id="rId15">
        <w:r w:rsidR="001209E0">
          <w:rPr>
            <w:rFonts w:cs="Calibri"/>
            <w:color w:val="000000"/>
            <w:sz w:val="24"/>
            <w:szCs w:val="24"/>
            <w:u w:val="single"/>
          </w:rPr>
          <w:t>https://doi.org/10.1016/0010-0285(80)90013-4</w:t>
        </w:r>
      </w:hyperlink>
    </w:p>
    <w:p w14:paraId="0000009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Shawn M. Glynn, GA. National Reading Research Center, Athens, and MD. National Reading Research Center, College Park. 1994.Teaching Science with Analogies [microform]: A Strategy for Teachers and Textbook Authors. Reading Research Report No. 15 / Shawn M. Glynn. Distributed by ERIC Clearinghouse [Washington, D.C.]. 34 p. pages. </w:t>
      </w:r>
      <w:hyperlink r:id="rId16">
        <w:r w:rsidR="001209E0">
          <w:rPr>
            <w:rFonts w:cs="Calibri"/>
            <w:color w:val="000000"/>
            <w:sz w:val="24"/>
            <w:szCs w:val="24"/>
            <w:u w:val="single"/>
          </w:rPr>
          <w:t>https://eric.ed.gov/?id=ED373306</w:t>
        </w:r>
      </w:hyperlink>
    </w:p>
    <w:p w14:paraId="0000009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Jesper Haglund. 2013. Collaborative and self-generated analogies in science education. Studies in Science Education 49 (03 2013), 1–34. </w:t>
      </w:r>
      <w:hyperlink r:id="rId17">
        <w:r w:rsidR="001209E0">
          <w:rPr>
            <w:rFonts w:cs="Calibri"/>
            <w:color w:val="000000"/>
            <w:sz w:val="24"/>
            <w:szCs w:val="24"/>
            <w:u w:val="single"/>
          </w:rPr>
          <w:t>https://doi.org/10.1080/03057267.2013.80111</w:t>
        </w:r>
      </w:hyperlink>
    </w:p>
    <w:p w14:paraId="0000009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Shriram </w:t>
      </w:r>
      <w:proofErr w:type="spellStart"/>
      <w:r>
        <w:rPr>
          <w:rFonts w:cs="Calibri"/>
          <w:color w:val="000000"/>
          <w:sz w:val="24"/>
          <w:szCs w:val="24"/>
        </w:rPr>
        <w:t>Krishnamurthi</w:t>
      </w:r>
      <w:proofErr w:type="spellEnd"/>
      <w:r>
        <w:rPr>
          <w:rFonts w:cs="Calibri"/>
          <w:color w:val="000000"/>
          <w:sz w:val="24"/>
          <w:szCs w:val="24"/>
        </w:rPr>
        <w:t xml:space="preserve"> and Kathi </w:t>
      </w:r>
      <w:proofErr w:type="spellStart"/>
      <w:r>
        <w:rPr>
          <w:rFonts w:cs="Calibri"/>
          <w:color w:val="000000"/>
          <w:sz w:val="24"/>
          <w:szCs w:val="24"/>
        </w:rPr>
        <w:t>Fisler</w:t>
      </w:r>
      <w:proofErr w:type="spellEnd"/>
      <w:r>
        <w:rPr>
          <w:rFonts w:cs="Calibri"/>
          <w:color w:val="000000"/>
          <w:sz w:val="24"/>
          <w:szCs w:val="24"/>
        </w:rPr>
        <w:t xml:space="preserve">. 2019. Programming Paradigms and Beyond. In The Cambridge Handbook of Computing Education Research. </w:t>
      </w:r>
      <w:hyperlink r:id="rId18">
        <w:r w:rsidR="001209E0">
          <w:rPr>
            <w:rFonts w:cs="Calibri"/>
            <w:color w:val="000000"/>
            <w:sz w:val="24"/>
            <w:szCs w:val="24"/>
            <w:u w:val="single"/>
          </w:rPr>
          <w:t>https://cs.brown.edu/~sk/Publications/Papers/Published/kf-prog-paradigms-and-beyond</w:t>
        </w:r>
      </w:hyperlink>
    </w:p>
    <w:p w14:paraId="0000009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Jeffrey Lieber, J.J. Abrams, and Damon Lindelof. 2004. LOST (TV Series). American Broadcasting Company (ABC). </w:t>
      </w:r>
    </w:p>
    <w:p w14:paraId="0000009B"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Cedric J. Linder. 1993.A challenge to conceptual change. Science Education 77, 3 (1993), 293–300.</w:t>
      </w:r>
      <w:hyperlink r:id="rId19">
        <w:r w:rsidR="001209E0">
          <w:rPr>
            <w:rFonts w:cs="Calibri"/>
            <w:color w:val="000000"/>
            <w:sz w:val="24"/>
            <w:szCs w:val="24"/>
            <w:u w:val="single"/>
          </w:rPr>
          <w:t>https://doi.org/10.1002/sce.3730770304arXiv:https://onlinelibrary.wiley.com/doi/pdf/10.1002/sce.3730770304</w:t>
        </w:r>
      </w:hyperlink>
    </w:p>
    <w:p w14:paraId="0000009C" w14:textId="77777777" w:rsidR="001209E0" w:rsidRDefault="001209E0">
      <w:pPr>
        <w:spacing w:after="0" w:line="240" w:lineRule="auto"/>
        <w:rPr>
          <w:rFonts w:ascii="Times New Roman" w:eastAsia="Times New Roman" w:hAnsi="Times New Roman"/>
          <w:sz w:val="24"/>
          <w:szCs w:val="24"/>
        </w:rPr>
      </w:pPr>
    </w:p>
    <w:p w14:paraId="0000009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Mark C. Marino. 2020. Critical Code Studies. MIT Press. </w:t>
      </w:r>
    </w:p>
    <w:p w14:paraId="0000009E" w14:textId="77777777" w:rsidR="001209E0" w:rsidRDefault="001209E0">
      <w:pPr>
        <w:spacing w:after="0" w:line="240" w:lineRule="auto"/>
        <w:rPr>
          <w:rFonts w:ascii="Times New Roman" w:eastAsia="Times New Roman" w:hAnsi="Times New Roman"/>
          <w:sz w:val="24"/>
          <w:szCs w:val="24"/>
        </w:rPr>
      </w:pPr>
    </w:p>
    <w:p w14:paraId="0000009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lastRenderedPageBreak/>
        <w:t xml:space="preserve">Merriam-Webster. Merriam-Webster’s Dictionary. </w:t>
      </w:r>
      <w:proofErr w:type="gramStart"/>
      <w:r>
        <w:rPr>
          <w:rFonts w:cs="Calibri"/>
          <w:color w:val="000000"/>
          <w:sz w:val="24"/>
          <w:szCs w:val="24"/>
        </w:rPr>
        <w:t>https://www.merriam-webster.com/dictionary/ .</w:t>
      </w:r>
      <w:proofErr w:type="gramEnd"/>
      <w:r>
        <w:rPr>
          <w:rFonts w:cs="Calibri"/>
          <w:color w:val="000000"/>
          <w:sz w:val="24"/>
          <w:szCs w:val="24"/>
        </w:rPr>
        <w:t xml:space="preserve"> Accessed August 2020 and April 2021. </w:t>
      </w:r>
    </w:p>
    <w:p w14:paraId="000000A0" w14:textId="77777777" w:rsidR="001209E0" w:rsidRDefault="001209E0">
      <w:pPr>
        <w:spacing w:after="0" w:line="240" w:lineRule="auto"/>
        <w:rPr>
          <w:rFonts w:ascii="Times New Roman" w:eastAsia="Times New Roman" w:hAnsi="Times New Roman"/>
          <w:sz w:val="24"/>
          <w:szCs w:val="24"/>
        </w:rPr>
      </w:pPr>
    </w:p>
    <w:p w14:paraId="000000A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George Abram Miller. 1956. The magical number seven plus or minus two: some limits on our capacity for processing information. In Psychology Review, Volume 63. 81-97. </w:t>
      </w:r>
    </w:p>
    <w:p w14:paraId="000000A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Orna Muller, David </w:t>
      </w:r>
      <w:proofErr w:type="spellStart"/>
      <w:r>
        <w:rPr>
          <w:rFonts w:cs="Calibri"/>
          <w:color w:val="000000"/>
          <w:sz w:val="24"/>
          <w:szCs w:val="24"/>
        </w:rPr>
        <w:t>Ginat</w:t>
      </w:r>
      <w:proofErr w:type="spellEnd"/>
      <w:r>
        <w:rPr>
          <w:rFonts w:cs="Calibri"/>
          <w:color w:val="000000"/>
          <w:sz w:val="24"/>
          <w:szCs w:val="24"/>
        </w:rPr>
        <w:t xml:space="preserve">, and </w:t>
      </w:r>
      <w:proofErr w:type="spellStart"/>
      <w:r>
        <w:rPr>
          <w:rFonts w:cs="Calibri"/>
          <w:color w:val="000000"/>
          <w:sz w:val="24"/>
          <w:szCs w:val="24"/>
        </w:rPr>
        <w:t>Bruria</w:t>
      </w:r>
      <w:proofErr w:type="spellEnd"/>
      <w:r>
        <w:rPr>
          <w:rFonts w:cs="Calibri"/>
          <w:color w:val="000000"/>
          <w:sz w:val="24"/>
          <w:szCs w:val="24"/>
        </w:rPr>
        <w:t xml:space="preserve"> Haberman. 2007. Pattern-Oriented Instruction and Its Influence on Problem Decomposition and Solution Construction.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151–155. </w:t>
      </w:r>
      <w:hyperlink r:id="rId20">
        <w:r w:rsidR="001209E0">
          <w:rPr>
            <w:rFonts w:cs="Calibri"/>
            <w:color w:val="000000"/>
            <w:sz w:val="24"/>
            <w:szCs w:val="24"/>
            <w:u w:val="single"/>
          </w:rPr>
          <w:t>https://doi.org/10.1145/1268784.1268830</w:t>
        </w:r>
      </w:hyperlink>
    </w:p>
    <w:p w14:paraId="000000A3"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Donald A. Norman. 1983. Some Observations on Mental Models. In Mental Models, </w:t>
      </w:r>
      <w:proofErr w:type="spellStart"/>
      <w:r>
        <w:rPr>
          <w:rFonts w:cs="Calibri"/>
          <w:color w:val="000000"/>
          <w:sz w:val="24"/>
          <w:szCs w:val="24"/>
        </w:rPr>
        <w:t>Dedre</w:t>
      </w:r>
      <w:proofErr w:type="spellEnd"/>
      <w:r>
        <w:rPr>
          <w:rFonts w:cs="Calibri"/>
          <w:color w:val="000000"/>
          <w:sz w:val="24"/>
          <w:szCs w:val="24"/>
        </w:rPr>
        <w:t xml:space="preserve"> Gentner and Albert Stevens (Eds.). Lawrence Erlbaum Associates, Inc., Chapter 1, 7–14</w:t>
      </w:r>
    </w:p>
    <w:p w14:paraId="000000A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Andreas </w:t>
      </w:r>
      <w:proofErr w:type="spellStart"/>
      <w:r>
        <w:rPr>
          <w:rFonts w:cs="Calibri"/>
          <w:color w:val="000000"/>
          <w:sz w:val="24"/>
          <w:szCs w:val="24"/>
        </w:rPr>
        <w:t>Stefik</w:t>
      </w:r>
      <w:proofErr w:type="spellEnd"/>
      <w:r>
        <w:rPr>
          <w:rFonts w:cs="Calibri"/>
          <w:color w:val="000000"/>
          <w:sz w:val="24"/>
          <w:szCs w:val="24"/>
        </w:rPr>
        <w:t xml:space="preserve"> and Susanna Siebert. 2013. An Empirical Investigation into Programming Language Syntax. In The ACM Transactions on Computing Education. ACM, New York, NY, USA. </w:t>
      </w:r>
      <w:hyperlink r:id="rId21">
        <w:r w:rsidR="001209E0">
          <w:rPr>
            <w:rFonts w:cs="Calibri"/>
            <w:color w:val="000000"/>
            <w:sz w:val="24"/>
            <w:szCs w:val="24"/>
            <w:u w:val="single"/>
          </w:rPr>
          <w:t>https://doi.org/10.1145/2534973</w:t>
        </w:r>
      </w:hyperlink>
      <w:r>
        <w:rPr>
          <w:rFonts w:cs="Calibri"/>
          <w:color w:val="000000"/>
          <w:sz w:val="24"/>
          <w:szCs w:val="24"/>
        </w:rPr>
        <w:t> </w:t>
      </w:r>
    </w:p>
    <w:p w14:paraId="000000A5"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Vesa </w:t>
      </w:r>
      <w:proofErr w:type="spellStart"/>
      <w:r>
        <w:rPr>
          <w:rFonts w:cs="Calibri"/>
          <w:color w:val="000000"/>
          <w:sz w:val="24"/>
          <w:szCs w:val="24"/>
        </w:rPr>
        <w:t>Vainio</w:t>
      </w:r>
      <w:proofErr w:type="spellEnd"/>
      <w:r>
        <w:rPr>
          <w:rFonts w:cs="Calibri"/>
          <w:color w:val="000000"/>
          <w:sz w:val="24"/>
          <w:szCs w:val="24"/>
        </w:rPr>
        <w:t xml:space="preserve"> and Jorma </w:t>
      </w:r>
      <w:proofErr w:type="spellStart"/>
      <w:r>
        <w:rPr>
          <w:rFonts w:cs="Calibri"/>
          <w:color w:val="000000"/>
          <w:sz w:val="24"/>
          <w:szCs w:val="24"/>
        </w:rPr>
        <w:t>Sajaniemi</w:t>
      </w:r>
      <w:proofErr w:type="spellEnd"/>
      <w:r>
        <w:rPr>
          <w:rFonts w:cs="Calibri"/>
          <w:color w:val="000000"/>
          <w:sz w:val="24"/>
          <w:szCs w:val="24"/>
        </w:rPr>
        <w:t>. 2007. Factors in Novice Programmers’ Poor Tracing Skills.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236–240. </w:t>
      </w:r>
      <w:hyperlink r:id="rId22">
        <w:r w:rsidR="001209E0">
          <w:rPr>
            <w:rFonts w:cs="Calibri"/>
            <w:color w:val="000000"/>
            <w:sz w:val="24"/>
            <w:szCs w:val="24"/>
            <w:u w:val="single"/>
          </w:rPr>
          <w:t>https://doi.org/10.1145/1268784.1268853</w:t>
        </w:r>
      </w:hyperlink>
    </w:p>
    <w:p w14:paraId="000000A6"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Wikipedia. For loop. https://en.wikipedia.org/wiki/For_loop#Timeline_of_the_for-loop_syntax_in_various_programming_languages. Accessed 2022. </w:t>
      </w:r>
    </w:p>
    <w:p w14:paraId="000000A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L.A. </w:t>
      </w:r>
      <w:proofErr w:type="spellStart"/>
      <w:r>
        <w:rPr>
          <w:rFonts w:cs="Calibri"/>
          <w:color w:val="000000"/>
          <w:sz w:val="24"/>
          <w:szCs w:val="24"/>
        </w:rPr>
        <w:t>Wozny</w:t>
      </w:r>
      <w:proofErr w:type="spellEnd"/>
      <w:r>
        <w:rPr>
          <w:rFonts w:cs="Calibri"/>
          <w:color w:val="000000"/>
          <w:sz w:val="24"/>
          <w:szCs w:val="24"/>
        </w:rPr>
        <w:t>. 1989. The Application of Metaphor, Analogy, and Conceptual Models in Computer Systems. In Interactive Computing. Oxford University Press, Inc. New York, NY, USA. DOI: 10.1016/0953-5438(89)90015-5</w:t>
      </w:r>
    </w:p>
    <w:sectPr w:rsidR="001209E0">
      <w:headerReference w:type="default" r:id="rId23"/>
      <w:headerReference w:type="first" r:id="rId24"/>
      <w:pgSz w:w="12240" w:h="15840"/>
      <w:pgMar w:top="1440" w:right="1440" w:bottom="1440" w:left="1440" w:header="72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Marino" w:date="2024-05-25T23:55:00Z" w:initials="">
    <w:p w14:paraId="000000AF"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quotes around this?</w:t>
      </w:r>
    </w:p>
  </w:comment>
  <w:comment w:id="1" w:author="Briana B." w:date="2024-06-07T11:47:00Z" w:initials="">
    <w:p w14:paraId="000000B0"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Agreed, quotes are great!</w:t>
      </w:r>
    </w:p>
  </w:comment>
  <w:comment w:id="2" w:author="Mark Marino" w:date="2024-05-25T23:43:00Z" w:initials="">
    <w:p w14:paraId="000000B1"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quite sure what this means</w:t>
      </w:r>
    </w:p>
  </w:comment>
  <w:comment w:id="3" w:author="Briana B." w:date="2024-06-07T11:50:00Z" w:initials="">
    <w:p w14:paraId="000000B2"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Can you check the text around this and see if it clarifies? I realized looking this over that I don't think the term "instance variable" was appropriately defined by me at any point, which likely contributed to the confusion.</w:t>
      </w:r>
    </w:p>
  </w:comment>
  <w:comment w:id="4" w:author="Mark Marino" w:date="2024-05-25T23:40:00Z" w:initials="">
    <w:p w14:paraId="000000AB"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sure I caught the meaning in my revision. Would like these to be sentences independent of the introductory phrase.</w:t>
      </w:r>
    </w:p>
  </w:comment>
  <w:comment w:id="5" w:author="Briana B." w:date="2024-06-07T11:55:00Z" w:initials="">
    <w:p w14:paraId="000000AC"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You got the meaning right! I tried to work on the wording a bit more to help the idea along, feel free to edit more if needed :)</w:t>
      </w:r>
    </w:p>
  </w:comment>
  <w:comment w:id="6" w:author="Mark Marino" w:date="2024-05-25T23:35:00Z" w:initials="">
    <w:p w14:paraId="000000AD"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Would it be worth adding a small note about copilot in this section?</w:t>
      </w:r>
    </w:p>
  </w:comment>
  <w:comment w:id="7" w:author="Briana B." w:date="2024-06-07T11:57:00Z" w:initials="">
    <w:p w14:paraId="000000AE"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 can, but this does raise another question for me - should I go back and add in citations that are important since the time of writing? I've done other work on computing mental models and analogical/metaphoric theory, and I'm sure there's a few other areas that could benefit from more citations if I took a finer comb on this. There's the push-pull on my end that an addition about copilot "moves this article forward" a few years from when it was written, and I feel like the time capsule on the rest of it might look a bit dusty, if that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AF" w15:done="0"/>
  <w15:commentEx w15:paraId="000000B0" w15:paraIdParent="000000AF" w15:done="0"/>
  <w15:commentEx w15:paraId="000000B1" w15:done="0"/>
  <w15:commentEx w15:paraId="000000B2" w15:paraIdParent="000000B1" w15:done="0"/>
  <w15:commentEx w15:paraId="000000AB" w15:done="0"/>
  <w15:commentEx w15:paraId="000000AC" w15:paraIdParent="000000AB" w15:done="0"/>
  <w15:commentEx w15:paraId="000000AD" w15:done="0"/>
  <w15:commentEx w15:paraId="000000AE" w15:paraIdParent="00000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AF" w16cid:durableId="000000AF"/>
  <w16cid:commentId w16cid:paraId="000000B0" w16cid:durableId="000000B0"/>
  <w16cid:commentId w16cid:paraId="000000B1" w16cid:durableId="000000B1"/>
  <w16cid:commentId w16cid:paraId="000000B2" w16cid:durableId="000000B2"/>
  <w16cid:commentId w16cid:paraId="000000AB" w16cid:durableId="000000AB"/>
  <w16cid:commentId w16cid:paraId="000000AC" w16cid:durableId="000000AC"/>
  <w16cid:commentId w16cid:paraId="000000AD" w16cid:durableId="000000AD"/>
  <w16cid:commentId w16cid:paraId="000000AE" w16cid:durableId="000000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66290" w14:textId="77777777" w:rsidR="00C5290C" w:rsidRDefault="00C5290C">
      <w:pPr>
        <w:spacing w:after="0" w:line="240" w:lineRule="auto"/>
      </w:pPr>
      <w:r>
        <w:separator/>
      </w:r>
    </w:p>
  </w:endnote>
  <w:endnote w:type="continuationSeparator" w:id="0">
    <w:p w14:paraId="313778F4" w14:textId="77777777" w:rsidR="00C5290C" w:rsidRDefault="00C529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3B00B" w14:textId="77777777" w:rsidR="00C5290C" w:rsidRDefault="00C5290C">
      <w:pPr>
        <w:spacing w:after="0" w:line="240" w:lineRule="auto"/>
      </w:pPr>
      <w:r>
        <w:separator/>
      </w:r>
    </w:p>
  </w:footnote>
  <w:footnote w:type="continuationSeparator" w:id="0">
    <w:p w14:paraId="4DDF825F" w14:textId="77777777" w:rsidR="00C5290C" w:rsidRDefault="00C529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9" w14:textId="77777777" w:rsidR="001209E0" w:rsidRDefault="001209E0">
    <w:pPr>
      <w:jc w:val="right"/>
    </w:pPr>
  </w:p>
  <w:p w14:paraId="000000AA" w14:textId="7D563EB6" w:rsidR="001209E0" w:rsidRDefault="00000000">
    <w:pPr>
      <w:jc w:val="right"/>
    </w:pPr>
    <w:proofErr w:type="spellStart"/>
    <w:r>
      <w:t>Bettin</w:t>
    </w:r>
    <w:proofErr w:type="spellEnd"/>
    <w:r>
      <w:t xml:space="preserve"> -- </w:t>
    </w:r>
    <w:r>
      <w:fldChar w:fldCharType="begin"/>
    </w:r>
    <w:r>
      <w:instrText>PAGE</w:instrText>
    </w:r>
    <w:r>
      <w:fldChar w:fldCharType="separate"/>
    </w:r>
    <w:r w:rsidR="0026301D">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8" w14:textId="77777777" w:rsidR="001209E0" w:rsidRDefault="001209E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9E0"/>
    <w:rsid w:val="001209E0"/>
    <w:rsid w:val="0026301D"/>
    <w:rsid w:val="003D1497"/>
    <w:rsid w:val="0089489D"/>
    <w:rsid w:val="00C1775A"/>
    <w:rsid w:val="00C5290C"/>
    <w:rsid w:val="00FA1B28"/>
    <w:rsid w:val="00FA6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75059B"/>
  <w15:docId w15:val="{F6E9BE47-3149-414B-8196-A69C794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01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rmalWeb">
    <w:name w:val="Normal (Web)"/>
    <w:basedOn w:val="Normal"/>
    <w:uiPriority w:val="99"/>
    <w:semiHidden/>
    <w:unhideWhenUsed/>
    <w:rsid w:val="002026F8"/>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2026F8"/>
    <w:rPr>
      <w:rFonts w:cs="Times New Roman"/>
      <w:color w:val="0000FF"/>
      <w:u w:val="single"/>
    </w:rPr>
  </w:style>
  <w:style w:type="character" w:styleId="UnresolvedMention">
    <w:name w:val="Unresolved Mention"/>
    <w:basedOn w:val="DefaultParagraphFont"/>
    <w:uiPriority w:val="99"/>
    <w:semiHidden/>
    <w:unhideWhenUsed/>
    <w:rsid w:val="00BD5150"/>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cs="Times New Roman"/>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soteric.codes/blog/jon-corbett" TargetMode="External"/><Relationship Id="rId18" Type="http://schemas.openxmlformats.org/officeDocument/2006/relationships/hyperlink" Target="https://cs.brown.edu/~sk/Publications/Papers/Published/kf-prog-paradigms-and-beyond"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145/2534973" TargetMode="External"/><Relationship Id="rId7" Type="http://schemas.openxmlformats.org/officeDocument/2006/relationships/comments" Target="comments.xml"/><Relationship Id="rId12" Type="http://schemas.openxmlformats.org/officeDocument/2006/relationships/hyperlink" Target="https://doi.org/10.1016/j.jal.2008.09.005" TargetMode="External"/><Relationship Id="rId17" Type="http://schemas.openxmlformats.org/officeDocument/2006/relationships/hyperlink" Target="https://doi.org/10.1080/03057267.2013.8011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ric.ed.gov/?id=ED373306" TargetMode="External"/><Relationship Id="rId20" Type="http://schemas.openxmlformats.org/officeDocument/2006/relationships/hyperlink" Target="https://doi.org/10.1145/1268784.1268830"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37099/mtu.dc.etdr/1086"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doi.org/10.1016/0010-0285(80)90013-4" TargetMode="External"/><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doi.org/10.1002/sce.3730770304arXiv:https:/onlinelibrary.wiley.com/doi/pdf/10.1002/sce.3730770304"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16/S0364-0213(83)" TargetMode="External"/><Relationship Id="rId22" Type="http://schemas.openxmlformats.org/officeDocument/2006/relationships/hyperlink" Target="https://doi.org/10.1145/1268784.12688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NrKq0N4NUd5BHrn/99gp6lXagg==">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4i8AEKCnRleHQvcGxhaW4S4QFDYW4geW91IGNoZWNrIHRoZSB0ZXh0IGFyb3VuZCB0aGlzIGFuZCBzZWUgaWYgaXQgY2xhcmlmaWVzPyBJIHJlYWxpemVkIGxvb2tpbmcgdGhpcyBvdmVyIHRoYXQgSSBkb24ndCB0aGluayB0aGUgdGVybSAiaW5zdGFuY2UgdmFyaWFibGUiIHdhcyBhcHByb3ByaWF0ZWx5IGRlZmluZWQgYnkgbWUgYXQgYW55IHBvaW50LCB3aGljaCBsaWtlbHkgY29udHJpYnV0ZWQgdG8gdGhlIGNvbmZ1c2lvbi4qGyIVMTE2MTgxNTE0MjA5NDUxMzMxODg0KAA4ADDH+qOU/zE4x/qjlP8xWgwxNWdoemU0bDdxaDByAiAAeACaAQYIABAAGACqAfIB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21</Pages>
  <Words>8859</Words>
  <Characters>50502</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BriBri</dc:creator>
  <cp:lastModifiedBy>Emily Boyer</cp:lastModifiedBy>
  <cp:revision>3</cp:revision>
  <dcterms:created xsi:type="dcterms:W3CDTF">2022-05-28T03:26:00Z</dcterms:created>
  <dcterms:modified xsi:type="dcterms:W3CDTF">2026-02-27T01:32:00Z</dcterms:modified>
</cp:coreProperties>
</file>