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0978D" w14:textId="64E95747" w:rsidR="003167D9" w:rsidRPr="00227BBC" w:rsidRDefault="00985471" w:rsidP="00C022D4">
      <w:pPr>
        <w:pStyle w:val="Heading1"/>
      </w:pPr>
      <w:r>
        <w:t>Project</w:t>
      </w:r>
      <w:r w:rsidR="003A316B" w:rsidRPr="00227BBC">
        <w:t xml:space="preserve"> Assessment – </w:t>
      </w:r>
      <w:r w:rsidR="001A0BF7" w:rsidRPr="00227BBC">
        <w:t>Student</w:t>
      </w:r>
      <w:r w:rsidR="003A316B" w:rsidRPr="00227BBC">
        <w:t xml:space="preserve"> Instructions</w:t>
      </w:r>
    </w:p>
    <w:p w14:paraId="6D8DD09C" w14:textId="77777777" w:rsidR="003A316B" w:rsidRPr="00F6546A" w:rsidRDefault="003A316B" w:rsidP="00FF6A31">
      <w:pPr>
        <w:pStyle w:val="NoSpacing"/>
        <w:spacing w:after="60"/>
        <w:rPr>
          <w:b/>
          <w:color w:val="365F91" w:themeColor="accent1" w:themeShade="BF"/>
          <w:sz w:val="12"/>
          <w:szCs w:val="12"/>
        </w:rPr>
      </w:pPr>
      <w:bookmarkStart w:id="0" w:name="_Toc11834568"/>
      <w:bookmarkStart w:id="1" w:name="_Toc11844018"/>
      <w:bookmarkStart w:id="2" w:name="_Toc11844141"/>
      <w:bookmarkStart w:id="3" w:name="_Toc12438756"/>
      <w:bookmarkStart w:id="4" w:name="_Toc12438892"/>
    </w:p>
    <w:tbl>
      <w:tblPr>
        <w:tblStyle w:val="TableGrid"/>
        <w:tblW w:w="10745" w:type="dxa"/>
        <w:tblCellMar>
          <w:top w:w="57" w:type="dxa"/>
          <w:left w:w="113" w:type="dxa"/>
          <w:bottom w:w="57" w:type="dxa"/>
          <w:right w:w="57" w:type="dxa"/>
        </w:tblCellMar>
        <w:tblLook w:val="04A0" w:firstRow="1" w:lastRow="0" w:firstColumn="1" w:lastColumn="0" w:noHBand="0" w:noVBand="1"/>
        <w:tblCaption w:val="Details"/>
        <w:tblDescription w:val="Qualification, Unit of Competency, Assessment task and Assessor details."/>
      </w:tblPr>
      <w:tblGrid>
        <w:gridCol w:w="2807"/>
        <w:gridCol w:w="4639"/>
        <w:gridCol w:w="1314"/>
        <w:gridCol w:w="1985"/>
      </w:tblGrid>
      <w:tr w:rsidR="002A6715" w:rsidRPr="002F7C81" w14:paraId="3AC51D49" w14:textId="77777777" w:rsidTr="00D262CE">
        <w:trPr>
          <w:tblHeader/>
        </w:trPr>
        <w:tc>
          <w:tcPr>
            <w:tcW w:w="10745" w:type="dxa"/>
            <w:gridSpan w:val="4"/>
            <w:tcBorders>
              <w:top w:val="nil"/>
              <w:left w:val="nil"/>
              <w:bottom w:val="nil"/>
              <w:right w:val="nil"/>
            </w:tcBorders>
            <w:shd w:val="clear" w:color="auto" w:fill="595959" w:themeFill="text1" w:themeFillTint="A6"/>
            <w:vAlign w:val="center"/>
          </w:tcPr>
          <w:p w14:paraId="18817DD5" w14:textId="6A34A293" w:rsidR="002A6715" w:rsidRPr="002A6715" w:rsidRDefault="002A6715" w:rsidP="000333FE">
            <w:pPr>
              <w:pStyle w:val="Heading2"/>
              <w:rPr>
                <w:color w:val="365F91" w:themeColor="accent1" w:themeShade="BF"/>
              </w:rPr>
            </w:pPr>
            <w:r w:rsidRPr="002A6715">
              <w:t>Details</w:t>
            </w:r>
          </w:p>
        </w:tc>
      </w:tr>
      <w:tr w:rsidR="002D1EB4" w:rsidRPr="0029391E" w14:paraId="7D4447ED" w14:textId="77777777" w:rsidTr="002D1EB4">
        <w:trPr>
          <w:trHeight w:val="340"/>
        </w:trPr>
        <w:tc>
          <w:tcPr>
            <w:tcW w:w="2807" w:type="dxa"/>
            <w:tcBorders>
              <w:top w:val="nil"/>
              <w:left w:val="nil"/>
            </w:tcBorders>
            <w:vAlign w:val="center"/>
          </w:tcPr>
          <w:p w14:paraId="2572F15D" w14:textId="3B1DE489" w:rsidR="002D1EB4" w:rsidRPr="0029391E" w:rsidRDefault="002D1EB4" w:rsidP="000333FE">
            <w:pPr>
              <w:pStyle w:val="Heading3"/>
            </w:pPr>
            <w:r>
              <w:t>Student name</w:t>
            </w:r>
          </w:p>
        </w:tc>
        <w:tc>
          <w:tcPr>
            <w:tcW w:w="4639" w:type="dxa"/>
            <w:tcBorders>
              <w:top w:val="nil"/>
              <w:bottom w:val="single" w:sz="4" w:space="0" w:color="auto"/>
              <w:right w:val="nil"/>
            </w:tcBorders>
            <w:vAlign w:val="center"/>
          </w:tcPr>
          <w:p w14:paraId="119753A3" w14:textId="77777777" w:rsidR="002D1EB4" w:rsidRPr="0029391E" w:rsidRDefault="002D1EB4" w:rsidP="000333FE"/>
        </w:tc>
        <w:tc>
          <w:tcPr>
            <w:tcW w:w="1314" w:type="dxa"/>
            <w:tcBorders>
              <w:top w:val="nil"/>
              <w:bottom w:val="single" w:sz="4" w:space="0" w:color="auto"/>
              <w:right w:val="nil"/>
            </w:tcBorders>
            <w:vAlign w:val="center"/>
          </w:tcPr>
          <w:p w14:paraId="548E4580" w14:textId="710D228D" w:rsidR="002D1EB4" w:rsidRPr="0029391E" w:rsidRDefault="002D1EB4" w:rsidP="002D1EB4">
            <w:pPr>
              <w:pStyle w:val="Heading3"/>
            </w:pPr>
            <w:r>
              <w:t>Student ID</w:t>
            </w:r>
          </w:p>
        </w:tc>
        <w:tc>
          <w:tcPr>
            <w:tcW w:w="1985" w:type="dxa"/>
            <w:tcBorders>
              <w:top w:val="nil"/>
              <w:bottom w:val="single" w:sz="4" w:space="0" w:color="auto"/>
              <w:right w:val="nil"/>
            </w:tcBorders>
            <w:vAlign w:val="center"/>
          </w:tcPr>
          <w:p w14:paraId="45A2452A" w14:textId="0B584651" w:rsidR="002D1EB4" w:rsidRPr="0029391E" w:rsidRDefault="002D1EB4" w:rsidP="000333FE"/>
        </w:tc>
      </w:tr>
      <w:tr w:rsidR="002D1EB4" w:rsidRPr="0029391E" w14:paraId="680A4138" w14:textId="77777777" w:rsidTr="002D1EB4">
        <w:trPr>
          <w:trHeight w:val="340"/>
        </w:trPr>
        <w:tc>
          <w:tcPr>
            <w:tcW w:w="2807" w:type="dxa"/>
            <w:tcBorders>
              <w:top w:val="nil"/>
              <w:left w:val="nil"/>
            </w:tcBorders>
            <w:vAlign w:val="center"/>
          </w:tcPr>
          <w:p w14:paraId="2875EDDB" w14:textId="2474D2FB" w:rsidR="002D1EB4" w:rsidRPr="0029391E" w:rsidRDefault="002D1EB4" w:rsidP="000333FE">
            <w:pPr>
              <w:pStyle w:val="Heading3"/>
            </w:pPr>
            <w:r w:rsidRPr="002D1EB4">
              <w:t>Qualification code and title</w:t>
            </w:r>
          </w:p>
        </w:tc>
        <w:tc>
          <w:tcPr>
            <w:tcW w:w="7938" w:type="dxa"/>
            <w:gridSpan w:val="3"/>
            <w:tcBorders>
              <w:top w:val="nil"/>
              <w:bottom w:val="single" w:sz="4" w:space="0" w:color="auto"/>
              <w:right w:val="nil"/>
            </w:tcBorders>
            <w:vAlign w:val="center"/>
          </w:tcPr>
          <w:p w14:paraId="4F32B9AF" w14:textId="77777777" w:rsidR="002D1EB4" w:rsidRPr="0029391E" w:rsidRDefault="002D1EB4" w:rsidP="000333FE">
            <w:r>
              <w:t>ICT50220 Diploma of Information Technology</w:t>
            </w:r>
          </w:p>
        </w:tc>
      </w:tr>
      <w:tr w:rsidR="003A316B" w:rsidRPr="0029391E" w14:paraId="58F52A60" w14:textId="77777777" w:rsidTr="002D1EB4">
        <w:trPr>
          <w:trHeight w:val="340"/>
        </w:trPr>
        <w:tc>
          <w:tcPr>
            <w:tcW w:w="2807" w:type="dxa"/>
            <w:tcBorders>
              <w:left w:val="nil"/>
            </w:tcBorders>
            <w:vAlign w:val="center"/>
          </w:tcPr>
          <w:p w14:paraId="18385B2D" w14:textId="48AD0100" w:rsidR="003A316B" w:rsidRPr="0029391E" w:rsidRDefault="003A316B" w:rsidP="000333FE">
            <w:pPr>
              <w:pStyle w:val="Heading3"/>
            </w:pPr>
            <w:r w:rsidRPr="0029391E">
              <w:t xml:space="preserve">Unit </w:t>
            </w:r>
            <w:r w:rsidR="002F7C81" w:rsidRPr="0029391E">
              <w:t>c</w:t>
            </w:r>
            <w:r w:rsidRPr="0029391E">
              <w:t xml:space="preserve">ode and </w:t>
            </w:r>
            <w:r w:rsidR="002F7C81" w:rsidRPr="0029391E">
              <w:t>t</w:t>
            </w:r>
            <w:r w:rsidRPr="0029391E">
              <w:t>itle</w:t>
            </w:r>
          </w:p>
        </w:tc>
        <w:tc>
          <w:tcPr>
            <w:tcW w:w="7938" w:type="dxa"/>
            <w:gridSpan w:val="3"/>
            <w:tcBorders>
              <w:right w:val="nil"/>
            </w:tcBorders>
            <w:vAlign w:val="center"/>
          </w:tcPr>
          <w:p w14:paraId="450E8445" w14:textId="77777777" w:rsidR="003A316B" w:rsidRPr="0029391E" w:rsidRDefault="003A316B" w:rsidP="000333FE">
            <w:r>
              <w:t>ICTCLD504 Improve cloud infrastructure</w:t>
            </w:r>
          </w:p>
        </w:tc>
      </w:tr>
      <w:tr w:rsidR="00F46169" w:rsidRPr="0029391E" w14:paraId="2F32EE2E" w14:textId="77777777" w:rsidTr="002D1EB4">
        <w:trPr>
          <w:trHeight w:val="340"/>
        </w:trPr>
        <w:tc>
          <w:tcPr>
            <w:tcW w:w="2807" w:type="dxa"/>
            <w:tcBorders>
              <w:left w:val="nil"/>
            </w:tcBorders>
            <w:vAlign w:val="center"/>
          </w:tcPr>
          <w:p w14:paraId="172E320B" w14:textId="1B44427A" w:rsidR="00F46169" w:rsidRPr="0029391E" w:rsidRDefault="00F46169" w:rsidP="000333FE">
            <w:pPr>
              <w:pStyle w:val="Heading3"/>
            </w:pPr>
            <w:r w:rsidRPr="0029391E">
              <w:t>Assessment task title</w:t>
            </w:r>
          </w:p>
        </w:tc>
        <w:tc>
          <w:tcPr>
            <w:tcW w:w="7938" w:type="dxa"/>
            <w:gridSpan w:val="3"/>
            <w:tcBorders>
              <w:right w:val="nil"/>
            </w:tcBorders>
            <w:vAlign w:val="center"/>
          </w:tcPr>
          <w:p w14:paraId="624293F4" w14:textId="286273C8" w:rsidR="00F46169" w:rsidRPr="0029391E" w:rsidRDefault="00F46169" w:rsidP="000333FE">
            <w:r>
              <w:t>AT1 — Cloud Infrastructure Improvement: Design</w:t>
            </w:r>
          </w:p>
        </w:tc>
      </w:tr>
      <w:tr w:rsidR="00F46169" w:rsidRPr="0029391E" w14:paraId="6E42D5E4" w14:textId="77777777" w:rsidTr="002D1EB4">
        <w:trPr>
          <w:trHeight w:val="340"/>
        </w:trPr>
        <w:tc>
          <w:tcPr>
            <w:tcW w:w="2807" w:type="dxa"/>
            <w:tcBorders>
              <w:left w:val="nil"/>
            </w:tcBorders>
            <w:vAlign w:val="center"/>
          </w:tcPr>
          <w:p w14:paraId="1DFCBBA8" w14:textId="77777777" w:rsidR="00F46169" w:rsidRPr="0029391E" w:rsidRDefault="00F46169" w:rsidP="000333FE">
            <w:pPr>
              <w:pStyle w:val="Heading3"/>
            </w:pPr>
            <w:r w:rsidRPr="0029391E">
              <w:t>Assessment task number</w:t>
            </w:r>
          </w:p>
        </w:tc>
        <w:tc>
          <w:tcPr>
            <w:tcW w:w="4639" w:type="dxa"/>
            <w:tcBorders>
              <w:right w:val="nil"/>
            </w:tcBorders>
            <w:vAlign w:val="center"/>
          </w:tcPr>
          <w:p w14:paraId="03B7CE50" w14:textId="77777777" w:rsidR="00F46169" w:rsidRPr="0029391E" w:rsidRDefault="00F46169" w:rsidP="000333FE">
            <w:r>
              <w:t>1 of 3</w:t>
            </w:r>
          </w:p>
        </w:tc>
        <w:tc>
          <w:tcPr>
            <w:tcW w:w="1314" w:type="dxa"/>
            <w:tcBorders>
              <w:right w:val="nil"/>
            </w:tcBorders>
            <w:vAlign w:val="center"/>
          </w:tcPr>
          <w:p w14:paraId="3D7281F8" w14:textId="77777777" w:rsidR="00F46169" w:rsidRPr="0029391E" w:rsidRDefault="00F46169" w:rsidP="000333FE">
            <w:pPr>
              <w:pStyle w:val="Heading3"/>
            </w:pPr>
            <w:r w:rsidRPr="0029391E">
              <w:t>Due date</w:t>
            </w:r>
          </w:p>
        </w:tc>
        <w:tc>
          <w:tcPr>
            <w:tcW w:w="1985" w:type="dxa"/>
            <w:tcBorders>
              <w:right w:val="nil"/>
            </w:tcBorders>
            <w:vAlign w:val="center"/>
          </w:tcPr>
          <w:p w14:paraId="6CF0D5B1" w14:textId="77777777" w:rsidR="00F46169" w:rsidRPr="0029391E" w:rsidRDefault="00F46169" w:rsidP="000333FE"/>
        </w:tc>
      </w:tr>
      <w:tr w:rsidR="00F46169" w:rsidRPr="0029391E" w14:paraId="16A0C958" w14:textId="77777777" w:rsidTr="002D1EB4">
        <w:trPr>
          <w:trHeight w:val="340"/>
        </w:trPr>
        <w:tc>
          <w:tcPr>
            <w:tcW w:w="2807" w:type="dxa"/>
            <w:tcBorders>
              <w:left w:val="nil"/>
            </w:tcBorders>
            <w:vAlign w:val="center"/>
          </w:tcPr>
          <w:p w14:paraId="15148FEE" w14:textId="77777777" w:rsidR="00F46169" w:rsidRPr="0029391E" w:rsidRDefault="00F46169" w:rsidP="000333FE">
            <w:pPr>
              <w:pStyle w:val="Heading3"/>
            </w:pPr>
            <w:r w:rsidRPr="0029391E">
              <w:t>Teacher/Assessor name</w:t>
            </w:r>
          </w:p>
        </w:tc>
        <w:tc>
          <w:tcPr>
            <w:tcW w:w="7938" w:type="dxa"/>
            <w:gridSpan w:val="3"/>
            <w:tcBorders>
              <w:right w:val="nil"/>
            </w:tcBorders>
            <w:vAlign w:val="center"/>
          </w:tcPr>
          <w:p w14:paraId="50E259ED" w14:textId="77777777" w:rsidR="00F46169" w:rsidRPr="0029391E" w:rsidRDefault="00F46169" w:rsidP="000333FE"/>
        </w:tc>
      </w:tr>
      <w:tr w:rsidR="00F46169" w:rsidRPr="002F7C81" w14:paraId="690DE6EA" w14:textId="77777777" w:rsidTr="002D1EB4">
        <w:trPr>
          <w:trHeight w:val="340"/>
        </w:trPr>
        <w:tc>
          <w:tcPr>
            <w:tcW w:w="2807" w:type="dxa"/>
            <w:tcBorders>
              <w:left w:val="nil"/>
            </w:tcBorders>
            <w:vAlign w:val="center"/>
          </w:tcPr>
          <w:p w14:paraId="3158EC31" w14:textId="77777777" w:rsidR="00F46169" w:rsidRPr="0029391E" w:rsidRDefault="00F46169" w:rsidP="000333FE">
            <w:pPr>
              <w:pStyle w:val="Heading3"/>
            </w:pPr>
            <w:r w:rsidRPr="0029391E">
              <w:t>Teacher/Assessor email</w:t>
            </w:r>
          </w:p>
        </w:tc>
        <w:tc>
          <w:tcPr>
            <w:tcW w:w="7938" w:type="dxa"/>
            <w:gridSpan w:val="3"/>
            <w:tcBorders>
              <w:right w:val="nil"/>
            </w:tcBorders>
            <w:vAlign w:val="center"/>
          </w:tcPr>
          <w:p w14:paraId="3B69E89F" w14:textId="77777777" w:rsidR="00F46169" w:rsidRPr="002E7C77" w:rsidRDefault="00F46169" w:rsidP="000333FE"/>
        </w:tc>
      </w:tr>
    </w:tbl>
    <w:p w14:paraId="7488E7F5" w14:textId="77777777" w:rsidR="003A316B" w:rsidRPr="000333FE" w:rsidRDefault="003A316B" w:rsidP="000333FE">
      <w:pPr>
        <w:pStyle w:val="NoSpacing"/>
      </w:pPr>
    </w:p>
    <w:tbl>
      <w:tblPr>
        <w:tblStyle w:val="TableGrid"/>
        <w:tblW w:w="10745" w:type="dxa"/>
        <w:tblLayout w:type="fixed"/>
        <w:tblCellMar>
          <w:top w:w="57" w:type="dxa"/>
          <w:left w:w="113" w:type="dxa"/>
          <w:bottom w:w="57" w:type="dxa"/>
          <w:right w:w="57" w:type="dxa"/>
        </w:tblCellMar>
        <w:tblLook w:val="04A0" w:firstRow="1" w:lastRow="0" w:firstColumn="1" w:lastColumn="0" w:noHBand="0" w:noVBand="1"/>
        <w:tblCaption w:val="Student instructions"/>
        <w:tblDescription w:val="Instructions for the assessment task including an overview, tasks(s) to be assessed, time allowed, location, resources, assessment criteria, results, second attempt instructions and other important information."/>
      </w:tblPr>
      <w:tblGrid>
        <w:gridCol w:w="2807"/>
        <w:gridCol w:w="7938"/>
      </w:tblGrid>
      <w:tr w:rsidR="002A6715" w:rsidRPr="002F7C81" w14:paraId="161A8066" w14:textId="77777777" w:rsidTr="000333FE">
        <w:trPr>
          <w:cantSplit/>
          <w:tblHeader/>
        </w:trPr>
        <w:tc>
          <w:tcPr>
            <w:tcW w:w="10745" w:type="dxa"/>
            <w:gridSpan w:val="2"/>
            <w:tcBorders>
              <w:top w:val="nil"/>
              <w:left w:val="nil"/>
              <w:bottom w:val="nil"/>
              <w:right w:val="nil"/>
            </w:tcBorders>
            <w:shd w:val="clear" w:color="auto" w:fill="595959" w:themeFill="text1" w:themeFillTint="A6"/>
            <w:vAlign w:val="center"/>
          </w:tcPr>
          <w:p w14:paraId="674D2893" w14:textId="0FD9C023" w:rsidR="00667552" w:rsidRPr="00667552" w:rsidRDefault="00985471" w:rsidP="00667552">
            <w:pPr>
              <w:pStyle w:val="Heading2"/>
              <w:rPr>
                <w:color w:val="auto"/>
                <w:sz w:val="22"/>
              </w:rPr>
            </w:pPr>
            <w:r>
              <w:t>Student instructions</w:t>
            </w:r>
          </w:p>
        </w:tc>
      </w:tr>
      <w:tr w:rsidR="00E81213" w:rsidRPr="00E81213" w14:paraId="32E72483" w14:textId="77777777" w:rsidTr="002D1EB4">
        <w:trPr>
          <w:cantSplit/>
        </w:trPr>
        <w:tc>
          <w:tcPr>
            <w:tcW w:w="2807" w:type="dxa"/>
            <w:tcBorders>
              <w:top w:val="nil"/>
              <w:left w:val="nil"/>
            </w:tcBorders>
            <w:vAlign w:val="center"/>
          </w:tcPr>
          <w:p w14:paraId="17F77E68" w14:textId="5DA83CD6" w:rsidR="00667552" w:rsidRPr="00667552" w:rsidRDefault="003A316B" w:rsidP="00667552">
            <w:pPr>
              <w:pStyle w:val="Heading3"/>
            </w:pPr>
            <w:bookmarkStart w:id="5" w:name="_Toc19611986"/>
            <w:bookmarkEnd w:id="0"/>
            <w:bookmarkEnd w:id="1"/>
            <w:bookmarkEnd w:id="2"/>
            <w:bookmarkEnd w:id="3"/>
            <w:bookmarkEnd w:id="4"/>
            <w:r w:rsidRPr="002A6715">
              <w:t>Assessment overview</w:t>
            </w:r>
          </w:p>
        </w:tc>
        <w:tc>
          <w:tcPr>
            <w:tcW w:w="7938" w:type="dxa"/>
            <w:tcBorders>
              <w:top w:val="nil"/>
              <w:right w:val="nil"/>
            </w:tcBorders>
            <w:vAlign w:val="center"/>
          </w:tcPr>
          <w:p w14:paraId="26EE15FA" w14:textId="3CBFBBE9" w:rsidR="003A316B" w:rsidRPr="008A0AD8" w:rsidRDefault="002A6715" w:rsidP="00C022D4">
            <w:pPr>
              <w:pStyle w:val="Assessortext"/>
            </w:pPr>
            <w:r>
              <w:t>Students are assessed on analysing the cloud infrastructure of YAT's Enrolline student records and enrolment management system, designing a proportionate improvement to it, and obtaining sign-off to proceed to deployment. AT1 is the first of three assessment tasks in the S1-CL3 Cloud Infrastructure Improvement cluster.</w:t>
            </w:r>
          </w:p>
          <w:p>
            <w:pPr>
              <w:pStyle w:val="Assessortext"/>
            </w:pPr>
            <w:r>
              <w:t>The assessment is one guided workbook of fifteen design tasks, three approval tasks and three knowledge questions, submitted as a single document. Part A leads the student through reviewing the current architecture, evaluating its business impact, assessing compliance against the Indian regulatory requirements, identifying architectural options, setting measurable business goals and metrics, designing the improvement across the four concerns, justifying each on cost versus benefit, and drawing the result. Part B is a live session in which the student presents the proposal and obtains sign-off.</w:t>
            </w:r>
          </w:p>
          <w:p>
            <w:pPr>
              <w:pStyle w:val="Assessortext"/>
            </w:pPr>
            <w:r>
              <w:t>THE IMPROVEMENT IS OPEN. There is no right answer waiting to be found. The Improvement Requirements are outcomes, not solutions, and IR-2 asks for improvements proportionate to an internal, business-hours finance system. Proposing everything available is not a better answer than proposing four you can justify — it is a worse one.</w:t>
            </w:r>
          </w:p>
          <w:p>
            <w:pPr>
              <w:pStyle w:val="Assessortext"/>
            </w:pPr>
            <w:r>
              <w:t>WHAT YOU SUBMIT. The completed workbook, with every task and question answered and the approval records from Part B filled in.</w:t>
            </w:r>
          </w:p>
          <w:p>
            <w:pPr>
              <w:pStyle w:val="Assessortext"/>
            </w:pPr>
            <w:r>
              <w:t>This is an open-book assessment. Students may use the YAT intranet, AWS documentation, course materials and external research (which must be cited). They may not use another student.</w:t>
            </w:r>
          </w:p>
          <w:p>
            <w:pPr>
              <w:pStyle w:val="Assessortext"/>
            </w:pPr>
            <w:r>
              <w:t>The assessment will not proceed if for any reason it is not safe to do so. You must advise the student of the reason for suspending the assessment, and what safety action should be taken. Advise the student of revised arrangements when it is safe to do so.</w:t>
            </w:r>
          </w:p>
          <w:p>
            <w:pPr>
              <w:pStyle w:val="Assessortext"/>
            </w:pPr>
            <w:r>
              <w:t>There is a zero tolerance for plagiarism, cheating and collusion. Students will be expected to make a declaration that all work is their own prior to submission. Refer to the Training and Assessment Policy for further information.</w:t>
            </w:r>
          </w:p>
        </w:tc>
      </w:tr>
      <w:tr w:rsidR="003A316B" w:rsidRPr="002F7C81" w14:paraId="05E83D64" w14:textId="77777777" w:rsidTr="002D1EB4">
        <w:trPr>
          <w:cantSplit/>
        </w:trPr>
        <w:tc>
          <w:tcPr>
            <w:tcW w:w="2807" w:type="dxa"/>
            <w:tcBorders>
              <w:left w:val="nil"/>
            </w:tcBorders>
            <w:vAlign w:val="center"/>
          </w:tcPr>
          <w:p w14:paraId="68707E31" w14:textId="1A32D242" w:rsidR="00667552" w:rsidRPr="00667552" w:rsidRDefault="002F7C81" w:rsidP="00667552">
            <w:pPr>
              <w:pStyle w:val="Heading3"/>
            </w:pPr>
            <w:r w:rsidRPr="002A6715">
              <w:t>Task(s) to be assessed</w:t>
            </w:r>
          </w:p>
        </w:tc>
        <w:tc>
          <w:tcPr>
            <w:tcW w:w="7938" w:type="dxa"/>
            <w:tcBorders>
              <w:right w:val="nil"/>
            </w:tcBorders>
            <w:vAlign w:val="center"/>
          </w:tcPr>
          <w:p w14:paraId="1510275C" w14:textId="77777777" w:rsidR="009C0C9E" w:rsidRPr="009C0C9E" w:rsidRDefault="009C0C9E" w:rsidP="00C022D4">
            <w:pPr>
              <w:pStyle w:val="Assessortext"/>
            </w:pPr>
            <w:r>
              <w:t>YAT College's offshore partnership in India has put a spotlight on the systems supporting it. Enrolline — the finance and office-administration system — was migrated to AWS in an earlier engagement and has run there since, but it was migrated as-is: the whole workload sits in one availability zone and nothing has been revisited since cutover.</w:t>
            </w:r>
          </w:p>
          <w:p>
            <w:pPr>
              <w:pStyle w:val="Assessortext"/>
            </w:pPr>
            <w:r>
              <w:t>MTS is engaged to confirm Enrolline is stable, reliable, fit for purpose and compliant with the Indian regulatory requirements that now apply, and to improve it where it is not. What that improvement consists of is the student's analysis to make.</w:t>
            </w:r>
          </w:p>
          <w:p>
            <w:pPr>
              <w:pStyle w:val="Assessortext"/>
            </w:pPr>
            <w:r>
              <w:t>Part A — Analysis and design. Fifteen tasks: review the architecture and the decisions it represents, evaluate the business impact of those decisions, assess compliance against the Indian Regulatory Requirements, identify the design patterns and options available, assess their benefits against how this business actually runs, set measurable business goals across security, reliability, performance and cost, confirm the direction including what is NOT being proposed, confirm the metrics, design the improvements to compute, storage, database, network, security, reliability, scalability, cost and monitoring, justify each on cost versus benefit, draw the result, and write the justification.</w:t>
            </w:r>
          </w:p>
          <w:p>
            <w:pPr>
              <w:pStyle w:val="Assessortext"/>
            </w:pPr>
            <w:r>
              <w:t>Part B — Review and approval. The student presents the proposal to the role-played YAT ICT Manager, answers questions, and obtains sign-off recording exactly which improvements are approved — that approved list is AT3's scope. The first task of Part B is the student's own preparation and is not marked.</w:t>
            </w:r>
          </w:p>
          <w:p>
            <w:pPr>
              <w:pStyle w:val="Assessortext"/>
            </w:pPr>
            <w:r>
              <w:t>MTS scope: cloud infrastructure only. The Enrolline application and its financial data are out of scope (IR-4), as is legal interpretation of the India obligations — the student designs to the compliance area's determination.</w:t>
            </w:r>
          </w:p>
        </w:tc>
      </w:tr>
      <w:tr w:rsidR="003A316B" w:rsidRPr="002F7C81" w14:paraId="15C9695D" w14:textId="77777777" w:rsidTr="002D1EB4">
        <w:trPr>
          <w:cantSplit/>
        </w:trPr>
        <w:tc>
          <w:tcPr>
            <w:tcW w:w="2807" w:type="dxa"/>
            <w:tcBorders>
              <w:left w:val="nil"/>
            </w:tcBorders>
            <w:vAlign w:val="center"/>
          </w:tcPr>
          <w:p w14:paraId="3987EA1D" w14:textId="73CE5574" w:rsidR="003A316B" w:rsidRPr="002A6715" w:rsidRDefault="002F7C81" w:rsidP="000333FE">
            <w:pPr>
              <w:pStyle w:val="Heading3"/>
            </w:pPr>
            <w:r w:rsidRPr="002A6715">
              <w:lastRenderedPageBreak/>
              <w:t>Time allowed</w:t>
            </w:r>
          </w:p>
        </w:tc>
        <w:tc>
          <w:tcPr>
            <w:tcW w:w="7938" w:type="dxa"/>
            <w:tcBorders>
              <w:right w:val="nil"/>
            </w:tcBorders>
            <w:vAlign w:val="center"/>
          </w:tcPr>
          <w:p w14:paraId="1D0F4CF3" w14:textId="77777777" w:rsidR="003A316B" w:rsidRPr="008A0AD8" w:rsidRDefault="00ED3590" w:rsidP="00C022D4">
            <w:pPr>
              <w:pStyle w:val="Assessortext"/>
            </w:pPr>
            <w:r>
              <w:t>Part A — Analysis and design: 6 hours</w:t>
            </w:r>
          </w:p>
          <w:p>
            <w:pPr>
              <w:pStyle w:val="Assessortext"/>
            </w:pPr>
            <w:r>
              <w:t>Part B — Presentation and approval: a 20-minute session, scheduled with the assessor</w:t>
            </w:r>
          </w:p>
          <w:p>
            <w:pPr>
              <w:pStyle w:val="Assessortext"/>
            </w:pPr>
            <w:r>
              <w:t>Time is indicative. A student who needs longer continues in the next session rather than submitting incomplete work.</w:t>
            </w:r>
          </w:p>
        </w:tc>
      </w:tr>
      <w:tr w:rsidR="003A316B" w:rsidRPr="002F7C81" w14:paraId="61A1531A" w14:textId="77777777" w:rsidTr="002D1EB4">
        <w:trPr>
          <w:cantSplit/>
        </w:trPr>
        <w:tc>
          <w:tcPr>
            <w:tcW w:w="2807" w:type="dxa"/>
            <w:tcBorders>
              <w:left w:val="nil"/>
            </w:tcBorders>
            <w:vAlign w:val="center"/>
          </w:tcPr>
          <w:p w14:paraId="6ADBC676" w14:textId="1F949875" w:rsidR="003A316B" w:rsidRPr="002A6715" w:rsidRDefault="000F75D7" w:rsidP="000333FE">
            <w:pPr>
              <w:pStyle w:val="Heading3"/>
            </w:pPr>
            <w:r>
              <w:t>Location</w:t>
            </w:r>
          </w:p>
        </w:tc>
        <w:tc>
          <w:tcPr>
            <w:tcW w:w="7938" w:type="dxa"/>
            <w:tcBorders>
              <w:right w:val="nil"/>
            </w:tcBorders>
            <w:vAlign w:val="center"/>
          </w:tcPr>
          <w:p w14:paraId="7373C180" w14:textId="77777777" w:rsidR="003A316B" w:rsidRPr="008A0AD8" w:rsidRDefault="00ED3590" w:rsidP="00C022D4">
            <w:pPr>
              <w:pStyle w:val="Assessortext"/>
            </w:pPr>
            <w:r w:rsidRPr="008A0AD8">
              <w:t>Insert the location of where the assessment task will take place.</w:t>
            </w:r>
          </w:p>
          <w:p w14:paraId="0C59871E" w14:textId="5A24EA31" w:rsidR="003C34A3" w:rsidRPr="002F7C81" w:rsidRDefault="003C34A3" w:rsidP="00C022D4">
            <w:pPr>
              <w:pStyle w:val="Assessortext"/>
            </w:pPr>
            <w:r w:rsidRPr="008A0AD8">
              <w:t xml:space="preserve">e.g. </w:t>
            </w:r>
            <w:r w:rsidR="00E81213" w:rsidRPr="008A0AD8">
              <w:t>‘</w:t>
            </w:r>
            <w:r w:rsidR="002C33AB" w:rsidRPr="008A0AD8">
              <w:t>This assessment task will be conducted in the Bendigo TAFE carpentry workshop.</w:t>
            </w:r>
            <w:r w:rsidR="00E81213" w:rsidRPr="008A0AD8">
              <w:t>’</w:t>
            </w:r>
          </w:p>
        </w:tc>
      </w:tr>
      <w:tr w:rsidR="003A316B" w:rsidRPr="002F7C81" w14:paraId="08D94948" w14:textId="77777777" w:rsidTr="002D1EB4">
        <w:trPr>
          <w:cantSplit/>
        </w:trPr>
        <w:tc>
          <w:tcPr>
            <w:tcW w:w="2807" w:type="dxa"/>
            <w:tcBorders>
              <w:left w:val="nil"/>
            </w:tcBorders>
            <w:vAlign w:val="center"/>
          </w:tcPr>
          <w:p w14:paraId="04FDF80C" w14:textId="252F102F" w:rsidR="003A316B" w:rsidRPr="002A6715" w:rsidRDefault="002F7C81" w:rsidP="000333FE">
            <w:pPr>
              <w:pStyle w:val="Heading3"/>
            </w:pPr>
            <w:r w:rsidRPr="002A6715">
              <w:t>Resources required</w:t>
            </w:r>
          </w:p>
        </w:tc>
        <w:tc>
          <w:tcPr>
            <w:tcW w:w="7938" w:type="dxa"/>
            <w:tcBorders>
              <w:right w:val="nil"/>
            </w:tcBorders>
            <w:vAlign w:val="center"/>
          </w:tcPr>
          <w:p w14:paraId="6286BCA5" w14:textId="7CFC42C3" w:rsidR="00ED3590" w:rsidRPr="005903E8" w:rsidRDefault="00ED3590" w:rsidP="005903E8">
            <w:pPr>
              <w:pStyle w:val="Assessortext"/>
            </w:pPr>
            <w:r>
              <w:t>Access to the YAT scenario site / intranet — every document you need is linked from the task it belongs to</w:t>
            </w:r>
          </w:p>
          <w:p>
            <w:pPr>
              <w:pStyle w:val="Assessortext"/>
            </w:pPr>
            <w:r>
              <w:t>Your assessor will role-play Sam Walker, YAT ICT Manager, for the Part B session</w:t>
            </w:r>
          </w:p>
          <w:p>
            <w:pPr>
              <w:pStyle w:val="Assessortext"/>
            </w:pPr>
            <w:r>
              <w:t>Computer with web browser</w:t>
            </w:r>
          </w:p>
          <w:p>
            <w:pPr>
              <w:pStyle w:val="Assessortext"/>
            </w:pPr>
            <w:r>
              <w:t>Word-processing software (e.g. Microsoft Word or equivalent)</w:t>
            </w:r>
          </w:p>
        </w:tc>
      </w:tr>
      <w:tr w:rsidR="00ED3590" w:rsidRPr="002F7C81" w14:paraId="6E602484" w14:textId="77777777" w:rsidTr="002D1EB4">
        <w:trPr>
          <w:cantSplit/>
        </w:trPr>
        <w:tc>
          <w:tcPr>
            <w:tcW w:w="2807" w:type="dxa"/>
            <w:tcBorders>
              <w:left w:val="nil"/>
            </w:tcBorders>
            <w:vAlign w:val="center"/>
          </w:tcPr>
          <w:p w14:paraId="075D8A0E" w14:textId="568F9D15" w:rsidR="00ED3590" w:rsidRPr="002A6715" w:rsidRDefault="00CC63F7" w:rsidP="000333FE">
            <w:pPr>
              <w:pStyle w:val="Heading3"/>
            </w:pPr>
            <w:r w:rsidRPr="002A6715">
              <w:t xml:space="preserve">Assessment </w:t>
            </w:r>
            <w:r w:rsidR="002C2E32">
              <w:t>criteria</w:t>
            </w:r>
          </w:p>
        </w:tc>
        <w:tc>
          <w:tcPr>
            <w:tcW w:w="7938" w:type="dxa"/>
            <w:tcBorders>
              <w:right w:val="nil"/>
            </w:tcBorders>
            <w:vAlign w:val="center"/>
          </w:tcPr>
          <w:p w14:paraId="523081B1" w14:textId="77777777" w:rsidR="00ED3590" w:rsidRDefault="00CC63F7" w:rsidP="00C022D4">
            <w:r>
              <w:t>To receive a Satisfactory outcome for this assessment the student must:</w:t>
            </w:r>
          </w:p>
          <w:p>
            <w:pPr/>
            <w:r>
              <w:t>Achieve Satisfactory on every criterion in the Marking Guide below</w:t>
            </w:r>
          </w:p>
          <w:p>
            <w:pPr/>
            <w:r>
              <w:t>Submit the completed workbook (.docx) with every task and question answered</w:t>
            </w:r>
          </w:p>
          <w:p>
            <w:pPr/>
            <w:r>
              <w:t>Attend the Part B session and obtain sign-off</w:t>
            </w:r>
          </w:p>
        </w:tc>
      </w:tr>
      <w:tr w:rsidR="00416D85" w:rsidRPr="002F7C81" w14:paraId="62B19B88" w14:textId="77777777" w:rsidTr="002D1EB4">
        <w:trPr>
          <w:cantSplit/>
        </w:trPr>
        <w:tc>
          <w:tcPr>
            <w:tcW w:w="2807" w:type="dxa"/>
            <w:tcBorders>
              <w:left w:val="nil"/>
            </w:tcBorders>
            <w:vAlign w:val="center"/>
          </w:tcPr>
          <w:p w14:paraId="29D03322" w14:textId="77777777" w:rsidR="00416D85" w:rsidRPr="0029391E" w:rsidRDefault="00416D85" w:rsidP="000333FE">
            <w:pPr>
              <w:pStyle w:val="Heading3"/>
            </w:pPr>
            <w:r w:rsidRPr="0029391E">
              <w:t>Results/Second attempt</w:t>
            </w:r>
          </w:p>
        </w:tc>
        <w:tc>
          <w:tcPr>
            <w:tcW w:w="7938" w:type="dxa"/>
            <w:tcBorders>
              <w:right w:val="nil"/>
            </w:tcBorders>
            <w:vAlign w:val="center"/>
          </w:tcPr>
          <w:p w14:paraId="334677B1" w14:textId="77777777" w:rsidR="00416D85" w:rsidRPr="0029391E" w:rsidRDefault="00416D85" w:rsidP="00C022D4">
            <w:pPr>
              <w:pStyle w:val="Assessortext"/>
            </w:pPr>
            <w:r w:rsidRPr="0029391E">
              <w:t>Insert a statement explaining how and when the student will receive their assessment outcome. e.g. ‘Your result and written feedback will be provided to you via MyLearning within 10 working days of the assessment due date.’</w:t>
            </w:r>
          </w:p>
          <w:p w14:paraId="316AA10F" w14:textId="77777777" w:rsidR="00416D85" w:rsidRPr="0029391E" w:rsidRDefault="00416D85" w:rsidP="00C022D4">
            <w:r w:rsidRPr="0029391E">
              <w:t>If you are deemed not satisfactory for any of the observations, you will be given one (1) more attempt at this assessment (or part thereof) or your teacher/assessor will negotiate a further assessment with you. The second attempt must be completed within 10 working days from the date your feedback is given.</w:t>
            </w:r>
          </w:p>
        </w:tc>
      </w:tr>
      <w:tr w:rsidR="003A316B" w:rsidRPr="002F7C81" w14:paraId="06D1B36B" w14:textId="77777777" w:rsidTr="002D1EB4">
        <w:trPr>
          <w:cantSplit/>
        </w:trPr>
        <w:tc>
          <w:tcPr>
            <w:tcW w:w="2807" w:type="dxa"/>
            <w:tcBorders>
              <w:left w:val="nil"/>
            </w:tcBorders>
            <w:vAlign w:val="center"/>
          </w:tcPr>
          <w:p w14:paraId="12DD0316" w14:textId="0045FAA4" w:rsidR="003A316B" w:rsidRPr="002A6715" w:rsidRDefault="00CE06BC" w:rsidP="000333FE">
            <w:pPr>
              <w:pStyle w:val="Heading3"/>
            </w:pPr>
            <w:r w:rsidRPr="002A6715">
              <w:t>Important information</w:t>
            </w:r>
          </w:p>
        </w:tc>
        <w:tc>
          <w:tcPr>
            <w:tcW w:w="7938" w:type="dxa"/>
            <w:tcBorders>
              <w:right w:val="nil"/>
            </w:tcBorders>
            <w:vAlign w:val="center"/>
          </w:tcPr>
          <w:p w14:paraId="43CC11BF" w14:textId="3DC8E777" w:rsidR="003A316B" w:rsidRPr="002F7C81" w:rsidRDefault="00FD2774" w:rsidP="00C022D4">
            <w:r w:rsidRPr="00FD2774">
              <w:t>You can access further information regarding assessment, including Recognition of Prior Learning, Reasonable Adjustment and Assessment Appeals in the Student handbook which can be found on the MyLearning portal.</w:t>
            </w:r>
          </w:p>
        </w:tc>
      </w:tr>
    </w:tbl>
    <w:p w14:paraId="56F88704" w14:textId="77777777" w:rsidR="00FE5400" w:rsidRPr="00C677AA" w:rsidRDefault="00FE5400" w:rsidP="00FE5400">
      <w:pPr>
        <w:pStyle w:val="NoSpacing"/>
        <w:rPr>
          <w:color w:val="4F81BD" w:themeColor="accent1"/>
        </w:rPr>
      </w:pPr>
    </w:p>
    <w:p w14:paraId="73478A3D" w14:textId="77777777" w:rsidR="00C022D4" w:rsidRPr="00C022D4" w:rsidRDefault="00C022D4" w:rsidP="000333FE">
      <w:pPr>
        <w:pStyle w:val="Assessortext"/>
      </w:pPr>
      <w:r w:rsidRPr="00C022D4">
        <w:t>List the criteria the student will be assessed against for the project assessment.</w:t>
      </w:r>
      <w:r w:rsidRPr="00C022D4">
        <w:br/>
      </w:r>
    </w:p>
    <w:tbl>
      <w:tblPr>
        <w:tblStyle w:val="TableGrid"/>
        <w:tblW w:w="10740" w:type="dxa"/>
        <w:tblCellMar>
          <w:top w:w="57" w:type="dxa"/>
          <w:bottom w:w="57" w:type="dxa"/>
          <w:right w:w="57" w:type="dxa"/>
        </w:tblCellMar>
        <w:tblLook w:val="04A0" w:firstRow="1" w:lastRow="0" w:firstColumn="1" w:lastColumn="0" w:noHBand="0" w:noVBand="1"/>
        <w:tblCaption w:val="Assessment criteria"/>
        <w:tblDescription w:val="Criteria that must be met to be deemed satisfactory for the assessment task."/>
      </w:tblPr>
      <w:tblGrid>
        <w:gridCol w:w="8797"/>
        <w:gridCol w:w="1943"/>
      </w:tblGrid>
      <w:tr w:rsidR="00C022D4" w:rsidRPr="00C022D4" w14:paraId="03046C8F" w14:textId="77777777" w:rsidTr="000333FE">
        <w:trPr>
          <w:tblHeader/>
        </w:trPr>
        <w:tc>
          <w:tcPr>
            <w:tcW w:w="10740" w:type="dxa"/>
            <w:gridSpan w:val="2"/>
            <w:tcBorders>
              <w:top w:val="nil"/>
              <w:left w:val="nil"/>
              <w:bottom w:val="nil"/>
              <w:right w:val="nil"/>
            </w:tcBorders>
            <w:shd w:val="clear" w:color="auto" w:fill="595959" w:themeFill="text1" w:themeFillTint="A6"/>
            <w:vAlign w:val="center"/>
          </w:tcPr>
          <w:p w14:paraId="1A8F3582" w14:textId="77777777" w:rsidR="00C022D4" w:rsidRPr="00C022D4" w:rsidRDefault="00C022D4" w:rsidP="000333FE">
            <w:pPr>
              <w:pStyle w:val="Heading2"/>
              <w:rPr>
                <w:color w:val="365F91" w:themeColor="accent1" w:themeShade="BF"/>
              </w:rPr>
            </w:pPr>
            <w:r w:rsidRPr="00C022D4">
              <w:t>Assessment criteria</w:t>
            </w:r>
          </w:p>
        </w:tc>
      </w:tr>
      <w:tr w:rsidR="00C022D4" w:rsidRPr="00C022D4" w14:paraId="535EF89A" w14:textId="77777777" w:rsidTr="000333FE">
        <w:trPr>
          <w:trHeight w:val="340"/>
        </w:trPr>
        <w:tc>
          <w:tcPr>
            <w:tcW w:w="8797" w:type="dxa"/>
            <w:tcBorders>
              <w:top w:val="nil"/>
              <w:left w:val="nil"/>
            </w:tcBorders>
            <w:vAlign w:val="center"/>
          </w:tcPr>
          <w:p w14:paraId="5BC5637E" w14:textId="77777777" w:rsidR="00C022D4" w:rsidRPr="00C022D4" w:rsidRDefault="00C022D4" w:rsidP="000333FE">
            <w:pPr>
              <w:pStyle w:val="Heading3"/>
            </w:pPr>
            <w:r w:rsidRPr="00C022D4">
              <w:t>Criteria</w:t>
            </w:r>
          </w:p>
        </w:tc>
        <w:tc>
          <w:tcPr>
            <w:tcW w:w="1943" w:type="dxa"/>
            <w:tcBorders>
              <w:top w:val="nil"/>
              <w:right w:val="nil"/>
            </w:tcBorders>
            <w:vAlign w:val="center"/>
          </w:tcPr>
          <w:p w14:paraId="3E86C5CC" w14:textId="77777777" w:rsidR="00C022D4" w:rsidRPr="000333FE" w:rsidRDefault="00C022D4" w:rsidP="000333FE">
            <w:pPr>
              <w:pStyle w:val="Heading3"/>
            </w:pPr>
            <w:r w:rsidRPr="000333FE">
              <w:t>Satisfactory?</w:t>
            </w:r>
          </w:p>
        </w:tc>
      </w:tr>
      <w:tr>
        <w:tc>
          <w:tcPr>
            <w:tcW w:type="dxa" w:w="8797"/>
          </w:tcPr>
          <w:p>
            <w:r>
              <w:t>D1 Architecture reviewed and its business impact evaluated (tasks 1–2) — the student identifies every tier from the supplied records and the deliberate decision each represents, then states the business consequence of each in terms proportionate to an internal, business-hours system rather than as generic risk</w:t>
            </w:r>
          </w:p>
        </w:tc>
        <w:tc>
          <w:tcPr>
            <w:tcW w:type="dxa" w:w="1943"/>
          </w:tcPr>
          <w:p>
            <w:r>
              <w:t>☐ Yes  ☐ No</w:t>
            </w:r>
          </w:p>
        </w:tc>
      </w:tr>
      <w:tr>
        <w:tc>
          <w:tcPr>
            <w:tcW w:type="dxa" w:w="8797"/>
          </w:tcPr>
          <w:p>
            <w:r>
              <w:t>D2 Compliance assessed (task 3) — the student assesses the infrastructure against the supplied regulatory determination, identifies the gaps that actually apply, and proposes infrastructure changes rather than advising on the law</w:t>
            </w:r>
          </w:p>
        </w:tc>
        <w:tc>
          <w:tcPr>
            <w:tcW w:type="dxa" w:w="1943"/>
          </w:tcPr>
          <w:p>
            <w:r>
              <w:t>☐ Yes  ☐ No</w:t>
            </w:r>
          </w:p>
        </w:tc>
      </w:tr>
      <w:tr>
        <w:tc>
          <w:tcPr>
            <w:tcW w:type="dxa" w:w="8797"/>
          </w:tcPr>
          <w:p>
            <w:r>
              <w:t>D3 Options identified and assessed (tasks 4–5) — a genuine range of design patterns with what each addresses, then assessed against how this business actually runs, including that an idle-overnight system changes the value of always-on redundancy</w:t>
            </w:r>
          </w:p>
        </w:tc>
        <w:tc>
          <w:tcPr>
            <w:tcW w:type="dxa" w:w="1943"/>
          </w:tcPr>
          <w:p>
            <w:r>
              <w:t>☐ Yes  ☐ No</w:t>
            </w:r>
          </w:p>
        </w:tc>
      </w:tr>
      <w:tr>
        <w:tc>
          <w:tcPr>
            <w:tcW w:type="dxa" w:w="8797"/>
          </w:tcPr>
          <w:p>
            <w:r>
              <w:t>D4 Business goals set and direction confirmed (tasks 6–7) — a measurable goal in each of the four areas, defensible for this system, and a committed proposal set with its exclusions stated and justified</w:t>
            </w:r>
          </w:p>
        </w:tc>
        <w:tc>
          <w:tcPr>
            <w:tcW w:type="dxa" w:w="1943"/>
          </w:tcPr>
          <w:p>
            <w:r>
              <w:t>☐ Yes  ☐ No</w:t>
            </w:r>
          </w:p>
        </w:tc>
      </w:tr>
      <w:tr>
        <w:tc>
          <w:tcPr>
            <w:tcW w:type="dxa" w:w="8797"/>
          </w:tcPr>
          <w:p>
            <w:r>
              <w:t>D5 Performance metrics confirmed (task 8) — each metric names a real measurable source and a target value, and pairs with a goal, so AT3 can demonstrate against them</w:t>
            </w:r>
          </w:p>
        </w:tc>
        <w:tc>
          <w:tcPr>
            <w:tcW w:type="dxa" w:w="1943"/>
          </w:tcPr>
          <w:p>
            <w:r>
              <w:t>☐ Yes  ☐ No</w:t>
            </w:r>
          </w:p>
        </w:tc>
      </w:tr>
      <w:tr>
        <w:tc>
          <w:tcPr>
            <w:tcW w:type="dxa" w:w="8797"/>
          </w:tcPr>
          <w:p>
            <w:r>
              <w:t>D6 The improvement designed (tasks 9–12) — compute, storage, database and network addressed with decisions and reasons including explicit no-change decisions; security designed in layers, recognising what is already strong; reliability and scalability designed with the failure behaviour stated; and cost and monitoring designed together</w:t>
            </w:r>
          </w:p>
        </w:tc>
        <w:tc>
          <w:tcPr>
            <w:tcW w:type="dxa" w:w="1943"/>
          </w:tcPr>
          <w:p>
            <w:r>
              <w:t>☐ Yes  ☐ No</w:t>
            </w:r>
          </w:p>
        </w:tc>
      </w:tr>
      <w:tr>
        <w:tc>
          <w:tcPr>
            <w:tcW w:type="dxa" w:w="8797"/>
          </w:tcPr>
          <w:p>
            <w:r>
              <w:t>D7 Cost-benefit justification (task 13) — every proposed improvement carries a cost direction and a benefit, and the total is set against the cost goal</w:t>
            </w:r>
          </w:p>
        </w:tc>
        <w:tc>
          <w:tcPr>
            <w:tcW w:type="dxa" w:w="1943"/>
          </w:tcPr>
          <w:p>
            <w:r>
              <w:t>☐ Yes  ☐ No</w:t>
            </w:r>
          </w:p>
        </w:tc>
      </w:tr>
      <w:tr>
        <w:tc>
          <w:tcPr>
            <w:tcW w:type="dxa" w:w="8797"/>
          </w:tcPr>
          <w:p>
            <w:r>
              <w:t>D8 Improved architecture drawn (task 14) — a diagram consistent with the design tables, with both zones and the changed components identifiable</w:t>
            </w:r>
          </w:p>
        </w:tc>
        <w:tc>
          <w:tcPr>
            <w:tcW w:type="dxa" w:w="1943"/>
          </w:tcPr>
          <w:p>
            <w:r>
              <w:t>☐ Yes  ☐ No</w:t>
            </w:r>
          </w:p>
        </w:tc>
      </w:tr>
      <w:tr>
        <w:tc>
          <w:tcPr>
            <w:tcW w:type="dxa" w:w="8797"/>
          </w:tcPr>
          <w:p>
            <w:r>
              <w:t>D9 Design documented and justified (task 15) — a written justification tying each improvement to a business goal, naming rejected alternatives, and arguing the database decision explicitly</w:t>
            </w:r>
          </w:p>
        </w:tc>
        <w:tc>
          <w:tcPr>
            <w:tcW w:type="dxa" w:w="1943"/>
          </w:tcPr>
          <w:p>
            <w:r>
              <w:t>☐ Yes  ☐ No</w:t>
            </w:r>
          </w:p>
        </w:tc>
      </w:tr>
      <w:tr>
        <w:tc>
          <w:tcPr>
            <w:tcW w:type="dxa" w:w="8797"/>
          </w:tcPr>
          <w:p>
            <w:r>
              <w:t>D10 Proposal presented for review (task 17, observed) — the student presents their own proposal to the required person and can explain and defend the reasoning behind it in appropriate industry language</w:t>
            </w:r>
          </w:p>
        </w:tc>
        <w:tc>
          <w:tcPr>
            <w:tcW w:type="dxa" w:w="1943"/>
          </w:tcPr>
          <w:p>
            <w:r>
              <w:t>☐ Yes  ☐ No</w:t>
            </w:r>
          </w:p>
        </w:tc>
      </w:tr>
      <w:tr>
        <w:tc>
          <w:tcPr>
            <w:tcW w:type="dxa" w:w="8797"/>
          </w:tcPr>
          <w:p>
            <w:r>
              <w:t>D11 Sign-off to proceed obtained (task 18) — sign-off recorded with a decision, a name and a date, and the approved scope unambiguous, since it is AT3's input</w:t>
            </w:r>
          </w:p>
        </w:tc>
        <w:tc>
          <w:tcPr>
            <w:tcW w:type="dxa" w:w="1943"/>
          </w:tcPr>
          <w:p>
            <w:r>
              <w:t>☐ Yes  ☐ No</w:t>
            </w:r>
          </w:p>
        </w:tc>
      </w:tr>
      <w:tr>
        <w:tc>
          <w:tcPr>
            <w:tcW w:type="dxa" w:w="8797"/>
          </w:tcPr>
          <w:p>
            <w:r>
              <w:t>D12 Knowledge (questions 1–3) — industry standards and standard products in the student's own design, where object storage is and is not the right answer, and what cloud adoption changed for Enrolline</w:t>
            </w:r>
          </w:p>
        </w:tc>
        <w:tc>
          <w:tcPr>
            <w:tcW w:type="dxa" w:w="1943"/>
          </w:tcPr>
          <w:p>
            <w:r>
              <w:t>☐ Yes  ☐ No</w:t>
            </w:r>
          </w:p>
        </w:tc>
      </w:tr>
    </w:tbl>
    <w:p w14:paraId="3274B3E2" w14:textId="77777777" w:rsidR="00C022D4" w:rsidRPr="00C022D4" w:rsidRDefault="00C022D4" w:rsidP="00C022D4">
      <w:pPr>
        <w:pStyle w:val="Assessortext"/>
      </w:pPr>
    </w:p>
    <w:bookmarkEnd w:id="5"/>
    <w:p w14:paraId="3B5466B7" w14:textId="77777777" w:rsidR="00FA41B0" w:rsidRPr="00FA41B0" w:rsidRDefault="00FA41B0" w:rsidP="00C022D4"/>
    <w:p>
      <w:pPr>
        <w:pStyle w:val="Heading1"/>
      </w:pPr>
      <w:r>
        <w:t>Scenario</w:t>
      </w:r>
    </w:p>
    <w:p>
      <w:pPr>
        <w:spacing w:after="160"/>
      </w:pPr>
      <w:r>
        <w:rPr>
          <w:b w:val="0"/>
          <w:i w:val="0"/>
          <w:sz w:val="21"/>
        </w:rPr>
        <w:t>YAT College's offshore partnership in India has put a spotlight on the systems that support it. Enrolline — YAT's student records and enrolment management system — was migrated to AWS in an earlier engagement and has run there since, but it was migrated as-is: everything sits in one availability zone, and nothing has been revisited since the cutover.</w:t>
      </w:r>
    </w:p>
    <w:p>
      <w:pPr>
        <w:spacing w:after="160"/>
      </w:pPr>
      <w:r>
        <w:rPr>
          <w:b w:val="0"/>
          <w:i w:val="0"/>
          <w:sz w:val="21"/>
        </w:rPr>
        <w:t>Enrolline holds the enrolment record, student identity and USI, results, student fee invoicing and receipting, and the data YAT reports to NCVER. It is staff-facing — admissions, student services, faculty administration and compliance use it, and students hold no accounts. It is not the LMS, which delivers teaching, and it is not Ledgerline, which is the general ledger; Enrolline provisions students into the former and posts fee summaries to the latter.</w:t>
      </w:r>
    </w:p>
    <w:p>
      <w:pPr>
        <w:spacing w:after="160"/>
      </w:pPr>
      <w:r>
        <w:rPr>
          <w:b w:val="0"/>
          <w:i w:val="0"/>
          <w:sz w:val="21"/>
        </w:rPr>
        <w:t>You are an MTS Consultant on this engagement, reporting to Pat Lin (MTS Senior Consultant). Sam Walker (YAT ICT Manager) is your primary stakeholder, with Jess Tran (YAT Registrar) as the business owner of the system.</w:t>
      </w:r>
    </w:p>
    <w:p>
      <w:pPr>
        <w:spacing w:after="160"/>
      </w:pPr>
      <w:r>
        <w:rPr>
          <w:b w:val="0"/>
          <w:i w:val="0"/>
          <w:sz w:val="21"/>
        </w:rPr>
        <w:t>MTS has been engaged to confirm Enrolline is stable, reliable, fit for purpose and compliant with the Indian regulatory requirements that now apply — and to improve it where it is not. What that improvement consists of is your analysis to make.</w:t>
      </w:r>
    </w:p>
    <w:p>
      <w:pPr>
        <w:pStyle w:val="Heading1"/>
      </w:pPr>
      <w:r>
        <w:t>Required resources (assessment conditions)</w:t>
      </w:r>
    </w:p>
    <w:p>
      <w:pPr>
        <w:spacing w:after="120"/>
        <w:ind w:left="340"/>
      </w:pPr>
      <w:r>
        <w:rPr>
          <w:sz w:val="21"/>
        </w:rPr>
        <w:t xml:space="preserve">•  </w:t>
      </w:r>
      <w:hyperlink r:id="rId17">
        <w:r>
          <w:rPr>
            <w:sz w:val="21"/>
            <w:color w:val="0563C1"/>
            <w:u w:val="single"/>
          </w:rPr>
          <w:t>Improvement Requirements — the outcomes IR-1 to IR-7 this engagement is held to</w:t>
        </w:r>
      </w:hyperlink>
    </w:p>
    <w:p>
      <w:pPr>
        <w:spacing w:after="120"/>
        <w:ind w:left="340"/>
      </w:pPr>
      <w:r>
        <w:rPr>
          <w:sz w:val="21"/>
        </w:rPr>
        <w:t xml:space="preserve">•  </w:t>
      </w:r>
      <w:hyperlink r:id="rId18">
        <w:r>
          <w:rPr>
            <w:sz w:val="21"/>
            <w:color w:val="0563C1"/>
            <w:u w:val="single"/>
          </w:rPr>
          <w:t>Indian Regulatory Requirements — the obligations the infrastructure is assessed against</w:t>
        </w:r>
      </w:hyperlink>
    </w:p>
    <w:p>
      <w:pPr>
        <w:spacing w:after="120"/>
        <w:ind w:left="340"/>
      </w:pPr>
      <w:r>
        <w:rPr>
          <w:sz w:val="21"/>
        </w:rPr>
        <w:t xml:space="preserve">•  </w:t>
      </w:r>
      <w:hyperlink r:id="rId19">
        <w:r>
          <w:rPr>
            <w:sz w:val="21"/>
            <w:color w:val="0563C1"/>
            <w:u w:val="single"/>
          </w:rPr>
          <w:t>Enrolline Infrastructure Specifications — the current as-built environment</w:t>
        </w:r>
      </w:hyperlink>
    </w:p>
    <w:p>
      <w:pPr>
        <w:spacing w:after="120"/>
        <w:ind w:left="340"/>
      </w:pPr>
      <w:r>
        <w:rPr>
          <w:sz w:val="21"/>
        </w:rPr>
        <w:t xml:space="preserve">•  </w:t>
      </w:r>
      <w:hyperlink r:id="rId20">
        <w:r>
          <w:rPr>
            <w:sz w:val="21"/>
            <w:color w:val="0563C1"/>
            <w:u w:val="single"/>
          </w:rPr>
          <w:t>Enrolline Application Specification — the workload, its users and its patterns</w:t>
        </w:r>
      </w:hyperlink>
    </w:p>
    <w:p>
      <w:pPr>
        <w:spacing w:after="120"/>
        <w:ind w:left="340"/>
      </w:pPr>
      <w:r>
        <w:rPr>
          <w:sz w:val="21"/>
        </w:rPr>
        <w:t xml:space="preserve">•  </w:t>
      </w:r>
      <w:hyperlink r:id="rId21">
        <w:r>
          <w:rPr>
            <w:sz w:val="21"/>
            <w:color w:val="0563C1"/>
            <w:u w:val="single"/>
          </w:rPr>
          <w:t>Enrolline Operational Costing — what the environment costs to run today</w:t>
        </w:r>
      </w:hyperlink>
    </w:p>
    <w:p>
      <w:pPr>
        <w:spacing w:after="120"/>
        <w:ind w:left="340"/>
      </w:pPr>
      <w:r>
        <w:rPr>
          <w:sz w:val="21"/>
        </w:rPr>
        <w:t xml:space="preserve">•  </w:t>
      </w:r>
      <w:hyperlink r:id="rId22">
        <w:r>
          <w:rPr>
            <w:sz w:val="21"/>
            <w:color w:val="0563C1"/>
            <w:u w:val="single"/>
          </w:rPr>
          <w:t>Engagement Role Brief — your role, and what is in and out of scope for MTS</w:t>
        </w:r>
      </w:hyperlink>
    </w:p>
    <w:p>
      <w:pPr>
        <w:spacing w:after="160"/>
      </w:pPr>
      <w:r>
        <w:rPr>
          <w:b w:val="0"/>
          <w:i/>
          <w:color w:val="6B6660"/>
          <w:sz w:val="19"/>
        </w:rPr>
        <w:t>Everything this part needs is on the YAT intranet. Your assessor will tell you the current address of the site.</w:t>
      </w:r>
    </w:p>
    <w:p>
      <w:pPr>
        <w:pStyle w:val="Heading1"/>
      </w:pPr>
      <w:r>
        <w:t>Instructions to Student</w:t>
      </w:r>
    </w:p>
    <w:p>
      <w:pPr>
        <w:spacing w:after="160"/>
      </w:pPr>
      <w:r>
        <w:rPr>
          <w:b w:val="0"/>
          <w:i w:val="0"/>
          <w:sz w:val="21"/>
        </w:rPr>
        <w:t>This is an open-book assessment. You may use the YAT intranet, AWS documentation, and anything you have from class. What you may not use is another student.</w:t>
      </w:r>
    </w:p>
    <w:p>
      <w:pPr>
        <w:spacing w:after="160"/>
      </w:pPr>
      <w:r>
        <w:rPr>
          <w:b w:val="0"/>
          <w:i w:val="0"/>
          <w:sz w:val="21"/>
        </w:rPr>
        <w:t>Work the tasks in order — each builds on the answer before it. They tell you what to decide; they do not tell you what to decide it to.</w:t>
      </w:r>
    </w:p>
    <w:p>
      <w:pPr>
        <w:spacing w:after="160"/>
      </w:pPr>
      <w:r>
        <w:rPr>
          <w:b w:val="0"/>
          <w:i w:val="0"/>
          <w:sz w:val="21"/>
        </w:rPr>
        <w:t>There is no right answer waiting to be found. The Improvement Requirements are outcomes, not solutions, and IR-2 asks for improvements proportionate to what this system actually is. Proposing every improvement available is not a better answer than proposing three you can justify — it is a worse one.</w:t>
      </w:r>
    </w:p>
    <w:p>
      <w:pPr>
        <w:spacing w:after="160"/>
      </w:pPr>
      <w:r>
        <w:rPr>
          <w:b w:val="0"/>
          <w:i w:val="0"/>
          <w:sz w:val="21"/>
        </w:rPr>
        <w:t>Be careful what you take 'proportionate' to mean here. Enrolline is a staff-facing system that is idle overnight and quiet for most of the year — and for about six weeks of it, during the intake enrolment windows and census processing, the business cannot function without it and the deadlines are fixed outside YAT's control. Both of those are true at once. An answer that sizes the whole year to the quiet weeks, and an answer that sizes it to the busy ones, can each be defended; what cannot be defended is not noticing the difference.</w:t>
      </w:r>
    </w:p>
    <w:p>
      <w:pPr>
        <w:spacing w:after="160"/>
      </w:pPr>
      <w:r>
        <w:rPr>
          <w:b w:val="0"/>
          <w:i w:val="0"/>
          <w:sz w:val="21"/>
        </w:rPr>
        <w:t>Every improvement you propose must carry a cost-versus-benefit justification (IR-6). An improvement with no cost stated is not a proposal, it is a wish.</w:t>
      </w:r>
    </w:p>
    <w:p>
      <w:pPr>
        <w:spacing w:after="160"/>
      </w:pPr>
      <w:r>
        <w:rPr>
          <w:b w:val="0"/>
          <w:i w:val="0"/>
          <w:sz w:val="21"/>
        </w:rPr>
        <w:t>This part is analysis and design only. You are not deploying anything — AT3 deploys the improvement YAT approves.</w:t>
      </w:r>
    </w:p>
    <w:p>
      <w:pPr>
        <w:pStyle w:val="Heading1"/>
      </w:pPr>
      <w:r>
        <w:t>Part A — Analysis and design</w:t>
      </w:r>
    </w:p>
    <w:p>
      <w:pPr>
        <w:pStyle w:val="Heading2"/>
      </w:pPr>
      <w:r>
        <w:rPr>
          <w:color w:val="1F5A5C"/>
        </w:rPr>
        <w:t>The environment you are improving</w:t>
      </w:r>
    </w:p>
    <w:p>
      <w:pPr>
        <w:spacing w:after="120"/>
      </w:pPr>
      <w:r>
        <w:rPr>
          <w:b w:val="0"/>
          <w:i w:val="0"/>
          <w:sz w:val="21"/>
        </w:rPr>
        <w:t>This is the environment you are improving. It is what the migration built and handed over. Read it before you answer anything — several tasks below turn on noticing what is already there, and on not proposing to rebuild what already works.</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Region</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ap-southeast-2 (Sydney), with the whole workload in a single availability zone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Workload</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Enrolline Student Management Suite — applications and offers, enrolment, student identity and USI verification, results, student fee invoicing and receipting, and AVETMISS compliance reporting. Staff-facing back-office system; students hold no accounts and submit applications through the public website.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Access path</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reached through the load balancer over HTTP. A production front door for a student-records system would sit behind TLS and restricted ingress; this baseline stops short of that.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Application tier</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Amazon Linux on general-purpose burstable instances, in an Auto Scaling group with min 1 / desired 1 / max 2, in enrolline-app-a only; target tracking on CPU at 70%</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Load balancing</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Application Load Balancer across enrolline-public-a and -b (a load balancer requires two zones), HTTP :80 to enrolline-tg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Database</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Amazon RDS for PostgreSQL, single-AZ with no standby, gp3 20 GB, encrypted, 7-day backup retention, in enrolline-data-a</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Storage</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block storage for the instance root volume and the database, plus an Amazon S3 document store (yat-enrolline-documents) holding scanned student attachments — ID evidence, prior qualifications, USI evidence, support plans. ~26 GB, growing ~6 GB a year, versioned, encrypted, public access blocked, and no lifecycle configuration. Reached through the NAT gateway; there is no S3 VPC endpoint.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Network</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enrolline-vpc 10.30.0.0/16; public-a/-b, app-a, data-a/-b; a single NAT gateway in enrolline-public-a. No VPC endpoints. No flow logs, no load-balancer access logs and no S3 access logging are configured.</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Security groups</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enrolline-alb-sg  HTTP 80 from anywhere  ·  enrolline-app-sg  from the load balancer group  ·  enrolline-db-sg  PostgreSQL 5432 from the app group only</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Monitoring</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two alarms — enrolline-unhealthy-hosts (any unhealthy target) and enrolline-db-storage-low (free storage below 15%)</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Usage</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business hours only, Monday to Friday, roughly 08:00–18:00; effectively idle overnight and at weekends. Out of intake it carries 25–40 concurrent users. During an intake enrolment window — the first three weeks of February and of July — that rises to 90–110 and stays there; census processing about four weeks later is a second, shorter spike. The application tier is provisioned for that peak and held at that size all year.</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Target availability</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99.5% business-hours service; the Registrar expects 99.9% during an intake enrolment window, because enrolment and census dates are fixed externally and work missed inside the window cannot be made up later</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Administrative access</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Systems Manager Session Manager — no key pair, no open management port, no bastion host</w:t>
            </w:r>
          </w:p>
        </w:tc>
      </w:tr>
    </w:tbl>
    <w:p/>
    <w:p>
      <w:pPr>
        <w:spacing w:after="80"/>
      </w:pPr>
      <w:r>
        <w:rPr>
          <w:sz w:val="21"/>
        </w:rPr>
        <w:t xml:space="preserve">•  </w:t>
      </w:r>
      <w:hyperlink r:id="rId23">
        <w:r>
          <w:rPr>
            <w:sz w:val="21"/>
            <w:color w:val="0563C1"/>
            <w:u w:val="single"/>
          </w:rPr>
          <w:t>Enrolline Network Diagram — the environment you are improving, drawn out</w:t>
        </w:r>
      </w:hyperlink>
    </w:p>
    <w:p>
      <w:pPr>
        <w:spacing w:after="80"/>
      </w:pPr>
      <w:r>
        <w:rPr>
          <w:sz w:val="21"/>
        </w:rPr>
        <w:t xml:space="preserve">•  </w:t>
      </w:r>
      <w:hyperlink r:id="rId24">
        <w:r>
          <w:rPr>
            <w:sz w:val="21"/>
            <w:color w:val="0563C1"/>
            <w:u w:val="single"/>
          </w:rPr>
          <w:t>Network Diagram — the wider YAT environment Enrolline sits in, including the campus it connects back to</w:t>
        </w:r>
      </w:hyperlink>
    </w:p>
    <w:p>
      <w:pPr>
        <w:spacing w:after="120"/>
      </w:pPr>
      <w:r>
        <w:rPr>
          <w:b w:val="0"/>
          <w:i/>
          <w:color w:val="6B6660"/>
          <w:sz w:val="19"/>
        </w:rPr>
        <w:t>Your work is the cloud infrastructure. The Enrolline application and its student data are out of scope (IR-4) — the application continues to run unchanged, and no student record may be lost or altered. Student and assessment records carry a thirty-year retention obligation and are the evidence that a qualification was legitimately issued.</w:t>
      </w:r>
    </w:p>
    <w:p>
      <w:pPr>
        <w:spacing w:before="80" w:after="160"/>
        <w:ind w:left="227"/>
      </w:pPr>
      <w:r>
        <w:rPr>
          <w:b/>
          <w:color w:val="C5613B"/>
          <w:sz w:val="19"/>
        </w:rPr>
        <w:t xml:space="preserve">Environment constraint </w:t>
      </w:r>
      <w:r>
        <w:rPr>
          <w:i/>
          <w:color w:val="C5613B"/>
          <w:sz w:val="19"/>
        </w:rPr>
        <w:t>Instance and database classes throughout this environment are sized to what will actually launch in an AWS Academy Learner Lab, which caps what is available. Enrolline's real intake-window load would warrant considerably larger. Reason about sizing as you would at full scale — the reasoning is what is assessed, not the vCPU count.</w:t>
      </w:r>
    </w:p>
    <w:p>
      <w:pPr>
        <w:spacing w:before="200" w:after="0"/>
      </w:pPr>
      <w:r>
        <w:rPr>
          <w:b/>
          <w:color w:val="1F5A5C"/>
          <w:sz w:val="16"/>
        </w:rPr>
        <w:t>TASK 1</w:t>
      </w:r>
    </w:p>
    <w:p>
      <w:pPr>
        <w:pStyle w:val="Heading2"/>
      </w:pPr>
      <w:r>
        <w:rPr>
          <w:color w:val="1F5A5C"/>
        </w:rPr>
        <w:t>Review the current architecture</w:t>
      </w:r>
    </w:p>
    <w:p>
      <w:pPr>
        <w:spacing w:after="120"/>
      </w:pPr>
      <w:r>
        <w:rPr>
          <w:b w:val="0"/>
          <w:i w:val="0"/>
          <w:sz w:val="21"/>
        </w:rPr>
        <w:t>Identify and review the architecture as it stands. Go tier by tier and record what is there, how it is configured, and what design decision it represents. You are not judging it yet — this task is establishing what you are looking at.</w:t>
      </w:r>
    </w:p>
    <w:p>
      <w:pPr>
        <w:spacing w:after="60"/>
      </w:pPr>
      <w:r>
        <w:rPr>
          <w:b/>
          <w:i w:val="0"/>
          <w:sz w:val="19"/>
        </w:rPr>
        <w:t>Related resources</w:t>
      </w:r>
    </w:p>
    <w:p>
      <w:pPr>
        <w:spacing w:after="60"/>
        <w:ind w:left="340"/>
      </w:pPr>
      <w:r>
        <w:rPr>
          <w:sz w:val="19"/>
        </w:rPr>
        <w:t xml:space="preserve">•  </w:t>
      </w:r>
      <w:hyperlink r:id="rId19">
        <w:r>
          <w:rPr>
            <w:sz w:val="19"/>
            <w:color w:val="0563C1"/>
            <w:u w:val="single"/>
          </w:rPr>
          <w:t>Enrolline Infrastructure Specifications — the environment tier by tier</w:t>
        </w:r>
      </w:hyperlink>
    </w:p>
    <w:p>
      <w:pPr>
        <w:spacing w:after="60"/>
        <w:ind w:left="340"/>
      </w:pPr>
      <w:r>
        <w:rPr>
          <w:sz w:val="19"/>
        </w:rPr>
        <w:t xml:space="preserve">•  </w:t>
      </w:r>
      <w:hyperlink r:id="rId25">
        <w:r>
          <w:rPr>
            <w:sz w:val="19"/>
            <w:color w:val="0563C1"/>
            <w:u w:val="single"/>
          </w:rPr>
          <w:t>Enrolline Cloud Architecture — Baseline Design — how it was designed at migration, and why</w:t>
        </w:r>
      </w:hyperlink>
    </w:p>
    <w:p>
      <w:pPr>
        <w:spacing w:after="60"/>
        <w:ind w:left="340"/>
      </w:pPr>
      <w:r>
        <w:rPr>
          <w:sz w:val="19"/>
        </w:rPr>
        <w:t xml:space="preserve">•  </w:t>
      </w:r>
      <w:hyperlink r:id="rId24">
        <w:r>
          <w:rPr>
            <w:sz w:val="19"/>
            <w:color w:val="0563C1"/>
            <w:u w:val="single"/>
          </w:rPr>
          <w:t>Network Diagram — the environment drawn out</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Tier</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is there</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The design decision it represents</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Application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Load balancing</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Database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Network</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Access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Storage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Monitoring</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2</w:t>
      </w:r>
    </w:p>
    <w:p>
      <w:pPr>
        <w:pStyle w:val="Heading2"/>
      </w:pPr>
      <w:r>
        <w:rPr>
          <w:color w:val="1F5A5C"/>
        </w:rPr>
        <w:t>Evaluate the architecture and identify the business impact</w:t>
      </w:r>
    </w:p>
    <w:p>
      <w:pPr>
        <w:spacing w:after="120"/>
      </w:pPr>
      <w:r>
        <w:rPr>
          <w:b w:val="0"/>
          <w:i w:val="0"/>
          <w:sz w:val="21"/>
        </w:rPr>
        <w:t>Now evaluate it. For each design decision from task 1, say what it means for the business — not what it means technically. 'Single availability zone' is a fact; 'a zone failure stops enrolment processing and students cannot be enrolled before census' is a business impact.</w:t>
      </w:r>
    </w:p>
    <w:p>
      <w:pPr>
        <w:spacing w:after="60"/>
      </w:pPr>
      <w:r>
        <w:rPr>
          <w:b/>
          <w:i w:val="0"/>
          <w:sz w:val="19"/>
        </w:rPr>
        <w:t>Related resources</w:t>
      </w:r>
    </w:p>
    <w:p>
      <w:pPr>
        <w:spacing w:after="60"/>
        <w:ind w:left="340"/>
      </w:pPr>
      <w:r>
        <w:rPr>
          <w:sz w:val="19"/>
        </w:rPr>
        <w:t xml:space="preserve">•  </w:t>
      </w:r>
      <w:hyperlink r:id="rId20">
        <w:r>
          <w:rPr>
            <w:sz w:val="19"/>
            <w:color w:val="0563C1"/>
            <w:u w:val="single"/>
          </w:rPr>
          <w:t>Enrolline Application Specification — who uses it, when, and how heavily</w:t>
        </w:r>
      </w:hyperlink>
    </w:p>
    <w:p>
      <w:pPr>
        <w:spacing w:after="60"/>
        <w:ind w:left="340"/>
      </w:pPr>
      <w:r>
        <w:rPr>
          <w:sz w:val="19"/>
        </w:rPr>
        <w:t xml:space="preserve">•  </w:t>
      </w:r>
      <w:hyperlink r:id="rId17">
        <w:r>
          <w:rPr>
            <w:sz w:val="19"/>
            <w:color w:val="0563C1"/>
            <w:u w:val="single"/>
          </w:rPr>
          <w:t>Improvement Requirements — the outcomes the current state is judged against</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Design decision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Business impact if it fails or falls short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How serious</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Single availability zone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Single application instance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Single-AZ database with 7-day backups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Single NAT gateway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HTTP only, no TLS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Two alarms only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3</w:t>
      </w:r>
    </w:p>
    <w:p>
      <w:pPr>
        <w:pStyle w:val="Heading2"/>
      </w:pPr>
      <w:r>
        <w:rPr>
          <w:color w:val="1F5A5C"/>
        </w:rPr>
        <w:t>Assess compliance against the Indian regulatory requirements</w:t>
      </w:r>
    </w:p>
    <w:p>
      <w:pPr>
        <w:spacing w:after="120"/>
      </w:pPr>
      <w:r>
        <w:rPr>
          <w:b w:val="0"/>
          <w:i w:val="0"/>
          <w:sz w:val="21"/>
        </w:rPr>
        <w:t>Assess the current infrastructure against the Indian Regulatory Requirements that now apply to the India-campus operation. Identify any gaps, and say what infrastructure change would close each one. You are designing to the compliance area's determination — you are not interpreting the law.</w:t>
      </w:r>
    </w:p>
    <w:p>
      <w:pPr>
        <w:spacing w:after="60"/>
      </w:pPr>
      <w:r>
        <w:rPr>
          <w:b/>
          <w:i w:val="0"/>
          <w:sz w:val="19"/>
        </w:rPr>
        <w:t>Related resources</w:t>
      </w:r>
    </w:p>
    <w:p>
      <w:pPr>
        <w:spacing w:after="60"/>
        <w:ind w:left="340"/>
      </w:pPr>
      <w:r>
        <w:rPr>
          <w:sz w:val="19"/>
        </w:rPr>
        <w:t xml:space="preserve">•  </w:t>
      </w:r>
      <w:hyperlink r:id="rId18">
        <w:r>
          <w:rPr>
            <w:sz w:val="19"/>
            <w:color w:val="0563C1"/>
            <w:u w:val="single"/>
          </w:rPr>
          <w:t>Indian Regulatory Requirements — the applicable instruments and what they oblige</w:t>
        </w:r>
      </w:hyperlink>
    </w:p>
    <w:p>
      <w:pPr>
        <w:spacing w:after="60"/>
        <w:ind w:left="340"/>
      </w:pPr>
      <w:r>
        <w:rPr>
          <w:sz w:val="19"/>
        </w:rPr>
        <w:t xml:space="preserve">•  </w:t>
      </w:r>
      <w:hyperlink r:id="rId26">
        <w:r>
          <w:rPr>
            <w:sz w:val="19"/>
            <w:color w:val="0563C1"/>
            <w:u w:val="single"/>
          </w:rPr>
          <w:t>Privacy / Data Handling Policy — YAT's own obligations for the data held here</w:t>
        </w:r>
      </w:hyperlink>
    </w:p>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Requirement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Current position</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Gap</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Infrastructure change that closes it</w:t>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Log retention in-jurisdiction</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Retrievability for incident reporting</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Data handling and security safeguards</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4</w:t>
      </w:r>
    </w:p>
    <w:p>
      <w:pPr>
        <w:pStyle w:val="Heading2"/>
      </w:pPr>
      <w:r>
        <w:rPr>
          <w:color w:val="1F5A5C"/>
        </w:rPr>
        <w:t>Identify design patterns and architectural options</w:t>
      </w:r>
    </w:p>
    <w:p>
      <w:pPr>
        <w:spacing w:after="120"/>
      </w:pPr>
      <w:r>
        <w:rPr>
          <w:b w:val="0"/>
          <w:i w:val="0"/>
          <w:sz w:val="21"/>
        </w:rPr>
        <w:t>Identify the design patterns and architectural options available to address what you found in tasks 2 and 3. You are building the menu here, not choosing from it — include options you will later reject, because rejecting an option with a reason is part of the design.</w:t>
      </w:r>
    </w:p>
    <w:p>
      <w:pPr>
        <w:spacing w:after="60"/>
      </w:pPr>
      <w:r>
        <w:rPr>
          <w:b/>
          <w:i w:val="0"/>
          <w:sz w:val="19"/>
        </w:rPr>
        <w:t>Related resources</w:t>
      </w:r>
    </w:p>
    <w:p>
      <w:pPr>
        <w:spacing w:after="60"/>
        <w:ind w:left="340"/>
      </w:pPr>
      <w:r>
        <w:rPr>
          <w:sz w:val="19"/>
        </w:rPr>
        <w:t xml:space="preserve">•  </w:t>
      </w:r>
      <w:hyperlink r:id="rId27">
        <w:r>
          <w:rPr>
            <w:sz w:val="19"/>
            <w:color w:val="0563C1"/>
            <w:u w:val="single"/>
          </w:rPr>
          <w:t>Reference Architectures — the patterns YAT's architects work from</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Pattern or option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addresses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Where it would apply here</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Multi-AZ application tier</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Managed database failover standby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Automated backup and tested restore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Redundant outbound path</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Transport encryption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Infrastructure as code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Broader monitoring and alerting</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5</w:t>
      </w:r>
    </w:p>
    <w:p>
      <w:pPr>
        <w:pStyle w:val="Heading2"/>
      </w:pPr>
      <w:r>
        <w:rPr>
          <w:color w:val="1F5A5C"/>
        </w:rPr>
        <w:t>Assess the benefits against the current business model</w:t>
      </w:r>
    </w:p>
    <w:p>
      <w:pPr>
        <w:spacing w:after="120"/>
      </w:pPr>
      <w:r>
        <w:rPr>
          <w:b w:val="0"/>
          <w:i w:val="0"/>
          <w:sz w:val="21"/>
        </w:rPr>
        <w:t>Determine and assess what the options from task 4 actually give YAT, against the way this business runs. Enrolline is used by admissions, student services and faculty administration during business hours and is idle the rest of the time — and its load is concentrated into two intake windows a year. That shapes what an improvement is worth. Say what each option costs and what it buys.</w:t>
      </w:r>
    </w:p>
    <w:p>
      <w:pPr>
        <w:spacing w:after="60"/>
      </w:pPr>
      <w:r>
        <w:rPr>
          <w:b/>
          <w:i w:val="0"/>
          <w:sz w:val="19"/>
        </w:rPr>
        <w:t>Related resources</w:t>
      </w:r>
    </w:p>
    <w:p>
      <w:pPr>
        <w:spacing w:after="60"/>
        <w:ind w:left="340"/>
      </w:pPr>
      <w:r>
        <w:rPr>
          <w:sz w:val="19"/>
        </w:rPr>
        <w:t xml:space="preserve">•  </w:t>
      </w:r>
      <w:hyperlink r:id="rId21">
        <w:r>
          <w:rPr>
            <w:sz w:val="19"/>
            <w:color w:val="0563C1"/>
            <w:u w:val="single"/>
          </w:rPr>
          <w:t>Enrolline Operational Costing — what this environment costs today</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Option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costs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buys, for this business</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Multi-AZ application tier</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Database standby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Automated backup and tested restore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NAT gateway per zone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TLS at the load balancer</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Infrastructure as code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6</w:t>
      </w:r>
    </w:p>
    <w:p>
      <w:pPr>
        <w:pStyle w:val="Heading2"/>
      </w:pPr>
      <w:r>
        <w:rPr>
          <w:color w:val="1F5A5C"/>
        </w:rPr>
        <w:t>Set the business goals</w:t>
      </w:r>
    </w:p>
    <w:p>
      <w:pPr>
        <w:spacing w:after="120"/>
      </w:pPr>
      <w:r>
        <w:rPr>
          <w:b w:val="0"/>
          <w:i w:val="0"/>
          <w:sz w:val="21"/>
        </w:rPr>
        <w:t>Set the business goals this improvement is aiming at, across security, reliability, performance and cost. These are yours to determine — the Improvement Requirements give outcomes, not numbers. Make each one measurable, because in AT3 someone has to demonstrate whether it was met.</w:t>
      </w:r>
    </w:p>
    <w:p>
      <w:pPr>
        <w:spacing w:after="60"/>
      </w:pPr>
      <w:r>
        <w:rPr>
          <w:b/>
          <w:i w:val="0"/>
          <w:sz w:val="19"/>
        </w:rPr>
        <w:t>Related resources</w:t>
      </w:r>
    </w:p>
    <w:p>
      <w:pPr>
        <w:spacing w:after="60"/>
        <w:ind w:left="340"/>
      </w:pPr>
      <w:r>
        <w:rPr>
          <w:sz w:val="19"/>
        </w:rPr>
        <w:t xml:space="preserve">•  </w:t>
      </w:r>
      <w:hyperlink r:id="rId17">
        <w:r>
          <w:rPr>
            <w:sz w:val="19"/>
            <w:color w:val="0563C1"/>
            <w:u w:val="single"/>
          </w:rPr>
          <w:t>Improvement Requirements — IR-1 to IR-7, the outcomes these goals must serve</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Area</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Business goal</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 this level, for this system</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Reliability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Recovery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Security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Cost</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Performance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7</w:t>
      </w:r>
    </w:p>
    <w:p>
      <w:pPr>
        <w:pStyle w:val="Heading2"/>
      </w:pPr>
      <w:r>
        <w:rPr>
          <w:color w:val="1F5A5C"/>
        </w:rPr>
        <w:t>Confirm your design decisions against business needs</w:t>
      </w:r>
    </w:p>
    <w:p>
      <w:pPr>
        <w:spacing w:after="120"/>
      </w:pPr>
      <w:r>
        <w:rPr>
          <w:b w:val="0"/>
          <w:i w:val="0"/>
          <w:sz w:val="21"/>
        </w:rPr>
        <w:t>Before you design in detail, confirm the direction. State the improvements you are going to propose, and for each name the business need from task 6 it serves and the option from task 4 you chose. Just as importantly, state what you are NOT proposing and why — that is where IR-2 is actually assessed.</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Proposing / not proposing</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Improvement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The business need it serves</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Proposing</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Proposing</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Proposing</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Proposing</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Decide and justify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Not proposing</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Not proposing</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8</w:t>
      </w:r>
    </w:p>
    <w:p>
      <w:pPr>
        <w:pStyle w:val="Heading2"/>
      </w:pPr>
      <w:r>
        <w:rPr>
          <w:color w:val="1F5A5C"/>
        </w:rPr>
        <w:t>Evaluate and confirm the performance metrics</w:t>
      </w:r>
    </w:p>
    <w:p>
      <w:pPr>
        <w:spacing w:after="120"/>
      </w:pPr>
      <w:r>
        <w:rPr>
          <w:b w:val="0"/>
          <w:i w:val="0"/>
          <w:sz w:val="21"/>
        </w:rPr>
        <w:t>Confirm the metrics that will show whether the goals in task 6 were achieved. For each, say what is measured, where the measurement comes from, and what value counts as meeting the goal. In AT3 someone deploys this and has to demonstrate it against these metrics — write them so that is possible.</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Goal</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Metric</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Where it is measured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Target value</w:t>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Availability</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Availability</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Recovery</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Recovery</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Security</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Cost</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9</w:t>
      </w:r>
    </w:p>
    <w:p>
      <w:pPr>
        <w:pStyle w:val="Heading2"/>
      </w:pPr>
      <w:r>
        <w:rPr>
          <w:color w:val="1F5A5C"/>
        </w:rPr>
        <w:t>Design — compute, storage, database and network</w:t>
      </w:r>
    </w:p>
    <w:p>
      <w:pPr>
        <w:spacing w:after="120"/>
      </w:pPr>
      <w:r>
        <w:rPr>
          <w:b w:val="0"/>
          <w:i w:val="0"/>
          <w:sz w:val="21"/>
        </w:rPr>
        <w:t>Select and design the improvements to the resources themselves. Go tier by tier and say what changes, what stays, and why. Where you are leaving something alone, say so explicitly — an unmentioned tier reads as an oversight rather than a decision.</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Resource</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design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Compute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Load balancer</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Database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Storage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Network</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Subnets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10</w:t>
      </w:r>
    </w:p>
    <w:p>
      <w:pPr>
        <w:pStyle w:val="Heading2"/>
      </w:pPr>
      <w:r>
        <w:rPr>
          <w:color w:val="1F5A5C"/>
        </w:rPr>
        <w:t>Design — security improvements</w:t>
      </w:r>
    </w:p>
    <w:p>
      <w:pPr>
        <w:spacing w:after="120"/>
      </w:pPr>
      <w:r>
        <w:rPr>
          <w:b w:val="0"/>
          <w:i w:val="0"/>
          <w:sz w:val="21"/>
        </w:rPr>
        <w:t>Review the security of the environment and design the improvements you judge necessary. Note what is already strong — this environment has some genuinely good decisions in it — and improve what is not.</w:t>
      </w:r>
    </w:p>
    <w:p>
      <w:pPr>
        <w:spacing w:after="60"/>
      </w:pPr>
      <w:r>
        <w:rPr>
          <w:b/>
          <w:i w:val="0"/>
          <w:sz w:val="19"/>
        </w:rPr>
        <w:t>Related resources</w:t>
      </w:r>
    </w:p>
    <w:p>
      <w:pPr>
        <w:spacing w:after="60"/>
        <w:ind w:left="340"/>
      </w:pPr>
      <w:r>
        <w:rPr>
          <w:sz w:val="19"/>
        </w:rPr>
        <w:t xml:space="preserve">•  </w:t>
      </w:r>
      <w:hyperlink r:id="rId28">
        <w:r>
          <w:rPr>
            <w:sz w:val="19"/>
            <w:color w:val="0563C1"/>
            <w:u w:val="single"/>
          </w:rPr>
          <w:t>Security &amp; Incident Response Policy — YAT's security obligations</w:t>
        </w:r>
      </w:hyperlink>
    </w:p>
    <w:p>
      <w:pPr>
        <w:spacing w:after="60"/>
        <w:ind w:left="340"/>
      </w:pPr>
      <w:r>
        <w:rPr>
          <w:sz w:val="19"/>
        </w:rPr>
        <w:t xml:space="preserve">•  </w:t>
      </w:r>
      <w:hyperlink r:id="rId29">
        <w:r>
          <w:rPr>
            <w:sz w:val="19"/>
            <w:color w:val="0563C1"/>
            <w:u w:val="single"/>
          </w:rPr>
          <w:t>User Access Policy — access control requirements</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Layer</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Current position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design</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Network</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Transport</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Identity and admin access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Data at rest</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Security groups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Detection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11</w:t>
      </w:r>
    </w:p>
    <w:p>
      <w:pPr>
        <w:pStyle w:val="Heading2"/>
      </w:pPr>
      <w:r>
        <w:rPr>
          <w:color w:val="1F5A5C"/>
        </w:rPr>
        <w:t>Design — reliability and scalability improvements</w:t>
      </w:r>
    </w:p>
    <w:p>
      <w:pPr>
        <w:spacing w:after="120"/>
      </w:pPr>
      <w:r>
        <w:rPr>
          <w:b w:val="0"/>
          <w:i w:val="0"/>
          <w:sz w:val="21"/>
        </w:rPr>
        <w:t>Design the reliability and scalability improvements in detail. This is where your database decision from task 7 gets designed out properly — say exactly what you are doing and what recovery behaviour it produces. Be specific about what happens when each component fails.</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Component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design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now happens when it fails</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Application instance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Availability zone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Database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NAT gateway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Load balancer</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Scalability at intake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12</w:t>
      </w:r>
    </w:p>
    <w:p>
      <w:pPr>
        <w:pStyle w:val="Heading2"/>
      </w:pPr>
      <w:r>
        <w:rPr>
          <w:color w:val="1F5A5C"/>
        </w:rPr>
        <w:t>Design — cost optimisation and monitoring</w:t>
      </w:r>
    </w:p>
    <w:p>
      <w:pPr>
        <w:spacing w:after="120"/>
      </w:pPr>
      <w:r>
        <w:rPr>
          <w:b w:val="0"/>
          <w:i w:val="0"/>
          <w:sz w:val="21"/>
        </w:rPr>
        <w:t>Two things that pull in opposite directions. Say how you are keeping the cost of your improvements proportionate, and design the monitoring that will let AT3 demonstrate the goals from task 6 were actually met. A goal nobody can measure is not a goal.</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Item</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design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Cost — scaling profile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Cost — right-sizing</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Cost — the database decision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Monitoring — availability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Monitoring — recovery readiness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Monitoring — cost</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13</w:t>
      </w:r>
    </w:p>
    <w:p>
      <w:pPr>
        <w:pStyle w:val="Heading2"/>
      </w:pPr>
      <w:r>
        <w:rPr>
          <w:color w:val="1F5A5C"/>
        </w:rPr>
        <w:t>Cost-benefit justification</w:t>
      </w:r>
    </w:p>
    <w:p>
      <w:pPr>
        <w:spacing w:after="120"/>
      </w:pPr>
      <w:r>
        <w:rPr>
          <w:b w:val="0"/>
          <w:i w:val="0"/>
          <w:sz w:val="21"/>
        </w:rPr>
        <w:t>IR-6 requires every improvement to be justified on cost versus benefit, with its ongoing operating-cost impact made explicit. Do that for each improvement you are proposing. Order does not matter, but nothing may be missing — an improvement without a line here is one YAT cannot approve.</w:t>
      </w:r>
    </w:p>
    <w:p>
      <w:pPr>
        <w:spacing w:after="60"/>
      </w:pPr>
      <w:r>
        <w:rPr>
          <w:b/>
          <w:i w:val="0"/>
          <w:sz w:val="19"/>
        </w:rPr>
        <w:t>Related resources</w:t>
      </w:r>
    </w:p>
    <w:p>
      <w:pPr>
        <w:spacing w:after="60"/>
        <w:ind w:left="340"/>
      </w:pPr>
      <w:r>
        <w:rPr>
          <w:sz w:val="19"/>
        </w:rPr>
        <w:t xml:space="preserve">•  </w:t>
      </w:r>
      <w:hyperlink r:id="rId21">
        <w:r>
          <w:rPr>
            <w:sz w:val="19"/>
            <w:color w:val="0563C1"/>
            <w:u w:val="single"/>
          </w:rPr>
          <w:t>Enrolline Operational Costing — the current run cost, and the basis for your comparison</w:t>
        </w:r>
      </w:hyperlink>
    </w:p>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Improvement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Ongoing cost impact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Benefit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Justified because</w:t>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Second application instance</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Second NAT gateway</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TLS listener</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The database decision</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Scheduled scale-down</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Infrastructure as code</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Extended monitoring</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14</w:t>
      </w:r>
    </w:p>
    <w:p>
      <w:pPr>
        <w:pStyle w:val="Heading2"/>
      </w:pPr>
      <w:r>
        <w:rPr>
          <w:color w:val="1F5A5C"/>
        </w:rPr>
        <w:t>Draw the improved architecture</w:t>
      </w:r>
    </w:p>
    <w:p>
      <w:pPr>
        <w:spacing w:after="120"/>
      </w:pPr>
      <w:r>
        <w:rPr>
          <w:b w:val="0"/>
          <w:i w:val="0"/>
          <w:sz w:val="21"/>
        </w:rPr>
        <w:t>Draw the improved architecture: both availability zones, every tier, what you added, and what you kept. Mark clearly what is new. A reader who has not seen your tables should be able to see what changes and what does not.</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SKETCH OR PASTE YOUR DIAGRAM HERE ]</w:t>
            </w:r>
          </w:p>
          <w:p>
            <w:pPr>
              <w:jc w:val="left"/>
            </w:pPr>
            <w:r>
              <w:rPr>
                <w:b w:val="0"/>
                <w:i/>
                <w:color w:val="6B6660"/>
                <w:sz w:val="19"/>
              </w:rPr>
              <w:t>the improved Enrolline architecture — both zones, every tier, and what is new</w:t>
            </w:r>
          </w:p>
        </w:tc>
      </w:tr>
    </w:tbl>
    <w:p/>
    <w:p>
      <w:pPr>
        <w:spacing w:before="200" w:after="0"/>
      </w:pPr>
      <w:r>
        <w:rPr>
          <w:b/>
          <w:color w:val="1F5A5C"/>
          <w:sz w:val="16"/>
        </w:rPr>
        <w:t>TASK 15</w:t>
      </w:r>
    </w:p>
    <w:p>
      <w:pPr>
        <w:pStyle w:val="Heading2"/>
      </w:pPr>
      <w:r>
        <w:rPr>
          <w:color w:val="1F5A5C"/>
        </w:rPr>
        <w:t>Document and justify the proposed architecture</w:t>
      </w:r>
    </w:p>
    <w:p>
      <w:pPr>
        <w:spacing w:after="120"/>
      </w:pPr>
      <w:r>
        <w:rPr>
          <w:b w:val="0"/>
          <w:i w:val="0"/>
          <w:sz w:val="21"/>
        </w:rPr>
        <w:t>Justify the architecture you have documented in tasks 9 to 14. For each significant improvement, say which business goal from task 6 it serves and why you chose it over the alternative you considered in task 4. Say plainly what you decided not to do and why. This is a written answer, and it is where your reasoning is assessed rather than your design.</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pStyle w:val="Heading1"/>
      </w:pPr>
      <w:r>
        <w:t>Part B — Review and approval</w:t>
      </w:r>
    </w:p>
    <w:p>
      <w:pPr>
        <w:spacing w:after="200"/>
      </w:pPr>
      <w:r>
        <w:rPr>
          <w:b w:val="0"/>
          <w:i/>
          <w:color w:val="6B6660"/>
          <w:sz w:val="19"/>
        </w:rPr>
        <w:t>You present your proposal to YAT for review and approval to proceed. Completing the records below is not the assessment — presenting is.</w:t>
      </w:r>
    </w:p>
    <w:p>
      <w:pPr>
        <w:spacing w:before="200" w:after="0"/>
      </w:pPr>
      <w:r>
        <w:rPr>
          <w:b/>
          <w:color w:val="1F5A5C"/>
          <w:sz w:val="16"/>
        </w:rPr>
        <w:t>TASK 16</w:t>
      </w:r>
    </w:p>
    <w:p>
      <w:pPr>
        <w:pStyle w:val="Heading2"/>
      </w:pPr>
      <w:r>
        <w:rPr>
          <w:color w:val="1F5A5C"/>
        </w:rPr>
        <w:t>Prepare your presentation</w:t>
      </w:r>
    </w:p>
    <w:p>
      <w:pPr>
        <w:spacing w:after="120"/>
      </w:pPr>
      <w:r>
        <w:rPr>
          <w:b w:val="0"/>
          <w:i w:val="0"/>
          <w:sz w:val="21"/>
        </w:rPr>
        <w:t>Preparation — not assessed. Nobody marks this table. Plan how you will take Sam Walker through your proposal in the time you have, and for each part write the one point Sam must take away. You are asking for approval to spend YAT's money, so lead with what it buys, not with what it is.</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cover</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The one point Sam should take away</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Roughly how long</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What you found</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The goals you set</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What you propose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The database decision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What it costs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What you are asking for</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17</w:t>
      </w:r>
    </w:p>
    <w:p>
      <w:pPr>
        <w:pStyle w:val="Heading2"/>
      </w:pPr>
      <w:r>
        <w:rPr>
          <w:color w:val="1F5A5C"/>
        </w:rPr>
        <w:t>Present the proposed architecture for review</w:t>
      </w:r>
    </w:p>
    <w:p>
      <w:pPr>
        <w:spacing w:after="120"/>
      </w:pPr>
      <w:r>
        <w:rPr>
          <w:b w:val="0"/>
          <w:i w:val="0"/>
          <w:sz w:val="21"/>
        </w:rPr>
        <w:t>Present your proposed architecture to Sam Walker (YAT ICT Manager, role-played by your assessor) for review. Walk through the design and the reasoning, and answer questions on both. Record the session immediately afterwards.</w:t>
      </w:r>
    </w:p>
    <w:tbl>
      <w:tblPr>
        <w:tblW w:type="auto" w:w="0"/>
        <w:tblLook w:firstColumn="1" w:firstRow="1" w:lastColumn="0" w:lastRow="0" w:noHBand="0" w:noVBand="1" w:val="04A0"/>
      </w:tblPr>
      <w:tblGrid>
        <w:gridCol w:w="5233"/>
        <w:gridCol w:w="5233"/>
      </w:tblGrid>
      <w:tr>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Record</w:t>
            </w:r>
          </w:p>
        </w:tc>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Your entry</w:t>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Date and time</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Attendees and roles</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What you presented</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Questions you were asked</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Feedback given, and your response</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18</w:t>
      </w:r>
    </w:p>
    <w:p>
      <w:pPr>
        <w:pStyle w:val="Heading2"/>
      </w:pPr>
      <w:r>
        <w:rPr>
          <w:color w:val="1F5A5C"/>
        </w:rPr>
        <w:t>Obtain sign-off to proceed to deployment</w:t>
      </w:r>
    </w:p>
    <w:p>
      <w:pPr>
        <w:spacing w:after="120"/>
      </w:pPr>
      <w:r>
        <w:rPr>
          <w:b w:val="0"/>
          <w:i w:val="0"/>
          <w:sz w:val="21"/>
        </w:rPr>
        <w:t>Obtain Sam Walker's sign-off to proceed to deployment, and record which improvements were approved. Approval with conditions, or approval of only some of your proposals, are real outcomes — record exactly what was agreed, because AT3 deploys what was approved and nothing else.</w:t>
      </w:r>
    </w:p>
    <w:tbl>
      <w:tblPr>
        <w:tblW w:type="auto" w:w="0"/>
        <w:tblLook w:firstColumn="1" w:firstRow="1" w:lastColumn="0" w:lastRow="0" w:noHBand="0" w:noVBand="1" w:val="04A0"/>
      </w:tblPr>
      <w:tblGrid>
        <w:gridCol w:w="5233"/>
        <w:gridCol w:w="5233"/>
      </w:tblGrid>
      <w:tr>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Sign-off record</w:t>
            </w:r>
          </w:p>
        </w:tc>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Your entry</w:t>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Decision</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Improvements approved</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Improvements not approved, and why</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Conditions attached</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Signed by, and date</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bl>
    <w:p/>
    <w:p>
      <w:pPr>
        <w:pStyle w:val="Heading1"/>
      </w:pPr>
      <w:r>
        <w:t>Knowledge questions</w:t>
      </w:r>
    </w:p>
    <w:p>
      <w:pPr>
        <w:spacing w:after="200"/>
      </w:pPr>
      <w:r>
        <w:rPr>
          <w:b w:val="0"/>
          <w:i/>
          <w:color w:val="6B6660"/>
          <w:sz w:val="19"/>
        </w:rPr>
        <w:t>Answer these about your own design. Generic answers about cloud architecture will not pass.</w:t>
      </w:r>
    </w:p>
    <w:p>
      <w:pPr>
        <w:spacing w:before="200" w:after="0"/>
      </w:pPr>
      <w:r>
        <w:rPr>
          <w:b/>
          <w:color w:val="1F5A5C"/>
          <w:sz w:val="16"/>
        </w:rPr>
        <w:t>QUESTION 1</w:t>
      </w:r>
    </w:p>
    <w:p>
      <w:pPr>
        <w:pStyle w:val="Heading2"/>
      </w:pPr>
      <w:r>
        <w:rPr>
          <w:color w:val="1F5A5C"/>
        </w:rPr>
        <w:t>Which industry standards and standard products does your design rely on?</w:t>
      </w:r>
    </w:p>
    <w:p>
      <w:pPr>
        <w:spacing w:after="120"/>
      </w:pPr>
      <w:r>
        <w:rPr>
          <w:b w:val="0"/>
          <w:i w:val="0"/>
          <w:sz w:val="21"/>
        </w:rPr>
        <w:t>Name the industry technology standards and the standard hardware and software products your design uses, and for each say what it contributes here.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before="200" w:after="0"/>
      </w:pPr>
      <w:r>
        <w:rPr>
          <w:b/>
          <w:color w:val="1F5A5C"/>
          <w:sz w:val="16"/>
        </w:rPr>
        <w:t>QUESTION 2</w:t>
      </w:r>
    </w:p>
    <w:p>
      <w:pPr>
        <w:pStyle w:val="Heading2"/>
      </w:pPr>
      <w:r>
        <w:rPr>
          <w:color w:val="1F5A5C"/>
        </w:rPr>
        <w:t>Enrolline uses object storage. The website depends on it. What is the difference?</w:t>
      </w:r>
    </w:p>
    <w:p>
      <w:pPr>
        <w:spacing w:after="120"/>
      </w:pPr>
      <w:r>
        <w:rPr>
          <w:b w:val="0"/>
          <w:i w:val="0"/>
          <w:sz w:val="21"/>
        </w:rPr>
        <w:t>Enrolline holds scanned student attachments in an S3 document store, but its system of record is the relational database. The YAT public website uses object storage differently again — it serves public static content from it. Explain how object storage is provisioned and content served from it, and set out what actually differs between those two uses, including what that difference means for how each system's storage should be configured.</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before="200" w:after="0"/>
      </w:pPr>
      <w:r>
        <w:rPr>
          <w:b/>
          <w:color w:val="1F5A5C"/>
          <w:sz w:val="16"/>
        </w:rPr>
        <w:t>QUESTION 3</w:t>
      </w:r>
    </w:p>
    <w:p>
      <w:pPr>
        <w:pStyle w:val="Heading2"/>
      </w:pPr>
      <w:r>
        <w:rPr>
          <w:color w:val="1F5A5C"/>
        </w:rPr>
        <w:t>What did cloud adoption change for Enrolline, and what would migrating further change?</w:t>
      </w:r>
    </w:p>
    <w:p>
      <w:pPr>
        <w:spacing w:after="120"/>
      </w:pPr>
      <w:r>
        <w:rPr>
          <w:b w:val="0"/>
          <w:i w:val="0"/>
          <w:sz w:val="21"/>
        </w:rPr>
        <w:t>Enrolline moved from a server under a desk to a managed cloud environment. Explain what that change actually gave YAT, what it did not, and what principles would apply if YAT migrated more of this system — for instance to a fully managed or serverless model.</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sectPr w:rsidR="00FA41B0" w:rsidRPr="00FA41B0" w:rsidSect="00C30098">
      <w:headerReference w:type="even" r:id="rId11"/>
      <w:headerReference w:type="default" r:id="rId12"/>
      <w:footerReference w:type="default" r:id="rId13"/>
      <w:headerReference w:type="first" r:id="rId14"/>
      <w:pgSz w:w="11906" w:h="16838"/>
      <w:pgMar w:top="720" w:right="720" w:bottom="720" w:left="720"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BF68B9" w14:textId="77777777" w:rsidR="00C30098" w:rsidRDefault="00C30098" w:rsidP="00C022D4">
      <w:r>
        <w:separator/>
      </w:r>
    </w:p>
  </w:endnote>
  <w:endnote w:type="continuationSeparator" w:id="0">
    <w:p w14:paraId="2571CD4B" w14:textId="77777777" w:rsidR="00C30098" w:rsidRDefault="00C30098" w:rsidP="00C02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18BEB" w14:textId="77777777" w:rsidR="00ED22F9" w:rsidRPr="00C022D4" w:rsidRDefault="00ED22F9" w:rsidP="000333FE">
    <w:pPr>
      <w:pStyle w:val="Footer"/>
      <w:jc w:val="center"/>
    </w:pPr>
    <w:r w:rsidRPr="00C022D4">
      <w:t>Bendigo Kangan Institute trading as Bendigo TAFE and Kangan Institute.</w:t>
    </w:r>
  </w:p>
  <w:p w14:paraId="46217C47" w14:textId="77777777" w:rsidR="00ED22F9" w:rsidRPr="00C022D4" w:rsidRDefault="00ED22F9" w:rsidP="000333FE">
    <w:pPr>
      <w:pStyle w:val="Footer"/>
      <w:jc w:val="center"/>
    </w:pPr>
    <w:r w:rsidRPr="00C022D4">
      <w:t>RTO 3077 | CRICOS provider number 01218G</w:t>
    </w:r>
  </w:p>
  <w:p w14:paraId="618059EA" w14:textId="223B875D" w:rsidR="00F6546A" w:rsidRPr="00C022D4" w:rsidRDefault="00ED22F9" w:rsidP="000333FE">
    <w:pPr>
      <w:pStyle w:val="Footer"/>
      <w:tabs>
        <w:tab w:val="center" w:pos="5245"/>
        <w:tab w:val="right" w:pos="10632"/>
      </w:tabs>
    </w:pPr>
    <w:r w:rsidRPr="00C022D4">
      <w:t>Version 1.</w:t>
    </w:r>
    <w:r w:rsidR="00667552">
      <w:t>0</w:t>
    </w:r>
    <w:r w:rsidR="00667552">
      <w:rPr>
        <w:rStyle w:val="FooterChar"/>
      </w:rPr>
      <w:t xml:space="preserve">   (Template Version 1.3)</w:t>
    </w:r>
    <w:r w:rsidRPr="00C022D4">
      <w:tab/>
      <w:t xml:space="preserve">Last saved </w:t>
    </w:r>
    <w:r w:rsidRPr="00C022D4">
      <w:fldChar w:fldCharType="begin"/>
    </w:r>
    <w:r w:rsidRPr="00C022D4">
      <w:instrText xml:space="preserve"> SAVEDATE  \@ "d MMMM yyyy"  \* MERGEFORMAT </w:instrText>
    </w:r>
    <w:r w:rsidRPr="00C022D4">
      <w:fldChar w:fldCharType="separate"/>
    </w:r>
    <w:r w:rsidR="00667552">
      <w:rPr>
        <w:noProof/>
      </w:rPr>
      <w:t>13 April 2022</w:t>
    </w:r>
    <w:r w:rsidRPr="00C022D4">
      <w:fldChar w:fldCharType="end"/>
    </w:r>
    <w:r w:rsidRPr="00C022D4">
      <w:tab/>
      <w:t xml:space="preserve">Page </w:t>
    </w:r>
    <w:r w:rsidR="006478AF" w:rsidRPr="00C022D4">
      <w:fldChar w:fldCharType="begin"/>
    </w:r>
    <w:r w:rsidR="006478AF" w:rsidRPr="00C022D4">
      <w:instrText xml:space="preserve"> PAGE   \* MERGEFORMAT </w:instrText>
    </w:r>
    <w:r w:rsidR="006478AF" w:rsidRPr="00C022D4">
      <w:fldChar w:fldCharType="separate"/>
    </w:r>
    <w:r w:rsidR="00A96D27">
      <w:rPr>
        <w:noProof/>
      </w:rPr>
      <w:t>1</w:t>
    </w:r>
    <w:r w:rsidR="006478AF" w:rsidRPr="00C022D4">
      <w:fldChar w:fldCharType="end"/>
    </w:r>
    <w:r w:rsidRPr="00C022D4">
      <w:t xml:space="preserve"> of </w:t>
    </w:r>
    <w:fldSimple w:instr=" NUMPAGES   \* MERGEFORMAT ">
      <w:r w:rsidR="00A96D27">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172D2A" w14:textId="77777777" w:rsidR="00C30098" w:rsidRDefault="00C30098" w:rsidP="00C022D4">
      <w:r>
        <w:separator/>
      </w:r>
    </w:p>
  </w:footnote>
  <w:footnote w:type="continuationSeparator" w:id="0">
    <w:p w14:paraId="48A88BC6" w14:textId="77777777" w:rsidR="00C30098" w:rsidRDefault="00C30098" w:rsidP="00C022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4A1B4" w14:textId="4F9B04AC" w:rsidR="00667552" w:rsidRDefault="00667552">
    <w:pPr>
      <w:pStyle w:val="Header"/>
    </w:pPr>
    <w:r>
      <w:rPr>
        <w:noProof/>
      </w:rPr>
      <mc:AlternateContent>
        <mc:Choice Requires="wps">
          <w:drawing>
            <wp:anchor distT="0" distB="0" distL="0" distR="0" simplePos="0" relativeHeight="251659264" behindDoc="0" locked="0" layoutInCell="1" allowOverlap="1" wp14:anchorId="090F1141" wp14:editId="77B056E0">
              <wp:simplePos x="635" y="635"/>
              <wp:positionH relativeFrom="page">
                <wp:align>center</wp:align>
              </wp:positionH>
              <wp:positionV relativeFrom="page">
                <wp:align>top</wp:align>
              </wp:positionV>
              <wp:extent cx="443865" cy="443865"/>
              <wp:effectExtent l="0" t="0" r="635" b="4445"/>
              <wp:wrapNone/>
              <wp:docPr id="1984913583"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889A0E8" w14:textId="02EECD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90F1141"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6889A0E8" w14:textId="02EECD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43CC9" w14:textId="34ADF34F" w:rsidR="00667552" w:rsidRDefault="00667552">
    <w:pPr>
      <w:pStyle w:val="Header"/>
    </w:pPr>
    <w:r>
      <w:rPr>
        <w:noProof/>
      </w:rPr>
      <mc:AlternateContent>
        <mc:Choice Requires="wps">
          <w:drawing>
            <wp:anchor distT="0" distB="0" distL="0" distR="0" simplePos="0" relativeHeight="251660288" behindDoc="0" locked="0" layoutInCell="1" allowOverlap="1" wp14:anchorId="105BE57C" wp14:editId="16ED05F6">
              <wp:simplePos x="457200" y="361950"/>
              <wp:positionH relativeFrom="page">
                <wp:align>center</wp:align>
              </wp:positionH>
              <wp:positionV relativeFrom="page">
                <wp:align>top</wp:align>
              </wp:positionV>
              <wp:extent cx="443865" cy="443865"/>
              <wp:effectExtent l="0" t="0" r="635" b="4445"/>
              <wp:wrapNone/>
              <wp:docPr id="1233566969"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543606D" w14:textId="64D72C6F"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05BE57C"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6543606D" w14:textId="64D72C6F"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5F2F1" w14:textId="33B1C9AD" w:rsidR="00667552" w:rsidRDefault="00667552">
    <w:pPr>
      <w:pStyle w:val="Header"/>
    </w:pPr>
    <w:r>
      <w:rPr>
        <w:noProof/>
      </w:rPr>
      <mc:AlternateContent>
        <mc:Choice Requires="wps">
          <w:drawing>
            <wp:anchor distT="0" distB="0" distL="0" distR="0" simplePos="0" relativeHeight="251658240" behindDoc="0" locked="0" layoutInCell="1" allowOverlap="1" wp14:anchorId="4692CC49" wp14:editId="204BAE13">
              <wp:simplePos x="635" y="635"/>
              <wp:positionH relativeFrom="page">
                <wp:align>center</wp:align>
              </wp:positionH>
              <wp:positionV relativeFrom="page">
                <wp:align>top</wp:align>
              </wp:positionV>
              <wp:extent cx="443865" cy="443865"/>
              <wp:effectExtent l="0" t="0" r="635" b="4445"/>
              <wp:wrapNone/>
              <wp:docPr id="640007634"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29F37A9" w14:textId="512724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92CC49"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229F37A9" w14:textId="512724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15F6"/>
    <w:multiLevelType w:val="hybridMultilevel"/>
    <w:tmpl w:val="4E5EFC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6AF16D4A"/>
    <w:multiLevelType w:val="hybridMultilevel"/>
    <w:tmpl w:val="170C92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18380564">
    <w:abstractNumId w:val="0"/>
  </w:num>
  <w:num w:numId="2" w16cid:durableId="1511336736">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5483"/>
    <w:rsid w:val="00010B10"/>
    <w:rsid w:val="00010BF6"/>
    <w:rsid w:val="000137A9"/>
    <w:rsid w:val="000310A3"/>
    <w:rsid w:val="000333FE"/>
    <w:rsid w:val="00044B62"/>
    <w:rsid w:val="00054A74"/>
    <w:rsid w:val="00055BE3"/>
    <w:rsid w:val="00057B45"/>
    <w:rsid w:val="00063A13"/>
    <w:rsid w:val="00076D93"/>
    <w:rsid w:val="00096DC8"/>
    <w:rsid w:val="000C5DCF"/>
    <w:rsid w:val="000D4A69"/>
    <w:rsid w:val="000D5272"/>
    <w:rsid w:val="000D5C56"/>
    <w:rsid w:val="000E7FC5"/>
    <w:rsid w:val="000F75D7"/>
    <w:rsid w:val="001033DE"/>
    <w:rsid w:val="00115976"/>
    <w:rsid w:val="00115C1E"/>
    <w:rsid w:val="0013430A"/>
    <w:rsid w:val="00144B4B"/>
    <w:rsid w:val="001508CF"/>
    <w:rsid w:val="0016369D"/>
    <w:rsid w:val="001801EF"/>
    <w:rsid w:val="001A0758"/>
    <w:rsid w:val="001A0BF7"/>
    <w:rsid w:val="001A58E6"/>
    <w:rsid w:val="001A6C48"/>
    <w:rsid w:val="001A7DBF"/>
    <w:rsid w:val="001B05E7"/>
    <w:rsid w:val="001B1015"/>
    <w:rsid w:val="001B6CE8"/>
    <w:rsid w:val="001C1000"/>
    <w:rsid w:val="001C3E6D"/>
    <w:rsid w:val="001D729E"/>
    <w:rsid w:val="001D78D9"/>
    <w:rsid w:val="001E3325"/>
    <w:rsid w:val="001E6FFB"/>
    <w:rsid w:val="001E71A7"/>
    <w:rsid w:val="00202B8A"/>
    <w:rsid w:val="002044F8"/>
    <w:rsid w:val="00205DFA"/>
    <w:rsid w:val="002229E8"/>
    <w:rsid w:val="00222A66"/>
    <w:rsid w:val="002267D1"/>
    <w:rsid w:val="00226D05"/>
    <w:rsid w:val="00227508"/>
    <w:rsid w:val="00227BBC"/>
    <w:rsid w:val="0023398A"/>
    <w:rsid w:val="00236318"/>
    <w:rsid w:val="002363FC"/>
    <w:rsid w:val="00237960"/>
    <w:rsid w:val="00267155"/>
    <w:rsid w:val="00290616"/>
    <w:rsid w:val="0029391E"/>
    <w:rsid w:val="00293984"/>
    <w:rsid w:val="002A6715"/>
    <w:rsid w:val="002B15B6"/>
    <w:rsid w:val="002B1EC1"/>
    <w:rsid w:val="002B4C2D"/>
    <w:rsid w:val="002C2E32"/>
    <w:rsid w:val="002C33AB"/>
    <w:rsid w:val="002D1EB4"/>
    <w:rsid w:val="002D2911"/>
    <w:rsid w:val="002E69B5"/>
    <w:rsid w:val="002E7C77"/>
    <w:rsid w:val="002F4DC7"/>
    <w:rsid w:val="002F73F4"/>
    <w:rsid w:val="002F7C81"/>
    <w:rsid w:val="0030198C"/>
    <w:rsid w:val="003167D9"/>
    <w:rsid w:val="00324B5A"/>
    <w:rsid w:val="00332299"/>
    <w:rsid w:val="003406E0"/>
    <w:rsid w:val="003426E3"/>
    <w:rsid w:val="0035343B"/>
    <w:rsid w:val="003545CC"/>
    <w:rsid w:val="00364719"/>
    <w:rsid w:val="00365730"/>
    <w:rsid w:val="003765FD"/>
    <w:rsid w:val="003A316B"/>
    <w:rsid w:val="003B1864"/>
    <w:rsid w:val="003C34A3"/>
    <w:rsid w:val="003C4945"/>
    <w:rsid w:val="003C63C3"/>
    <w:rsid w:val="003D3503"/>
    <w:rsid w:val="003F1F4E"/>
    <w:rsid w:val="003F3E39"/>
    <w:rsid w:val="003F4160"/>
    <w:rsid w:val="003F6EFC"/>
    <w:rsid w:val="00403949"/>
    <w:rsid w:val="00405C1A"/>
    <w:rsid w:val="004127A0"/>
    <w:rsid w:val="0041439C"/>
    <w:rsid w:val="00416D85"/>
    <w:rsid w:val="00421C6B"/>
    <w:rsid w:val="00423EF4"/>
    <w:rsid w:val="00424023"/>
    <w:rsid w:val="004272E6"/>
    <w:rsid w:val="00432DB0"/>
    <w:rsid w:val="0044532B"/>
    <w:rsid w:val="00452058"/>
    <w:rsid w:val="004622B1"/>
    <w:rsid w:val="00470387"/>
    <w:rsid w:val="0048089C"/>
    <w:rsid w:val="00486C54"/>
    <w:rsid w:val="00486CCF"/>
    <w:rsid w:val="004879B2"/>
    <w:rsid w:val="0049547D"/>
    <w:rsid w:val="004A03AF"/>
    <w:rsid w:val="004B05BC"/>
    <w:rsid w:val="004B46C0"/>
    <w:rsid w:val="004C25D0"/>
    <w:rsid w:val="004D1249"/>
    <w:rsid w:val="004D3BC4"/>
    <w:rsid w:val="004E423A"/>
    <w:rsid w:val="004E4425"/>
    <w:rsid w:val="004E78AD"/>
    <w:rsid w:val="004E793C"/>
    <w:rsid w:val="004F2400"/>
    <w:rsid w:val="00502337"/>
    <w:rsid w:val="00515F85"/>
    <w:rsid w:val="005163FA"/>
    <w:rsid w:val="00523F77"/>
    <w:rsid w:val="005377AE"/>
    <w:rsid w:val="00547501"/>
    <w:rsid w:val="00554E87"/>
    <w:rsid w:val="00571F38"/>
    <w:rsid w:val="00577089"/>
    <w:rsid w:val="005800A9"/>
    <w:rsid w:val="005903E8"/>
    <w:rsid w:val="00590EBA"/>
    <w:rsid w:val="005A352E"/>
    <w:rsid w:val="005A6F91"/>
    <w:rsid w:val="005C0FC4"/>
    <w:rsid w:val="005D57BD"/>
    <w:rsid w:val="005E3E16"/>
    <w:rsid w:val="005F1106"/>
    <w:rsid w:val="005F4DEF"/>
    <w:rsid w:val="00601957"/>
    <w:rsid w:val="00605082"/>
    <w:rsid w:val="00620EB1"/>
    <w:rsid w:val="00623CE3"/>
    <w:rsid w:val="00630E16"/>
    <w:rsid w:val="00634FF3"/>
    <w:rsid w:val="006370DB"/>
    <w:rsid w:val="006472F5"/>
    <w:rsid w:val="006478AF"/>
    <w:rsid w:val="00651611"/>
    <w:rsid w:val="00656E53"/>
    <w:rsid w:val="00666B2D"/>
    <w:rsid w:val="00667552"/>
    <w:rsid w:val="00685BD5"/>
    <w:rsid w:val="0069030A"/>
    <w:rsid w:val="00690E61"/>
    <w:rsid w:val="00694DF2"/>
    <w:rsid w:val="006C62B4"/>
    <w:rsid w:val="006D706F"/>
    <w:rsid w:val="006E33EF"/>
    <w:rsid w:val="006E5479"/>
    <w:rsid w:val="006F10D0"/>
    <w:rsid w:val="00701387"/>
    <w:rsid w:val="00711F64"/>
    <w:rsid w:val="0072388E"/>
    <w:rsid w:val="0074548C"/>
    <w:rsid w:val="00751C09"/>
    <w:rsid w:val="007538D7"/>
    <w:rsid w:val="00756E13"/>
    <w:rsid w:val="007610DD"/>
    <w:rsid w:val="007615C5"/>
    <w:rsid w:val="00772309"/>
    <w:rsid w:val="0078162A"/>
    <w:rsid w:val="0078312D"/>
    <w:rsid w:val="00795732"/>
    <w:rsid w:val="007973CB"/>
    <w:rsid w:val="007A63E4"/>
    <w:rsid w:val="007A6568"/>
    <w:rsid w:val="007A7B35"/>
    <w:rsid w:val="007C0DAF"/>
    <w:rsid w:val="007C6FBF"/>
    <w:rsid w:val="007D5702"/>
    <w:rsid w:val="007F1267"/>
    <w:rsid w:val="007F2BE6"/>
    <w:rsid w:val="00802842"/>
    <w:rsid w:val="00805C42"/>
    <w:rsid w:val="00805E0B"/>
    <w:rsid w:val="00816E9C"/>
    <w:rsid w:val="00822988"/>
    <w:rsid w:val="008541F0"/>
    <w:rsid w:val="0086098D"/>
    <w:rsid w:val="00861D3D"/>
    <w:rsid w:val="00862361"/>
    <w:rsid w:val="008829DD"/>
    <w:rsid w:val="008831D3"/>
    <w:rsid w:val="00885847"/>
    <w:rsid w:val="0088695F"/>
    <w:rsid w:val="00886B4C"/>
    <w:rsid w:val="008A0AD8"/>
    <w:rsid w:val="008A49B2"/>
    <w:rsid w:val="008C5064"/>
    <w:rsid w:val="008E0A88"/>
    <w:rsid w:val="008E2BF9"/>
    <w:rsid w:val="008E5611"/>
    <w:rsid w:val="008F1F56"/>
    <w:rsid w:val="008F230E"/>
    <w:rsid w:val="009108B2"/>
    <w:rsid w:val="009119BD"/>
    <w:rsid w:val="00913BA4"/>
    <w:rsid w:val="009270C9"/>
    <w:rsid w:val="009328FE"/>
    <w:rsid w:val="00950D11"/>
    <w:rsid w:val="00954EFB"/>
    <w:rsid w:val="00954EFE"/>
    <w:rsid w:val="00961AFC"/>
    <w:rsid w:val="00985471"/>
    <w:rsid w:val="00993D3D"/>
    <w:rsid w:val="009A0177"/>
    <w:rsid w:val="009A0DA8"/>
    <w:rsid w:val="009C0C9E"/>
    <w:rsid w:val="009D309A"/>
    <w:rsid w:val="009D3245"/>
    <w:rsid w:val="009F30C9"/>
    <w:rsid w:val="009F5553"/>
    <w:rsid w:val="009F62F5"/>
    <w:rsid w:val="00A12591"/>
    <w:rsid w:val="00A20E3D"/>
    <w:rsid w:val="00A22CAE"/>
    <w:rsid w:val="00A24C4F"/>
    <w:rsid w:val="00A30983"/>
    <w:rsid w:val="00A37FE7"/>
    <w:rsid w:val="00A574C0"/>
    <w:rsid w:val="00A6427F"/>
    <w:rsid w:val="00A650F7"/>
    <w:rsid w:val="00A7355E"/>
    <w:rsid w:val="00A85679"/>
    <w:rsid w:val="00A918E0"/>
    <w:rsid w:val="00A96D27"/>
    <w:rsid w:val="00AB2A73"/>
    <w:rsid w:val="00AB7DBF"/>
    <w:rsid w:val="00AC0655"/>
    <w:rsid w:val="00AC4C6E"/>
    <w:rsid w:val="00AD34BA"/>
    <w:rsid w:val="00AD64E8"/>
    <w:rsid w:val="00AE3A2C"/>
    <w:rsid w:val="00AF65B9"/>
    <w:rsid w:val="00B00F3B"/>
    <w:rsid w:val="00B07BF3"/>
    <w:rsid w:val="00B10E78"/>
    <w:rsid w:val="00B215D2"/>
    <w:rsid w:val="00B32741"/>
    <w:rsid w:val="00B4252C"/>
    <w:rsid w:val="00B43136"/>
    <w:rsid w:val="00B43D0B"/>
    <w:rsid w:val="00B46200"/>
    <w:rsid w:val="00B56858"/>
    <w:rsid w:val="00B60EFE"/>
    <w:rsid w:val="00B6719F"/>
    <w:rsid w:val="00B84213"/>
    <w:rsid w:val="00BA3E48"/>
    <w:rsid w:val="00BA48B6"/>
    <w:rsid w:val="00BA6476"/>
    <w:rsid w:val="00BA6713"/>
    <w:rsid w:val="00BC75A7"/>
    <w:rsid w:val="00BD209C"/>
    <w:rsid w:val="00BE1B4A"/>
    <w:rsid w:val="00BE4F3C"/>
    <w:rsid w:val="00BE554D"/>
    <w:rsid w:val="00BE665F"/>
    <w:rsid w:val="00BF0FDD"/>
    <w:rsid w:val="00BF117B"/>
    <w:rsid w:val="00C022D4"/>
    <w:rsid w:val="00C02DC7"/>
    <w:rsid w:val="00C2180F"/>
    <w:rsid w:val="00C272EB"/>
    <w:rsid w:val="00C27947"/>
    <w:rsid w:val="00C30098"/>
    <w:rsid w:val="00C358A5"/>
    <w:rsid w:val="00C519EC"/>
    <w:rsid w:val="00C60745"/>
    <w:rsid w:val="00C64447"/>
    <w:rsid w:val="00C664DD"/>
    <w:rsid w:val="00C70115"/>
    <w:rsid w:val="00C72912"/>
    <w:rsid w:val="00C82E31"/>
    <w:rsid w:val="00C853B8"/>
    <w:rsid w:val="00CA0229"/>
    <w:rsid w:val="00CA1C63"/>
    <w:rsid w:val="00CA383B"/>
    <w:rsid w:val="00CA7224"/>
    <w:rsid w:val="00CA7E20"/>
    <w:rsid w:val="00CB0664"/>
    <w:rsid w:val="00CB3DCD"/>
    <w:rsid w:val="00CB6655"/>
    <w:rsid w:val="00CC2D84"/>
    <w:rsid w:val="00CC63F7"/>
    <w:rsid w:val="00CD0E7D"/>
    <w:rsid w:val="00CD7EFF"/>
    <w:rsid w:val="00CE06BC"/>
    <w:rsid w:val="00CF102A"/>
    <w:rsid w:val="00CF6858"/>
    <w:rsid w:val="00D1174F"/>
    <w:rsid w:val="00D151E8"/>
    <w:rsid w:val="00D262CE"/>
    <w:rsid w:val="00D26634"/>
    <w:rsid w:val="00D32428"/>
    <w:rsid w:val="00D53C99"/>
    <w:rsid w:val="00D54D46"/>
    <w:rsid w:val="00D5698B"/>
    <w:rsid w:val="00D57FAA"/>
    <w:rsid w:val="00D669F7"/>
    <w:rsid w:val="00D71584"/>
    <w:rsid w:val="00D71797"/>
    <w:rsid w:val="00D82065"/>
    <w:rsid w:val="00D8354B"/>
    <w:rsid w:val="00D90E35"/>
    <w:rsid w:val="00D911E5"/>
    <w:rsid w:val="00DC39FE"/>
    <w:rsid w:val="00DC70C4"/>
    <w:rsid w:val="00DD0221"/>
    <w:rsid w:val="00DD760C"/>
    <w:rsid w:val="00DF0A26"/>
    <w:rsid w:val="00E02C1C"/>
    <w:rsid w:val="00E12FFD"/>
    <w:rsid w:val="00E21F54"/>
    <w:rsid w:val="00E25BCA"/>
    <w:rsid w:val="00E31110"/>
    <w:rsid w:val="00E3533E"/>
    <w:rsid w:val="00E3570B"/>
    <w:rsid w:val="00E4047C"/>
    <w:rsid w:val="00E44321"/>
    <w:rsid w:val="00E5370C"/>
    <w:rsid w:val="00E55003"/>
    <w:rsid w:val="00E64921"/>
    <w:rsid w:val="00E73E50"/>
    <w:rsid w:val="00E81213"/>
    <w:rsid w:val="00E9103A"/>
    <w:rsid w:val="00E95E46"/>
    <w:rsid w:val="00EA227E"/>
    <w:rsid w:val="00EB2369"/>
    <w:rsid w:val="00EB7F79"/>
    <w:rsid w:val="00EC0249"/>
    <w:rsid w:val="00EC663F"/>
    <w:rsid w:val="00EC6C5D"/>
    <w:rsid w:val="00EC78CD"/>
    <w:rsid w:val="00ED22F9"/>
    <w:rsid w:val="00ED3590"/>
    <w:rsid w:val="00EE0C3F"/>
    <w:rsid w:val="00EF0326"/>
    <w:rsid w:val="00EF17DC"/>
    <w:rsid w:val="00EF29FC"/>
    <w:rsid w:val="00EF7306"/>
    <w:rsid w:val="00F018F4"/>
    <w:rsid w:val="00F114EB"/>
    <w:rsid w:val="00F202B0"/>
    <w:rsid w:val="00F20C93"/>
    <w:rsid w:val="00F26820"/>
    <w:rsid w:val="00F27BEE"/>
    <w:rsid w:val="00F34EF5"/>
    <w:rsid w:val="00F40219"/>
    <w:rsid w:val="00F40308"/>
    <w:rsid w:val="00F46169"/>
    <w:rsid w:val="00F511FA"/>
    <w:rsid w:val="00F51402"/>
    <w:rsid w:val="00F6231D"/>
    <w:rsid w:val="00F6546A"/>
    <w:rsid w:val="00F72F31"/>
    <w:rsid w:val="00F746C7"/>
    <w:rsid w:val="00F80891"/>
    <w:rsid w:val="00F8192E"/>
    <w:rsid w:val="00FA41B0"/>
    <w:rsid w:val="00FC2E29"/>
    <w:rsid w:val="00FD2774"/>
    <w:rsid w:val="00FD7203"/>
    <w:rsid w:val="00FE50B7"/>
    <w:rsid w:val="00FE5400"/>
    <w:rsid w:val="00FF33D6"/>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8A6309BB-D1D2-497A-B295-C573DC524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2D4"/>
    <w:pPr>
      <w:spacing w:after="0" w:line="240" w:lineRule="auto"/>
    </w:pPr>
  </w:style>
  <w:style w:type="paragraph" w:styleId="Heading1">
    <w:name w:val="heading 1"/>
    <w:basedOn w:val="NoSpacing"/>
    <w:next w:val="Normal"/>
    <w:link w:val="Heading1Char"/>
    <w:uiPriority w:val="9"/>
    <w:qFormat/>
    <w:rsid w:val="00C022D4"/>
    <w:pPr>
      <w:spacing w:after="60"/>
      <w:outlineLvl w:val="0"/>
    </w:pPr>
    <w:rPr>
      <w:sz w:val="44"/>
      <w:szCs w:val="44"/>
    </w:rPr>
  </w:style>
  <w:style w:type="paragraph" w:styleId="Heading2">
    <w:name w:val="heading 2"/>
    <w:basedOn w:val="Heading3"/>
    <w:next w:val="Normal"/>
    <w:link w:val="Heading2Char"/>
    <w:uiPriority w:val="9"/>
    <w:unhideWhenUsed/>
    <w:qFormat/>
    <w:rsid w:val="000333FE"/>
    <w:pPr>
      <w:outlineLvl w:val="1"/>
    </w:pPr>
    <w:rPr>
      <w:color w:val="FFFFFF" w:themeColor="background1"/>
      <w:sz w:val="26"/>
    </w:rPr>
  </w:style>
  <w:style w:type="paragraph" w:styleId="Heading3">
    <w:name w:val="heading 3"/>
    <w:basedOn w:val="Heading4"/>
    <w:next w:val="Normal"/>
    <w:link w:val="Heading3Char"/>
    <w:uiPriority w:val="9"/>
    <w:unhideWhenUsed/>
    <w:qFormat/>
    <w:rsid w:val="000333FE"/>
    <w:pPr>
      <w:outlineLvl w:val="2"/>
    </w:pPr>
  </w:style>
  <w:style w:type="paragraph" w:styleId="Heading4">
    <w:name w:val="heading 4"/>
    <w:basedOn w:val="NoSpacing"/>
    <w:next w:val="Normal"/>
    <w:link w:val="Heading4Char"/>
    <w:uiPriority w:val="9"/>
    <w:unhideWhenUsed/>
    <w:rsid w:val="00C022D4"/>
    <w:pPr>
      <w:spacing w:after="6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2D4"/>
    <w:rPr>
      <w:sz w:val="44"/>
      <w:szCs w:val="44"/>
    </w:rPr>
  </w:style>
  <w:style w:type="paragraph" w:styleId="NoSpacing">
    <w:name w:val="No Spacing"/>
    <w:link w:val="NoSpacingChar"/>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0333FE"/>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0333FE"/>
    <w:rPr>
      <w:b/>
    </w:rPr>
  </w:style>
  <w:style w:type="character" w:customStyle="1" w:styleId="Heading4Char">
    <w:name w:val="Heading 4 Char"/>
    <w:basedOn w:val="DefaultParagraphFont"/>
    <w:link w:val="Heading4"/>
    <w:uiPriority w:val="9"/>
    <w:rsid w:val="00C022D4"/>
    <w:rPr>
      <w:b/>
    </w:rPr>
  </w:style>
  <w:style w:type="paragraph" w:styleId="ListParagraph">
    <w:name w:val="List Paragraph"/>
    <w:basedOn w:val="Normal"/>
    <w:uiPriority w:val="34"/>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0333FE"/>
    <w:rPr>
      <w:sz w:val="16"/>
      <w:szCs w:val="16"/>
    </w:rPr>
  </w:style>
  <w:style w:type="character" w:customStyle="1" w:styleId="FooterChar">
    <w:name w:val="Footer Char"/>
    <w:basedOn w:val="DefaultParagraphFont"/>
    <w:link w:val="Footer"/>
    <w:uiPriority w:val="99"/>
    <w:rsid w:val="000333FE"/>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 w:type="paragraph" w:customStyle="1" w:styleId="Assessortext">
    <w:name w:val="Assessor text"/>
    <w:basedOn w:val="NoSpacing"/>
    <w:link w:val="AssessortextChar"/>
    <w:qFormat/>
    <w:rsid w:val="00822988"/>
    <w:rPr>
      <w:color w:val="1F497D" w:themeColor="text2"/>
    </w:rPr>
  </w:style>
  <w:style w:type="character" w:customStyle="1" w:styleId="NoSpacingChar">
    <w:name w:val="No Spacing Char"/>
    <w:basedOn w:val="DefaultParagraphFont"/>
    <w:link w:val="NoSpacing"/>
    <w:uiPriority w:val="1"/>
    <w:rsid w:val="00C022D4"/>
  </w:style>
  <w:style w:type="character" w:customStyle="1" w:styleId="AssessortextChar">
    <w:name w:val="Assessor text Char"/>
    <w:basedOn w:val="NoSpacingChar"/>
    <w:link w:val="Assessortext"/>
    <w:rsid w:val="00822988"/>
    <w:rPr>
      <w:color w:val="1F497D"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17" Type="http://schemas.openxmlformats.org/officeDocument/2006/relationships/hyperlink" Target="https://yat.timbaird.com/intranet/s1-cl3-at1/projects/enrolline-improvement/improvement-requirements" TargetMode="External"/><Relationship Id="rId18" Type="http://schemas.openxmlformats.org/officeDocument/2006/relationships/hyperlink" Target="https://yat.timbaird.com/intranet/s1-cl3-at1/projects/enrolline-improvement/indian-regulatory-requirements" TargetMode="External"/><Relationship Id="rId19" Type="http://schemas.openxmlformats.org/officeDocument/2006/relationships/hyperlink" Target="https://yat.timbaird.com/intranet/s1-cl3-at1/ict/enrolline-server-status-cloud" TargetMode="External"/><Relationship Id="rId20" Type="http://schemas.openxmlformats.org/officeDocument/2006/relationships/hyperlink" Target="https://yat.timbaird.com/intranet/s1-cl3-at1/ict/enrolline-application-spec-cloud" TargetMode="External"/><Relationship Id="rId21" Type="http://schemas.openxmlformats.org/officeDocument/2006/relationships/hyperlink" Target="https://yat.timbaird.com/intranet/s1-cl3-at1/ict/enrolline-operational-costing-cloud" TargetMode="External"/><Relationship Id="rId22" Type="http://schemas.openxmlformats.org/officeDocument/2006/relationships/hyperlink" Target="https://yat.timbaird.com/intranet/s1-cl3-at1/projects/enrolline-improvement/role-brief" TargetMode="External"/><Relationship Id="rId23" Type="http://schemas.openxmlformats.org/officeDocument/2006/relationships/hyperlink" Target="https://yat.timbaird.com/intranet/s1-cl3-at1/ict/enrolline-network-diagram-cloud" TargetMode="External"/><Relationship Id="rId24" Type="http://schemas.openxmlformats.org/officeDocument/2006/relationships/hyperlink" Target="https://yat.timbaird.com/intranet/s1-cl3-at1/ict/network-diagram-cl3" TargetMode="External"/><Relationship Id="rId25" Type="http://schemas.openxmlformats.org/officeDocument/2006/relationships/hyperlink" Target="https://yat.timbaird.com/intranet/s1-cl3-at1/projects/enrolline-cloud-migration/solution-design" TargetMode="External"/><Relationship Id="rId26" Type="http://schemas.openxmlformats.org/officeDocument/2006/relationships/hyperlink" Target="https://yat.timbaird.com/intranet/s1-cl3-at1/policies/privacy" TargetMode="External"/><Relationship Id="rId27" Type="http://schemas.openxmlformats.org/officeDocument/2006/relationships/hyperlink" Target="https://yat.timbaird.com/intranet/s1-cl3-at1/reference/reference-architectures" TargetMode="External"/><Relationship Id="rId28" Type="http://schemas.openxmlformats.org/officeDocument/2006/relationships/hyperlink" Target="https://yat.timbaird.com/intranet/s1-cl3-at1/policies/security-incident" TargetMode="External"/><Relationship Id="rId29" Type="http://schemas.openxmlformats.org/officeDocument/2006/relationships/hyperlink" Target="https://yat.timbaird.com/intranet/s1-cl3-at1/policies/user-ac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4363DD-6ED8-48FA-9DAB-FFE1A6F5C7B6}">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customXml/itemProps2.xml><?xml version="1.0" encoding="utf-8"?>
<ds:datastoreItem xmlns:ds="http://schemas.openxmlformats.org/officeDocument/2006/customXml" ds:itemID="{4B9B4C3B-E5DA-4AAF-B815-18D3ADD5B483}">
  <ds:schemaRefs>
    <ds:schemaRef ds:uri="http://schemas.microsoft.com/sharepoint/v3/contenttype/forms"/>
  </ds:schemaRefs>
</ds:datastoreItem>
</file>

<file path=customXml/itemProps3.xml><?xml version="1.0" encoding="utf-8"?>
<ds:datastoreItem xmlns:ds="http://schemas.openxmlformats.org/officeDocument/2006/customXml" ds:itemID="{A160A6A7-E4CF-4464-8769-5D74BD27FF60}"/>
</file>

<file path=customXml/itemProps4.xml><?xml version="1.0" encoding="utf-8"?>
<ds:datastoreItem xmlns:ds="http://schemas.openxmlformats.org/officeDocument/2006/customXml" ds:itemID="{B00AC358-B62E-4B92-87CA-9C4642B1F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694</TotalTime>
  <Pages>2</Pages>
  <Words>620</Words>
  <Characters>3538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81</cp:revision>
  <cp:lastPrinted>2019-09-16T04:16:00Z</cp:lastPrinted>
  <dcterms:created xsi:type="dcterms:W3CDTF">2019-09-13T00:47:00Z</dcterms:created>
  <dcterms:modified xsi:type="dcterms:W3CDTF">2024-03-13T04:31:00Z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9a1a8b35-933d-4e01-af2b-f27f7858afe9</vt:lpwstr>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Category">
    <vt:lpwstr>Assessment</vt:lpwstr>
  </property>
  <property fmtid="{D5CDD505-2E9C-101B-9397-08002B2CF9AE}" pid="12" name="yagu">
    <vt:lpwstr>1.1</vt:lpwstr>
  </property>
  <property fmtid="{D5CDD505-2E9C-101B-9397-08002B2CF9AE}" pid="13" name="a0r9">
    <vt:filetime>2021-02-15T13:00:00Z</vt:filetime>
  </property>
  <property fmtid="{D5CDD505-2E9C-101B-9397-08002B2CF9AE}" pid="14" name="Example">
    <vt:lpwstr>https://staffkanganedu.sharepoint.com/:w:/r/sites/AcademicGovernance/Examples/EXAMPLE%20HLTWHS001%20Student%20-%20Project%20Assessment.docx?d=w14db7ff6ceb5487996ea989920e025f8&amp;csf=1&amp;web=1&amp;e=2tBRBu, EXAMPLE HLTWHS001 Student - Project Assessment</vt:lpwstr>
  </property>
  <property fmtid="{D5CDD505-2E9C-101B-9397-08002B2CF9AE}" pid="15" name="DocumentOrder">
    <vt:r8>7</vt:r8>
  </property>
  <property fmtid="{D5CDD505-2E9C-101B-9397-08002B2CF9AE}" pid="16" name="Notes0">
    <vt:lpwstr>Project Assessment</vt:lpwstr>
  </property>
  <property fmtid="{D5CDD505-2E9C-101B-9397-08002B2CF9AE}" pid="17" name="Guides">
    <vt:lpwstr>, </vt:lpwstr>
  </property>
  <property fmtid="{D5CDD505-2E9C-101B-9397-08002B2CF9AE}" pid="18" name="RevIMBCS">
    <vt:lpwstr>1;#Corporate Records|2c702203-4f28-4769-bfc5-dad5ef3425c7</vt:lpwstr>
  </property>
  <property fmtid="{D5CDD505-2E9C-101B-9397-08002B2CF9AE}" pid="19" name="ClassificationContentMarkingHeaderShapeIds">
    <vt:lpwstr>2625bdd2,764f60af,4986bcf9</vt:lpwstr>
  </property>
  <property fmtid="{D5CDD505-2E9C-101B-9397-08002B2CF9AE}" pid="20" name="ClassificationContentMarkingHeaderFontProps">
    <vt:lpwstr>#ff0000,12,Calibri</vt:lpwstr>
  </property>
  <property fmtid="{D5CDD505-2E9C-101B-9397-08002B2CF9AE}" pid="21" name="ClassificationContentMarkingHeaderText">
    <vt:lpwstr>OFFICIAL</vt:lpwstr>
  </property>
  <property fmtid="{D5CDD505-2E9C-101B-9397-08002B2CF9AE}" pid="22" name="MSIP_Label_af2c37eb-6316-4425-a693-0f2d1c6408d2_Enabled">
    <vt:lpwstr>true</vt:lpwstr>
  </property>
  <property fmtid="{D5CDD505-2E9C-101B-9397-08002B2CF9AE}" pid="23" name="MSIP_Label_af2c37eb-6316-4425-a693-0f2d1c6408d2_SetDate">
    <vt:lpwstr>2024-03-13T04:31:37Z</vt:lpwstr>
  </property>
  <property fmtid="{D5CDD505-2E9C-101B-9397-08002B2CF9AE}" pid="24" name="MSIP_Label_af2c37eb-6316-4425-a693-0f2d1c6408d2_Method">
    <vt:lpwstr>Privileged</vt:lpwstr>
  </property>
  <property fmtid="{D5CDD505-2E9C-101B-9397-08002B2CF9AE}" pid="25" name="MSIP_Label_af2c37eb-6316-4425-a693-0f2d1c6408d2_Name">
    <vt:lpwstr>BIL1 - Official</vt:lpwstr>
  </property>
  <property fmtid="{D5CDD505-2E9C-101B-9397-08002B2CF9AE}" pid="26" name="MSIP_Label_af2c37eb-6316-4425-a693-0f2d1c6408d2_SiteId">
    <vt:lpwstr>de0d62ec-e9af-4bee-83f5-f96b295e3fb3</vt:lpwstr>
  </property>
  <property fmtid="{D5CDD505-2E9C-101B-9397-08002B2CF9AE}" pid="27" name="MSIP_Label_af2c37eb-6316-4425-a693-0f2d1c6408d2_ActionId">
    <vt:lpwstr>77c1ff3c-e1f8-4473-a1a7-90bc4b08b31f</vt:lpwstr>
  </property>
  <property fmtid="{D5CDD505-2E9C-101B-9397-08002B2CF9AE}" pid="28" name="MSIP_Label_af2c37eb-6316-4425-a693-0f2d1c6408d2_ContentBits">
    <vt:lpwstr>1</vt:lpwstr>
  </property>
</Properties>
</file>