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ource Sans 3" w:hAnsi="Source Sans 3"/>
          <w:b/>
          <w:color w:val="1F5A5C"/>
          <w:sz w:val="68"/>
        </w:rPr>
        <w:t>YAT</w:t>
      </w:r>
      <w:r>
        <w:rPr>
          <w:b/>
          <w:color w:val="C5613B"/>
          <w:sz w:val="32"/>
        </w:rPr>
        <w:t xml:space="preserve">  COLLEGE</w:t>
      </w:r>
    </w:p>
    <w:p>
      <w:r>
        <w:rPr>
          <w:color w:val="6B6660"/>
          <w:sz w:val="18"/>
        </w:rPr>
        <w:t>YAT College  ·  175 Cremorne St, Cremorne VIC 3121</w:t>
      </w:r>
    </w:p>
    <w:p>
      <w:pPr>
        <w:pBdr>
          <w:bottom w:val="single" w:sz="12" w:space="4" w:color="1F5A5C"/>
        </w:pBdr>
      </w:pPr>
    </w:p>
    <w:p/>
    <w:p/>
    <w:p/>
    <w:p>
      <w:pPr>
        <w:pStyle w:val="Title"/>
      </w:pPr>
      <w:r>
        <w:t>Disaster Recovery Plan</w:t>
      </w:r>
    </w:p>
    <w:p>
      <w:r>
        <w:rPr>
          <w:b/>
          <w:color w:val="C5613B"/>
          <w:sz w:val="30"/>
        </w:rPr>
        <w:t>YAT Website Global Expansion — Disaster Recovery Plan</w:t>
      </w:r>
    </w:p>
    <w:p>
      <w:r>
        <w:rPr>
          <w:i/>
          <w:color w:val="6B6660"/>
          <w:sz w:val="20"/>
        </w:rPr>
        <w:t>Assessor exemplar — internal marking reference (not for distribution to students)</w:t>
      </w:r>
    </w:p>
    <w:p/>
    <w:tbl>
      <w:tblPr>
        <w:tblW w:type="auto" w:w="0"/>
        <w:tblLook w:firstColumn="1" w:firstRow="1" w:lastColumn="0" w:lastRow="0" w:noHBand="0" w:noVBand="1" w:val="04A0"/>
      </w:tblPr>
      <w:tblGrid>
        <w:gridCol w:w="4706"/>
        <w:gridCol w:w="4706"/>
      </w:tblGrid>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Engagement</w:t>
            </w:r>
          </w:p>
        </w:tc>
        <w:tc>
          <w:tcPr>
            <w:tcW w:type="dxa" w:w="6803"/>
            <w:tcBorders>
              <w:top w:val="single" w:sz="4" w:space="0" w:color="E4DED3"/>
              <w:left w:val="single" w:sz="4" w:space="0" w:color="E4DED3"/>
              <w:bottom w:val="single" w:sz="4" w:space="0" w:color="E4DED3"/>
              <w:right w:val="single" w:sz="4" w:space="0" w:color="E4DED3"/>
            </w:tcBorders>
          </w:tcPr>
          <w:p>
            <w:r>
              <w:rPr>
                <w:sz w:val="20"/>
              </w:rPr>
              <w:t>YAT Website Global Expansion &amp; Disaster Recovery</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Engagement reference</w:t>
            </w:r>
          </w:p>
        </w:tc>
        <w:tc>
          <w:tcPr>
            <w:tcW w:type="dxa" w:w="6803"/>
            <w:tcBorders>
              <w:top w:val="single" w:sz="4" w:space="0" w:color="E4DED3"/>
              <w:left w:val="single" w:sz="4" w:space="0" w:color="E4DED3"/>
              <w:bottom w:val="single" w:sz="4" w:space="0" w:color="E4DED3"/>
              <w:right w:val="single" w:sz="4" w:space="0" w:color="E4DED3"/>
            </w:tcBorders>
          </w:tcPr>
          <w:p>
            <w:r>
              <w:rPr>
                <w:sz w:val="20"/>
              </w:rPr>
              <w:t>YAT-MTS-2026-003</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Plan version</w:t>
            </w:r>
          </w:p>
        </w:tc>
        <w:tc>
          <w:tcPr>
            <w:tcW w:type="dxa" w:w="6803"/>
            <w:tcBorders>
              <w:top w:val="single" w:sz="4" w:space="0" w:color="E4DED3"/>
              <w:left w:val="single" w:sz="4" w:space="0" w:color="E4DED3"/>
              <w:bottom w:val="single" w:sz="4" w:space="0" w:color="E4DED3"/>
              <w:right w:val="single" w:sz="4" w:space="0" w:color="E4DED3"/>
            </w:tcBorders>
          </w:tcPr>
          <w:p>
            <w:r>
              <w:rPr>
                <w:sz w:val="20"/>
              </w:rPr>
              <w:t>v1.0</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Prepared by</w:t>
            </w:r>
          </w:p>
        </w:tc>
        <w:tc>
          <w:tcPr>
            <w:tcW w:type="dxa" w:w="6803"/>
            <w:tcBorders>
              <w:top w:val="single" w:sz="4" w:space="0" w:color="E4DED3"/>
              <w:left w:val="single" w:sz="4" w:space="0" w:color="E4DED3"/>
              <w:bottom w:val="single" w:sz="4" w:space="0" w:color="E4DED3"/>
              <w:right w:val="single" w:sz="4" w:space="0" w:color="E4DED3"/>
            </w:tcBorders>
          </w:tcPr>
          <w:p>
            <w:r>
              <w:rPr>
                <w:sz w:val="20"/>
              </w:rPr>
              <w:t>MTS Consultant</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Date submitted</w:t>
            </w:r>
          </w:p>
        </w:tc>
        <w:tc>
          <w:tcPr>
            <w:tcW w:type="dxa" w:w="6803"/>
            <w:tcBorders>
              <w:top w:val="single" w:sz="4" w:space="0" w:color="E4DED3"/>
              <w:left w:val="single" w:sz="4" w:space="0" w:color="E4DED3"/>
              <w:bottom w:val="single" w:sz="4" w:space="0" w:color="E4DED3"/>
              <w:right w:val="single" w:sz="4" w:space="0" w:color="E4DED3"/>
            </w:tcBorders>
          </w:tcPr>
          <w:p>
            <w:r>
              <w:rPr>
                <w:sz w:val="20"/>
              </w:rPr>
              <w:t>[DD/MM/YYYY]</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Submitted to</w:t>
            </w:r>
          </w:p>
        </w:tc>
        <w:tc>
          <w:tcPr>
            <w:tcW w:type="dxa" w:w="6803"/>
            <w:tcBorders>
              <w:top w:val="single" w:sz="4" w:space="0" w:color="E4DED3"/>
              <w:left w:val="single" w:sz="4" w:space="0" w:color="E4DED3"/>
              <w:bottom w:val="single" w:sz="4" w:space="0" w:color="E4DED3"/>
              <w:right w:val="single" w:sz="4" w:space="0" w:color="E4DED3"/>
            </w:tcBorders>
          </w:tcPr>
          <w:p>
            <w:r>
              <w:rPr>
                <w:sz w:val="20"/>
              </w:rPr>
              <w:t>Sam Walker (YAT ICT Manager) · Dana Mercer (Marketing &amp; Admissions Manager) · Pat Lin (MTS Senior Consultant)</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Related documents</w:t>
            </w:r>
          </w:p>
        </w:tc>
        <w:tc>
          <w:tcPr>
            <w:tcW w:type="dxa" w:w="6803"/>
            <w:tcBorders>
              <w:top w:val="single" w:sz="4" w:space="0" w:color="E4DED3"/>
              <w:left w:val="single" w:sz="4" w:space="0" w:color="E4DED3"/>
              <w:bottom w:val="single" w:sz="4" w:space="0" w:color="E4DED3"/>
              <w:right w:val="single" w:sz="4" w:space="0" w:color="E4DED3"/>
            </w:tcBorders>
          </w:tcPr>
          <w:p>
            <w:r>
              <w:rPr>
                <w:sz w:val="20"/>
              </w:rPr>
              <w:t>Website Global Expansion Solution Design (the system this plan protects); the Functional &amp; Non-Functional Requirements (RTO / RPO)</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Classification</w:t>
            </w:r>
          </w:p>
        </w:tc>
        <w:tc>
          <w:tcPr>
            <w:tcW w:type="dxa" w:w="6803"/>
            <w:tcBorders>
              <w:top w:val="single" w:sz="4" w:space="0" w:color="E4DED3"/>
              <w:left w:val="single" w:sz="4" w:space="0" w:color="E4DED3"/>
              <w:bottom w:val="single" w:sz="4" w:space="0" w:color="E4DED3"/>
              <w:right w:val="single" w:sz="4" w:space="0" w:color="E4DED3"/>
            </w:tcBorders>
          </w:tcPr>
          <w:p>
            <w:r>
              <w:rPr>
                <w:sz w:val="20"/>
              </w:rPr>
              <w:t>Commercial-in-confidence</w:t>
            </w:r>
          </w:p>
        </w:tc>
      </w:tr>
    </w:tbl>
    <w:p>
      <w:pPr>
        <w:sectPr>
          <w:headerReference w:type="default" r:id="rId9"/>
          <w:footerReference w:type="default" r:id="rId10"/>
          <w:pgSz w:w="11906" w:h="16838"/>
          <w:pgMar w:top="1474" w:right="1247" w:bottom="1247" w:left="1247" w:header="567" w:footer="567" w:gutter="0"/>
          <w:cols w:space="720"/>
          <w:docGrid w:linePitch="360"/>
        </w:sectPr>
      </w:pPr>
    </w:p>
    <w:p>
      <w:pPr>
        <w:pStyle w:val="Heading1"/>
      </w:pPr>
      <w:r>
        <w:t>Contents</w:t>
      </w:r>
    </w:p>
    <w:p>
      <w:r>
        <w:fldChar w:fldCharType="begin"/>
        <w:instrText xml:space="preserve">TOC \o "1-3" \h \z \u</w:instrText>
        <w:fldChar w:fldCharType="separate"/>
      </w:r>
      <w:r>
        <w:rPr>
          <w:color w:val="6B6660"/>
        </w:rPr>
        <w:t>Right-click and choose “Update Field” to build the table of contents.</w:t>
      </w:r>
      <w:r>
        <w:fldChar w:fldCharType="end"/>
      </w:r>
    </w:p>
    <w:p>
      <w:pPr>
        <w:sectPr>
          <w:headerReference w:type="default" r:id="rId11"/>
          <w:footerReference w:type="default" r:id="rId12"/>
          <w:pgSz w:w="11906" w:h="16838"/>
          <w:pgMar w:top="1474" w:right="1247" w:bottom="1247" w:left="1247" w:header="567" w:footer="567" w:gutter="0"/>
          <w:cols w:space="720"/>
          <w:docGrid w:linePitch="360"/>
        </w:sectPr>
      </w:pPr>
    </w:p>
    <w:p>
      <w:pPr>
        <w:pStyle w:val="Heading1"/>
      </w:pPr>
      <w:r>
        <w:t>1. Executive Summary</w:t>
      </w:r>
    </w:p>
    <w:p>
      <w:pPr>
        <w:spacing w:after="120"/>
      </w:pPr>
      <w:r>
        <w:rPr>
          <w:i/>
          <w:color w:val="1F5A5C"/>
          <w:sz w:val="17"/>
        </w:rPr>
        <w:t>Evidences: [ICTCLD501 PE 1] — overview of the developed and evaluated plan</w:t>
      </w:r>
    </w:p>
    <w:p>
      <w:r>
        <w:rPr>
          <w:sz w:val="21"/>
        </w:rPr>
        <w:t>This Disaster Recovery Plan protects the YAT public website after its expansion to serve the new India-campus audience. As the global enrolment front-door, the website is now business-critical — and it must survive the loss of an entire cloud region, a risk the existing in-region high-availability design does not address. The plan analyses three major risk events (loss of the primary region, destructive data loss, and a cyber-security compromise), sets the recovery objectives at RTO ≤ 4 hours and RPO ≤ 1 hour, and recommends a backup-and-restore strategy that recovers the website into a second Australian region (Melbourne, ap-southeast-4).</w:t>
      </w:r>
    </w:p>
    <w:p>
      <w:r>
        <w:rPr>
          <w:sz w:val="21"/>
        </w:rPr>
        <w:t>Recovery is driven from infrastructure-as-code plus automated and cross-region backups, which together rebuild and restore the platform inside the four-hour window. Recovery is kept within Australia, so restoring the service introduces no new cross-border movement of the website's Australian-held data. The plan was validated and signed off at the design-approval presentation (§7).</w:t>
      </w:r>
    </w:p>
    <w:p>
      <w:pPr>
        <w:pStyle w:val="Heading1"/>
      </w:pPr>
      <w:r>
        <w:t>2. Engagement Context and Scope</w:t>
      </w:r>
    </w:p>
    <w:p>
      <w:pPr>
        <w:spacing w:after="120"/>
      </w:pPr>
      <w:r>
        <w:rPr>
          <w:i/>
          <w:color w:val="1F5A5C"/>
          <w:sz w:val="17"/>
        </w:rPr>
        <w:t>Evidences: [ICTCLD501 PC 1.1] identify disaster recovery plan requirements according to business needs</w:t>
      </w:r>
    </w:p>
    <w:p>
      <w:r>
        <w:rPr>
          <w:sz w:val="21"/>
        </w:rPr>
        <w:t>The website was migrated to AWS and hardened for in-region high availability (Multi-AZ database, a cross-AZ Auto Scaling group behind a load balancer, media served from object storage) under prior engagements. This engagement extends it for the India campus, and this plan adds the region-level disaster recovery that the partnership makes necessary. The business requirement, confirmed with the YAT ICT Manager, is that a disaster affecting the primary region must lose no more than one hour of data (RPO ≤ 1 h) and the website must be back in service within four hours (RTO ≤ 4 h).</w:t>
      </w:r>
    </w:p>
    <w:p>
      <w:r>
        <w:rPr>
          <w:sz w:val="21"/>
        </w:rPr>
        <w:t>In scope: the website's web / application tier and its database, serving both the Australian and the India prospective-student audiences. Out of scope: in-region component or Availability-Zone failure (already handled by the existing HA design), application-layer recovery of the website CMS software (a YAT responsibility), and the separate India audit-log store (an independently-durable service designed in the companion Solution Design). The plan designs to the recovery objectives; it does not set them.</w:t>
      </w:r>
    </w:p>
    <w:p>
      <w:pPr>
        <w:pStyle w:val="Heading1"/>
      </w:pPr>
      <w:r>
        <w:t>3. Current Recovery Position</w:t>
      </w:r>
    </w:p>
    <w:p>
      <w:pPr>
        <w:spacing w:after="120"/>
      </w:pPr>
      <w:r>
        <w:rPr>
          <w:i/>
          <w:color w:val="1F5A5C"/>
          <w:sz w:val="17"/>
        </w:rPr>
        <w:t>Evidences: [ICTCLD501 PC 1.2] existing organisational recovery plans · [ICTCLD501 PC 1.3] vendor disaster recovery plan and SLAs</w:t>
      </w:r>
    </w:p>
    <w:p>
      <w:r>
        <w:rPr>
          <w:sz w:val="21"/>
        </w:rPr>
        <w:t>Existing arrangements (PC 1.2): the only previously documented disaster recovery plan is the deprecated on-premises DR plan, which the move to the cloud superseded and which no longer applies. The current website platform provides in-region resilience — a Multi-AZ database with automatic failover, an Auto Scaling group and load balancer across two Availability Zones, media held in Amazon S3, and automated database backups (per the Baseline Design, governed by the YAT Backup and Retention Policy). These protect against the loss of a component or an Availability Zone, but not against the loss of the whole region; YAT has no current region-level recovery plan, which is the gap this plan closes.</w:t>
      </w:r>
    </w:p>
    <w:p>
      <w:r>
        <w:rPr>
          <w:sz w:val="21"/>
        </w:rPr>
        <w:t>Vendor provisions and SLAs (PC 1.3): AWS operates each region as multiple independent Availability Zones and offers the native cross-region protections this plan relies on — automated RDS backups with point-in-time restore, cross-region snapshot copy, S3 eleven-nines durability with cross-region replication for media, and CloudFront for global delivery. The engagement is covered by AWS Business Support (severity-1 response within one hour), and recovery operates under the AWS shared-responsibility model: AWS for the regional infrastructure, YAT for the data, configuration, and recovery actions.</w:t>
      </w:r>
    </w:p>
    <w:p>
      <w:pPr>
        <w:pStyle w:val="Heading1"/>
      </w:pPr>
      <w:r>
        <w:t>4. Impact Analysis</w:t>
      </w:r>
    </w:p>
    <w:p>
      <w:pPr>
        <w:spacing w:after="120"/>
      </w:pPr>
      <w:r>
        <w:rPr>
          <w:i/>
          <w:color w:val="1F5A5C"/>
          <w:sz w:val="17"/>
        </w:rPr>
        <w:t>Evidences: [ICTCLD501 PC 2.1–2.5] · [ICTCLD501 PE 2]</w:t>
      </w:r>
    </w:p>
    <w:p>
      <w:r>
        <w:rPr>
          <w:sz w:val="21"/>
        </w:rPr>
        <w:t>Method: risks were identified in a workshop with YAT ICT and a review of the expanded architecture, then rated on likelihood and impact to give a severity, with the recovery objectives derived from the business's tolerance for downtime and data loss.</w:t>
      </w:r>
    </w:p>
    <w:p>
      <w:r>
        <w:rPr>
          <w:sz w:val="21"/>
        </w:rPr>
        <w:t>Recovery objectives (PC 2.1): RTO ≤ 4 hours and RPO ≤ 1 hour, carried from the Functional &amp; Non-Functional Requirements. RPO ≤ 1 h means recovery may lose at most the last hour of data; RTO ≤ 4 h means service is restored within four hours of an incident being declared. These figures drove the choice of backup cadence and recovery strategy in §5.</w:t>
      </w:r>
    </w:p>
    <w:p>
      <w:r>
        <w:rPr>
          <w:sz w:val="21"/>
        </w:rPr>
        <w:t>Data managed (PC 2.3): the website database (approximately 15–25 GB) holds the CMS content, the course catalogue, and the enquiry / application records — which include prospective-student personal information; uploaded media (brochures, images, course PDFs) is held separately in Amazon S3. This data is subject to the Australian Privacy Act; keeping recovery within Australia avoids any new cross-border handling of it. (The India-cohort access logs are held in India by the separate audit-log service and are outside this plan.)</w:t>
      </w:r>
    </w:p>
    <w:p>
      <w:r>
        <w:rPr>
          <w:sz w:val="21"/>
        </w:rPr>
        <w:t>Risk environment: the principal risks to a public-facing, mission-critical website now relied on by a partner institution for enrolment are assessed below.</w:t>
      </w:r>
    </w:p>
    <w:tbl>
      <w:tblPr>
        <w:tblW w:type="auto" w:w="0"/>
        <w:jc w:val="center"/>
        <w:tblLook w:firstColumn="1" w:firstRow="1" w:lastColumn="0" w:lastRow="0" w:noHBand="0" w:noVBand="1" w:val="04A0"/>
      </w:tblPr>
      <w:tblGrid>
        <w:gridCol w:w="1569"/>
        <w:gridCol w:w="1569"/>
        <w:gridCol w:w="1569"/>
        <w:gridCol w:w="1569"/>
        <w:gridCol w:w="1569"/>
        <w:gridCol w:w="1569"/>
      </w:tblGrid>
      <w:tr>
        <w:tc>
          <w:tcPr>
            <w:tcW w:type="dxa" w:w="510"/>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w:t>
            </w:r>
          </w:p>
        </w:tc>
        <w:tc>
          <w:tcPr>
            <w:tcW w:type="dxa" w:w="306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Risk event</w:t>
            </w:r>
          </w:p>
        </w:tc>
        <w:tc>
          <w:tcPr>
            <w:tcW w:type="dxa" w:w="113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Likelihood</w:t>
            </w:r>
          </w:p>
        </w:tc>
        <w:tc>
          <w:tcPr>
            <w:tcW w:type="dxa" w:w="1020"/>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Impact</w:t>
            </w:r>
          </w:p>
        </w:tc>
        <w:tc>
          <w:tcPr>
            <w:tcW w:type="dxa" w:w="1020"/>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Severity</w:t>
            </w:r>
          </w:p>
        </w:tc>
        <w:tc>
          <w:tcPr>
            <w:tcW w:type="dxa" w:w="232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Drives</w:t>
            </w:r>
          </w:p>
        </w:tc>
      </w:tr>
      <w:tr>
        <w:tc>
          <w:tcPr>
            <w:tcW w:type="dxa" w:w="510"/>
            <w:tcBorders>
              <w:top w:val="single" w:sz="4" w:space="0" w:color="E4DED3"/>
              <w:left w:val="single" w:sz="4" w:space="0" w:color="E4DED3"/>
              <w:bottom w:val="single" w:sz="4" w:space="0" w:color="E4DED3"/>
              <w:right w:val="single" w:sz="4" w:space="0" w:color="E4DED3"/>
            </w:tcBorders>
          </w:tcPr>
          <w:p>
            <w:r>
              <w:rPr>
                <w:b/>
                <w:sz w:val="18"/>
              </w:rPr>
              <w:t>RE1</w:t>
            </w:r>
          </w:p>
        </w:tc>
        <w:tc>
          <w:tcPr>
            <w:tcW w:type="dxa" w:w="3061"/>
            <w:tcBorders>
              <w:top w:val="single" w:sz="4" w:space="0" w:color="E4DED3"/>
              <w:left w:val="single" w:sz="4" w:space="0" w:color="E4DED3"/>
              <w:bottom w:val="single" w:sz="4" w:space="0" w:color="E4DED3"/>
              <w:right w:val="single" w:sz="4" w:space="0" w:color="E4DED3"/>
            </w:tcBorders>
          </w:tcPr>
          <w:p>
            <w:r>
              <w:rPr>
                <w:sz w:val="18"/>
              </w:rPr>
              <w:t>Loss of the primary region (region-wide AWS outage)</w:t>
            </w:r>
          </w:p>
        </w:tc>
        <w:tc>
          <w:tcPr>
            <w:tcW w:type="dxa" w:w="1134"/>
            <w:tcBorders>
              <w:top w:val="single" w:sz="4" w:space="0" w:color="E4DED3"/>
              <w:left w:val="single" w:sz="4" w:space="0" w:color="E4DED3"/>
              <w:bottom w:val="single" w:sz="4" w:space="0" w:color="E4DED3"/>
              <w:right w:val="single" w:sz="4" w:space="0" w:color="E4DED3"/>
            </w:tcBorders>
          </w:tcPr>
          <w:p>
            <w:r>
              <w:rPr>
                <w:sz w:val="18"/>
              </w:rPr>
              <w:t>Low</w:t>
            </w:r>
          </w:p>
        </w:tc>
        <w:tc>
          <w:tcPr>
            <w:tcW w:type="dxa" w:w="1020"/>
            <w:tcBorders>
              <w:top w:val="single" w:sz="4" w:space="0" w:color="E4DED3"/>
              <w:left w:val="single" w:sz="4" w:space="0" w:color="E4DED3"/>
              <w:bottom w:val="single" w:sz="4" w:space="0" w:color="E4DED3"/>
              <w:right w:val="single" w:sz="4" w:space="0" w:color="E4DED3"/>
            </w:tcBorders>
          </w:tcPr>
          <w:p>
            <w:r>
              <w:rPr>
                <w:sz w:val="18"/>
              </w:rPr>
              <w:t>Critical</w:t>
            </w:r>
          </w:p>
        </w:tc>
        <w:tc>
          <w:tcPr>
            <w:tcW w:type="dxa" w:w="1020"/>
            <w:tcBorders>
              <w:top w:val="single" w:sz="4" w:space="0" w:color="E4DED3"/>
              <w:left w:val="single" w:sz="4" w:space="0" w:color="E4DED3"/>
              <w:bottom w:val="single" w:sz="4" w:space="0" w:color="E4DED3"/>
              <w:right w:val="single" w:sz="4" w:space="0" w:color="E4DED3"/>
            </w:tcBorders>
          </w:tcPr>
          <w:p>
            <w:r>
              <w:rPr>
                <w:sz w:val="18"/>
              </w:rPr>
              <w:t>High</w:t>
            </w:r>
          </w:p>
        </w:tc>
        <w:tc>
          <w:tcPr>
            <w:tcW w:type="dxa" w:w="2324"/>
            <w:tcBorders>
              <w:top w:val="single" w:sz="4" w:space="0" w:color="E4DED3"/>
              <w:left w:val="single" w:sz="4" w:space="0" w:color="E4DED3"/>
              <w:bottom w:val="single" w:sz="4" w:space="0" w:color="E4DED3"/>
              <w:right w:val="single" w:sz="4" w:space="0" w:color="E4DED3"/>
            </w:tcBorders>
          </w:tcPr>
          <w:p>
            <w:r>
              <w:rPr>
                <w:sz w:val="18"/>
              </w:rPr>
              <w:t>Cross-region recovery capability</w:t>
            </w:r>
          </w:p>
        </w:tc>
      </w:tr>
      <w:tr>
        <w:tc>
          <w:tcPr>
            <w:tcW w:type="dxa" w:w="510"/>
            <w:tcBorders>
              <w:top w:val="single" w:sz="4" w:space="0" w:color="E4DED3"/>
              <w:left w:val="single" w:sz="4" w:space="0" w:color="E4DED3"/>
              <w:bottom w:val="single" w:sz="4" w:space="0" w:color="E4DED3"/>
              <w:right w:val="single" w:sz="4" w:space="0" w:color="E4DED3"/>
            </w:tcBorders>
          </w:tcPr>
          <w:p>
            <w:r>
              <w:rPr>
                <w:b/>
                <w:sz w:val="18"/>
              </w:rPr>
              <w:t>RE2</w:t>
            </w:r>
          </w:p>
        </w:tc>
        <w:tc>
          <w:tcPr>
            <w:tcW w:type="dxa" w:w="3061"/>
            <w:tcBorders>
              <w:top w:val="single" w:sz="4" w:space="0" w:color="E4DED3"/>
              <w:left w:val="single" w:sz="4" w:space="0" w:color="E4DED3"/>
              <w:bottom w:val="single" w:sz="4" w:space="0" w:color="E4DED3"/>
              <w:right w:val="single" w:sz="4" w:space="0" w:color="E4DED3"/>
            </w:tcBorders>
          </w:tcPr>
          <w:p>
            <w:r>
              <w:rPr>
                <w:sz w:val="18"/>
              </w:rPr>
              <w:t>Destructive data loss (corruption or accidental deletion)</w:t>
            </w:r>
          </w:p>
        </w:tc>
        <w:tc>
          <w:tcPr>
            <w:tcW w:type="dxa" w:w="1134"/>
            <w:tcBorders>
              <w:top w:val="single" w:sz="4" w:space="0" w:color="E4DED3"/>
              <w:left w:val="single" w:sz="4" w:space="0" w:color="E4DED3"/>
              <w:bottom w:val="single" w:sz="4" w:space="0" w:color="E4DED3"/>
              <w:right w:val="single" w:sz="4" w:space="0" w:color="E4DED3"/>
            </w:tcBorders>
          </w:tcPr>
          <w:p>
            <w:r>
              <w:rPr>
                <w:sz w:val="18"/>
              </w:rPr>
              <w:t>Medium</w:t>
            </w:r>
          </w:p>
        </w:tc>
        <w:tc>
          <w:tcPr>
            <w:tcW w:type="dxa" w:w="1020"/>
            <w:tcBorders>
              <w:top w:val="single" w:sz="4" w:space="0" w:color="E4DED3"/>
              <w:left w:val="single" w:sz="4" w:space="0" w:color="E4DED3"/>
              <w:bottom w:val="single" w:sz="4" w:space="0" w:color="E4DED3"/>
              <w:right w:val="single" w:sz="4" w:space="0" w:color="E4DED3"/>
            </w:tcBorders>
          </w:tcPr>
          <w:p>
            <w:r>
              <w:rPr>
                <w:sz w:val="18"/>
              </w:rPr>
              <w:t>High</w:t>
            </w:r>
          </w:p>
        </w:tc>
        <w:tc>
          <w:tcPr>
            <w:tcW w:type="dxa" w:w="1020"/>
            <w:tcBorders>
              <w:top w:val="single" w:sz="4" w:space="0" w:color="E4DED3"/>
              <w:left w:val="single" w:sz="4" w:space="0" w:color="E4DED3"/>
              <w:bottom w:val="single" w:sz="4" w:space="0" w:color="E4DED3"/>
              <w:right w:val="single" w:sz="4" w:space="0" w:color="E4DED3"/>
            </w:tcBorders>
          </w:tcPr>
          <w:p>
            <w:r>
              <w:rPr>
                <w:sz w:val="18"/>
              </w:rPr>
              <w:t>High</w:t>
            </w:r>
          </w:p>
        </w:tc>
        <w:tc>
          <w:tcPr>
            <w:tcW w:type="dxa" w:w="2324"/>
            <w:tcBorders>
              <w:top w:val="single" w:sz="4" w:space="0" w:color="E4DED3"/>
              <w:left w:val="single" w:sz="4" w:space="0" w:color="E4DED3"/>
              <w:bottom w:val="single" w:sz="4" w:space="0" w:color="E4DED3"/>
              <w:right w:val="single" w:sz="4" w:space="0" w:color="E4DED3"/>
            </w:tcBorders>
          </w:tcPr>
          <w:p>
            <w:r>
              <w:rPr>
                <w:sz w:val="18"/>
              </w:rPr>
              <w:t>Point-in-time backups (RPO)</w:t>
            </w:r>
          </w:p>
        </w:tc>
      </w:tr>
      <w:tr>
        <w:tc>
          <w:tcPr>
            <w:tcW w:type="dxa" w:w="510"/>
            <w:tcBorders>
              <w:top w:val="single" w:sz="4" w:space="0" w:color="E4DED3"/>
              <w:left w:val="single" w:sz="4" w:space="0" w:color="E4DED3"/>
              <w:bottom w:val="single" w:sz="4" w:space="0" w:color="E4DED3"/>
              <w:right w:val="single" w:sz="4" w:space="0" w:color="E4DED3"/>
            </w:tcBorders>
          </w:tcPr>
          <w:p>
            <w:r>
              <w:rPr>
                <w:b/>
                <w:sz w:val="18"/>
              </w:rPr>
              <w:t>RE3</w:t>
            </w:r>
          </w:p>
        </w:tc>
        <w:tc>
          <w:tcPr>
            <w:tcW w:type="dxa" w:w="3061"/>
            <w:tcBorders>
              <w:top w:val="single" w:sz="4" w:space="0" w:color="E4DED3"/>
              <w:left w:val="single" w:sz="4" w:space="0" w:color="E4DED3"/>
              <w:bottom w:val="single" w:sz="4" w:space="0" w:color="E4DED3"/>
              <w:right w:val="single" w:sz="4" w:space="0" w:color="E4DED3"/>
            </w:tcBorders>
          </w:tcPr>
          <w:p>
            <w:r>
              <w:rPr>
                <w:sz w:val="18"/>
              </w:rPr>
              <w:t>Cyber-security compromise (ransomware / defacement / credential abuse)</w:t>
            </w:r>
          </w:p>
        </w:tc>
        <w:tc>
          <w:tcPr>
            <w:tcW w:type="dxa" w:w="1134"/>
            <w:tcBorders>
              <w:top w:val="single" w:sz="4" w:space="0" w:color="E4DED3"/>
              <w:left w:val="single" w:sz="4" w:space="0" w:color="E4DED3"/>
              <w:bottom w:val="single" w:sz="4" w:space="0" w:color="E4DED3"/>
              <w:right w:val="single" w:sz="4" w:space="0" w:color="E4DED3"/>
            </w:tcBorders>
          </w:tcPr>
          <w:p>
            <w:r>
              <w:rPr>
                <w:sz w:val="18"/>
              </w:rPr>
              <w:t>Medium</w:t>
            </w:r>
          </w:p>
        </w:tc>
        <w:tc>
          <w:tcPr>
            <w:tcW w:type="dxa" w:w="1020"/>
            <w:tcBorders>
              <w:top w:val="single" w:sz="4" w:space="0" w:color="E4DED3"/>
              <w:left w:val="single" w:sz="4" w:space="0" w:color="E4DED3"/>
              <w:bottom w:val="single" w:sz="4" w:space="0" w:color="E4DED3"/>
              <w:right w:val="single" w:sz="4" w:space="0" w:color="E4DED3"/>
            </w:tcBorders>
          </w:tcPr>
          <w:p>
            <w:r>
              <w:rPr>
                <w:sz w:val="18"/>
              </w:rPr>
              <w:t>Critical</w:t>
            </w:r>
          </w:p>
        </w:tc>
        <w:tc>
          <w:tcPr>
            <w:tcW w:type="dxa" w:w="1020"/>
            <w:tcBorders>
              <w:top w:val="single" w:sz="4" w:space="0" w:color="E4DED3"/>
              <w:left w:val="single" w:sz="4" w:space="0" w:color="E4DED3"/>
              <w:bottom w:val="single" w:sz="4" w:space="0" w:color="E4DED3"/>
              <w:right w:val="single" w:sz="4" w:space="0" w:color="E4DED3"/>
            </w:tcBorders>
          </w:tcPr>
          <w:p>
            <w:r>
              <w:rPr>
                <w:sz w:val="18"/>
              </w:rPr>
              <w:t>High</w:t>
            </w:r>
          </w:p>
        </w:tc>
        <w:tc>
          <w:tcPr>
            <w:tcW w:type="dxa" w:w="2324"/>
            <w:tcBorders>
              <w:top w:val="single" w:sz="4" w:space="0" w:color="E4DED3"/>
              <w:left w:val="single" w:sz="4" w:space="0" w:color="E4DED3"/>
              <w:bottom w:val="single" w:sz="4" w:space="0" w:color="E4DED3"/>
              <w:right w:val="single" w:sz="4" w:space="0" w:color="E4DED3"/>
            </w:tcBorders>
          </w:tcPr>
          <w:p>
            <w:r>
              <w:rPr>
                <w:sz w:val="18"/>
              </w:rPr>
              <w:t>Isolated, immutable, cross-region backups</w:t>
            </w:r>
          </w:p>
        </w:tc>
      </w:tr>
    </w:tbl>
    <w:p/>
    <w:p>
      <w:r>
        <w:rPr>
          <w:sz w:val="21"/>
        </w:rPr>
        <w:t>Severity of impact and disruption (PC 2.4): RE1 and RE3 are the most severe — both can take the public website fully offline (cutting off the enrolment front-door), and RE3 also threatens data integrity and the institution's public reputation with the partner. RE2 is contained to the affected data but can still breach the RPO if backups are inadequate.</w:t>
      </w:r>
    </w:p>
    <w:p>
      <w:r>
        <w:rPr>
          <w:sz w:val="21"/>
        </w:rPr>
        <w:t>Plan exclusions (PC 2.2): single-component and single-AZ failures are excluded — they are handled by the existing in-region HA design, not this plan. Application-layer faults within the website CMS software are excluded as a YAT responsibility. The plan assumes recovery into at least one healthy AWS region remains possible; a simultaneous loss of both the primary and recovery regions is outside its scope.</w:t>
      </w:r>
    </w:p>
    <w:p>
      <w:r>
        <w:rPr>
          <w:sz w:val="21"/>
        </w:rPr>
        <w:t>Outcomes (PC 2.5): this impact analysis is recorded in YAT ICT shared documentation per the Backup and Retention and Records Management policies, and is the basis for the recovery strategy in §5.</w:t>
      </w:r>
    </w:p>
    <w:p>
      <w:pPr>
        <w:pStyle w:val="Heading1"/>
      </w:pPr>
      <w:r>
        <w:t>5. Recovery Strategy</w:t>
      </w:r>
    </w:p>
    <w:p>
      <w:pPr>
        <w:spacing w:after="120"/>
      </w:pPr>
      <w:r>
        <w:rPr>
          <w:i/>
          <w:color w:val="1F5A5C"/>
          <w:sz w:val="17"/>
        </w:rPr>
        <w:t>Evidences: [ICTCLD501 PC 3.1–3.4]</w:t>
      </w:r>
    </w:p>
    <w:p>
      <w:r>
        <w:rPr>
          <w:sz w:val="21"/>
        </w:rPr>
        <w:t>Range of solutions evaluated (PC 3.1): the four standard cloud DR strategies were assessed against the RTO/RPO targets and cost.</w:t>
      </w:r>
    </w:p>
    <w:tbl>
      <w:tblPr>
        <w:tblW w:type="auto" w:w="0"/>
        <w:jc w:val="center"/>
        <w:tblLook w:firstColumn="1" w:firstRow="1" w:lastColumn="0" w:lastRow="0" w:noHBand="0" w:noVBand="1" w:val="04A0"/>
      </w:tblPr>
      <w:tblGrid>
        <w:gridCol w:w="1882"/>
        <w:gridCol w:w="1882"/>
        <w:gridCol w:w="1882"/>
        <w:gridCol w:w="1882"/>
        <w:gridCol w:w="1882"/>
      </w:tblGrid>
      <w:tr>
        <w:tc>
          <w:tcPr>
            <w:tcW w:type="dxa" w:w="249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Option</w:t>
            </w:r>
          </w:p>
        </w:tc>
        <w:tc>
          <w:tcPr>
            <w:tcW w:type="dxa" w:w="113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RTO</w:t>
            </w:r>
          </w:p>
        </w:tc>
        <w:tc>
          <w:tcPr>
            <w:tcW w:type="dxa" w:w="136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RPO</w:t>
            </w:r>
          </w:p>
        </w:tc>
        <w:tc>
          <w:tcPr>
            <w:tcW w:type="dxa" w:w="136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Relative cost</w:t>
            </w:r>
          </w:p>
        </w:tc>
        <w:tc>
          <w:tcPr>
            <w:tcW w:type="dxa" w:w="243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Fit</w:t>
            </w:r>
          </w:p>
        </w:tc>
      </w:tr>
      <w:tr>
        <w:tc>
          <w:tcPr>
            <w:tcW w:type="dxa" w:w="2494"/>
            <w:tcBorders>
              <w:top w:val="single" w:sz="4" w:space="0" w:color="E4DED3"/>
              <w:left w:val="single" w:sz="4" w:space="0" w:color="E4DED3"/>
              <w:bottom w:val="single" w:sz="4" w:space="0" w:color="E4DED3"/>
              <w:right w:val="single" w:sz="4" w:space="0" w:color="E4DED3"/>
            </w:tcBorders>
          </w:tcPr>
          <w:p>
            <w:r>
              <w:rPr>
                <w:b/>
                <w:sz w:val="18"/>
              </w:rPr>
              <w:t>Backup &amp; Restore (recommended)</w:t>
            </w:r>
          </w:p>
        </w:tc>
        <w:tc>
          <w:tcPr>
            <w:tcW w:type="dxa" w:w="1134"/>
            <w:tcBorders>
              <w:top w:val="single" w:sz="4" w:space="0" w:color="E4DED3"/>
              <w:left w:val="single" w:sz="4" w:space="0" w:color="E4DED3"/>
              <w:bottom w:val="single" w:sz="4" w:space="0" w:color="E4DED3"/>
              <w:right w:val="single" w:sz="4" w:space="0" w:color="E4DED3"/>
            </w:tcBorders>
          </w:tcPr>
          <w:p>
            <w:r>
              <w:rPr>
                <w:sz w:val="18"/>
              </w:rPr>
              <w:t>Hours</w:t>
            </w:r>
          </w:p>
        </w:tc>
        <w:tc>
          <w:tcPr>
            <w:tcW w:type="dxa" w:w="1361"/>
            <w:tcBorders>
              <w:top w:val="single" w:sz="4" w:space="0" w:color="E4DED3"/>
              <w:left w:val="single" w:sz="4" w:space="0" w:color="E4DED3"/>
              <w:bottom w:val="single" w:sz="4" w:space="0" w:color="E4DED3"/>
              <w:right w:val="single" w:sz="4" w:space="0" w:color="E4DED3"/>
            </w:tcBorders>
          </w:tcPr>
          <w:p>
            <w:r>
              <w:rPr>
                <w:sz w:val="18"/>
              </w:rPr>
              <w:t>Minutes–1 h</w:t>
            </w:r>
          </w:p>
        </w:tc>
        <w:tc>
          <w:tcPr>
            <w:tcW w:type="dxa" w:w="1361"/>
            <w:tcBorders>
              <w:top w:val="single" w:sz="4" w:space="0" w:color="E4DED3"/>
              <w:left w:val="single" w:sz="4" w:space="0" w:color="E4DED3"/>
              <w:bottom w:val="single" w:sz="4" w:space="0" w:color="E4DED3"/>
              <w:right w:val="single" w:sz="4" w:space="0" w:color="E4DED3"/>
            </w:tcBorders>
          </w:tcPr>
          <w:p>
            <w:r>
              <w:rPr>
                <w:sz w:val="18"/>
              </w:rPr>
              <w:t>Low</w:t>
            </w:r>
          </w:p>
        </w:tc>
        <w:tc>
          <w:tcPr>
            <w:tcW w:type="dxa" w:w="2438"/>
            <w:tcBorders>
              <w:top w:val="single" w:sz="4" w:space="0" w:color="E4DED3"/>
              <w:left w:val="single" w:sz="4" w:space="0" w:color="E4DED3"/>
              <w:bottom w:val="single" w:sz="4" w:space="0" w:color="E4DED3"/>
              <w:right w:val="single" w:sz="4" w:space="0" w:color="E4DED3"/>
            </w:tcBorders>
          </w:tcPr>
          <w:p>
            <w:r>
              <w:rPr>
                <w:sz w:val="18"/>
              </w:rPr>
              <w:t>Meets ≤ 4 h / ≤ 1 h at lowest cost and complexity</w:t>
            </w:r>
          </w:p>
        </w:tc>
      </w:tr>
      <w:tr>
        <w:tc>
          <w:tcPr>
            <w:tcW w:type="dxa" w:w="2494"/>
            <w:tcBorders>
              <w:top w:val="single" w:sz="4" w:space="0" w:color="E4DED3"/>
              <w:left w:val="single" w:sz="4" w:space="0" w:color="E4DED3"/>
              <w:bottom w:val="single" w:sz="4" w:space="0" w:color="E4DED3"/>
              <w:right w:val="single" w:sz="4" w:space="0" w:color="E4DED3"/>
            </w:tcBorders>
          </w:tcPr>
          <w:p>
            <w:r>
              <w:rPr>
                <w:b/>
                <w:sz w:val="18"/>
              </w:rPr>
              <w:t>Pilot Light</w:t>
            </w:r>
          </w:p>
        </w:tc>
        <w:tc>
          <w:tcPr>
            <w:tcW w:type="dxa" w:w="1134"/>
            <w:tcBorders>
              <w:top w:val="single" w:sz="4" w:space="0" w:color="E4DED3"/>
              <w:left w:val="single" w:sz="4" w:space="0" w:color="E4DED3"/>
              <w:bottom w:val="single" w:sz="4" w:space="0" w:color="E4DED3"/>
              <w:right w:val="single" w:sz="4" w:space="0" w:color="E4DED3"/>
            </w:tcBorders>
          </w:tcPr>
          <w:p>
            <w:r>
              <w:rPr>
                <w:sz w:val="18"/>
              </w:rPr>
              <w:t>~1 h</w:t>
            </w:r>
          </w:p>
        </w:tc>
        <w:tc>
          <w:tcPr>
            <w:tcW w:type="dxa" w:w="1361"/>
            <w:tcBorders>
              <w:top w:val="single" w:sz="4" w:space="0" w:color="E4DED3"/>
              <w:left w:val="single" w:sz="4" w:space="0" w:color="E4DED3"/>
              <w:bottom w:val="single" w:sz="4" w:space="0" w:color="E4DED3"/>
              <w:right w:val="single" w:sz="4" w:space="0" w:color="E4DED3"/>
            </w:tcBorders>
          </w:tcPr>
          <w:p>
            <w:r>
              <w:rPr>
                <w:sz w:val="18"/>
              </w:rPr>
              <w:t>Minutes</w:t>
            </w:r>
          </w:p>
        </w:tc>
        <w:tc>
          <w:tcPr>
            <w:tcW w:type="dxa" w:w="1361"/>
            <w:tcBorders>
              <w:top w:val="single" w:sz="4" w:space="0" w:color="E4DED3"/>
              <w:left w:val="single" w:sz="4" w:space="0" w:color="E4DED3"/>
              <w:bottom w:val="single" w:sz="4" w:space="0" w:color="E4DED3"/>
              <w:right w:val="single" w:sz="4" w:space="0" w:color="E4DED3"/>
            </w:tcBorders>
          </w:tcPr>
          <w:p>
            <w:r>
              <w:rPr>
                <w:sz w:val="18"/>
              </w:rPr>
              <w:t>Medium</w:t>
            </w:r>
          </w:p>
        </w:tc>
        <w:tc>
          <w:tcPr>
            <w:tcW w:type="dxa" w:w="2438"/>
            <w:tcBorders>
              <w:top w:val="single" w:sz="4" w:space="0" w:color="E4DED3"/>
              <w:left w:val="single" w:sz="4" w:space="0" w:color="E4DED3"/>
              <w:bottom w:val="single" w:sz="4" w:space="0" w:color="E4DED3"/>
              <w:right w:val="single" w:sz="4" w:space="0" w:color="E4DED3"/>
            </w:tcBorders>
          </w:tcPr>
          <w:p>
            <w:r>
              <w:rPr>
                <w:sz w:val="18"/>
              </w:rPr>
              <w:t>Faster than needed; ongoing standby cost</w:t>
            </w:r>
          </w:p>
        </w:tc>
      </w:tr>
      <w:tr>
        <w:tc>
          <w:tcPr>
            <w:tcW w:type="dxa" w:w="2494"/>
            <w:tcBorders>
              <w:top w:val="single" w:sz="4" w:space="0" w:color="E4DED3"/>
              <w:left w:val="single" w:sz="4" w:space="0" w:color="E4DED3"/>
              <w:bottom w:val="single" w:sz="4" w:space="0" w:color="E4DED3"/>
              <w:right w:val="single" w:sz="4" w:space="0" w:color="E4DED3"/>
            </w:tcBorders>
          </w:tcPr>
          <w:p>
            <w:r>
              <w:rPr>
                <w:b/>
                <w:sz w:val="18"/>
              </w:rPr>
              <w:t>Warm Standby</w:t>
            </w:r>
          </w:p>
        </w:tc>
        <w:tc>
          <w:tcPr>
            <w:tcW w:type="dxa" w:w="1134"/>
            <w:tcBorders>
              <w:top w:val="single" w:sz="4" w:space="0" w:color="E4DED3"/>
              <w:left w:val="single" w:sz="4" w:space="0" w:color="E4DED3"/>
              <w:bottom w:val="single" w:sz="4" w:space="0" w:color="E4DED3"/>
              <w:right w:val="single" w:sz="4" w:space="0" w:color="E4DED3"/>
            </w:tcBorders>
          </w:tcPr>
          <w:p>
            <w:r>
              <w:rPr>
                <w:sz w:val="18"/>
              </w:rPr>
              <w:t>Minutes</w:t>
            </w:r>
          </w:p>
        </w:tc>
        <w:tc>
          <w:tcPr>
            <w:tcW w:type="dxa" w:w="1361"/>
            <w:tcBorders>
              <w:top w:val="single" w:sz="4" w:space="0" w:color="E4DED3"/>
              <w:left w:val="single" w:sz="4" w:space="0" w:color="E4DED3"/>
              <w:bottom w:val="single" w:sz="4" w:space="0" w:color="E4DED3"/>
              <w:right w:val="single" w:sz="4" w:space="0" w:color="E4DED3"/>
            </w:tcBorders>
          </w:tcPr>
          <w:p>
            <w:r>
              <w:rPr>
                <w:sz w:val="18"/>
              </w:rPr>
              <w:t>Seconds</w:t>
            </w:r>
          </w:p>
        </w:tc>
        <w:tc>
          <w:tcPr>
            <w:tcW w:type="dxa" w:w="1361"/>
            <w:tcBorders>
              <w:top w:val="single" w:sz="4" w:space="0" w:color="E4DED3"/>
              <w:left w:val="single" w:sz="4" w:space="0" w:color="E4DED3"/>
              <w:bottom w:val="single" w:sz="4" w:space="0" w:color="E4DED3"/>
              <w:right w:val="single" w:sz="4" w:space="0" w:color="E4DED3"/>
            </w:tcBorders>
          </w:tcPr>
          <w:p>
            <w:r>
              <w:rPr>
                <w:sz w:val="18"/>
              </w:rPr>
              <w:t>High</w:t>
            </w:r>
          </w:p>
        </w:tc>
        <w:tc>
          <w:tcPr>
            <w:tcW w:type="dxa" w:w="2438"/>
            <w:tcBorders>
              <w:top w:val="single" w:sz="4" w:space="0" w:color="E4DED3"/>
              <w:left w:val="single" w:sz="4" w:space="0" w:color="E4DED3"/>
              <w:bottom w:val="single" w:sz="4" w:space="0" w:color="E4DED3"/>
              <w:right w:val="single" w:sz="4" w:space="0" w:color="E4DED3"/>
            </w:tcBorders>
          </w:tcPr>
          <w:p>
            <w:r>
              <w:rPr>
                <w:sz w:val="18"/>
              </w:rPr>
              <w:t>Exceeds the requirement; not justified</w:t>
            </w:r>
          </w:p>
        </w:tc>
      </w:tr>
      <w:tr>
        <w:tc>
          <w:tcPr>
            <w:tcW w:type="dxa" w:w="2494"/>
            <w:tcBorders>
              <w:top w:val="single" w:sz="4" w:space="0" w:color="E4DED3"/>
              <w:left w:val="single" w:sz="4" w:space="0" w:color="E4DED3"/>
              <w:bottom w:val="single" w:sz="4" w:space="0" w:color="E4DED3"/>
              <w:right w:val="single" w:sz="4" w:space="0" w:color="E4DED3"/>
            </w:tcBorders>
          </w:tcPr>
          <w:p>
            <w:r>
              <w:rPr>
                <w:b/>
                <w:sz w:val="18"/>
              </w:rPr>
              <w:t>Multi-region Active-Active</w:t>
            </w:r>
          </w:p>
        </w:tc>
        <w:tc>
          <w:tcPr>
            <w:tcW w:type="dxa" w:w="1134"/>
            <w:tcBorders>
              <w:top w:val="single" w:sz="4" w:space="0" w:color="E4DED3"/>
              <w:left w:val="single" w:sz="4" w:space="0" w:color="E4DED3"/>
              <w:bottom w:val="single" w:sz="4" w:space="0" w:color="E4DED3"/>
              <w:right w:val="single" w:sz="4" w:space="0" w:color="E4DED3"/>
            </w:tcBorders>
          </w:tcPr>
          <w:p>
            <w:r>
              <w:rPr>
                <w:sz w:val="18"/>
              </w:rPr>
              <w:t>Near-zero</w:t>
            </w:r>
          </w:p>
        </w:tc>
        <w:tc>
          <w:tcPr>
            <w:tcW w:type="dxa" w:w="1361"/>
            <w:tcBorders>
              <w:top w:val="single" w:sz="4" w:space="0" w:color="E4DED3"/>
              <w:left w:val="single" w:sz="4" w:space="0" w:color="E4DED3"/>
              <w:bottom w:val="single" w:sz="4" w:space="0" w:color="E4DED3"/>
              <w:right w:val="single" w:sz="4" w:space="0" w:color="E4DED3"/>
            </w:tcBorders>
          </w:tcPr>
          <w:p>
            <w:r>
              <w:rPr>
                <w:sz w:val="18"/>
              </w:rPr>
              <w:t>Near-zero</w:t>
            </w:r>
          </w:p>
        </w:tc>
        <w:tc>
          <w:tcPr>
            <w:tcW w:type="dxa" w:w="1361"/>
            <w:tcBorders>
              <w:top w:val="single" w:sz="4" w:space="0" w:color="E4DED3"/>
              <w:left w:val="single" w:sz="4" w:space="0" w:color="E4DED3"/>
              <w:bottom w:val="single" w:sz="4" w:space="0" w:color="E4DED3"/>
              <w:right w:val="single" w:sz="4" w:space="0" w:color="E4DED3"/>
            </w:tcBorders>
          </w:tcPr>
          <w:p>
            <w:r>
              <w:rPr>
                <w:sz w:val="18"/>
              </w:rPr>
              <w:t>Very high</w:t>
            </w:r>
          </w:p>
        </w:tc>
        <w:tc>
          <w:tcPr>
            <w:tcW w:type="dxa" w:w="2438"/>
            <w:tcBorders>
              <w:top w:val="single" w:sz="4" w:space="0" w:color="E4DED3"/>
              <w:left w:val="single" w:sz="4" w:space="0" w:color="E4DED3"/>
              <w:bottom w:val="single" w:sz="4" w:space="0" w:color="E4DED3"/>
              <w:right w:val="single" w:sz="4" w:space="0" w:color="E4DED3"/>
            </w:tcBorders>
          </w:tcPr>
          <w:p>
            <w:r>
              <w:rPr>
                <w:sz w:val="18"/>
              </w:rPr>
              <w:t>Far exceeds the requirement; disproportionate</w:t>
            </w:r>
          </w:p>
        </w:tc>
      </w:tr>
    </w:tbl>
    <w:p/>
    <w:p>
      <w:r>
        <w:rPr>
          <w:sz w:val="21"/>
        </w:rPr>
        <w:t>Recommended approach: Backup &amp; Restore into Melbourne (ap-southeast-4). Automated RDS backups give point-in-time restore (RPO in minutes); a cross-region snapshot copy to the recovery region runs at least hourly (within the 1-hour RPO); S3 cross-region replication keeps the media available; and the infrastructure-as-code templates rebuild the stack in the recovery region by changing the target-region parameter. Recovering into a second Australian region keeps the website's Australian-held data onshore. This is the simplest strategy that meets the objectives — consistent with the requirement to avoid unnecessary cost and complexity.</w:t>
      </w:r>
    </w:p>
    <w:p>
      <w:r>
        <w:rPr>
          <w:sz w:val="21"/>
        </w:rPr>
        <w:t>Vendor protections and risk prioritisation (PC 3.2): the strategy leans on AWS-native protections — durable snapshots, cross-region copy, and a separate backup vault with restricted access for ransomware resistance. Risks are prioritised RE1 (region loss) first — addressed by cross-region recovery — then RE2 (data loss) via point-in-time restore, then RE3 (compromise) via isolated, immutable backups held in a different region.</w:t>
      </w:r>
    </w:p>
    <w:p>
      <w:r>
        <w:rPr>
          <w:sz w:val="21"/>
        </w:rPr>
        <w:t>Insurance (PC 3.3): YAT holds a cyber and business-interruption insurance policy. It was reviewed as a complementary control, not a substitute for recovery: the policy transfers residual financial risk (e.g. breach-response and liability costs) that the technical plan cannot eliminate, while this plan reduces the likelihood and duration of a claimable event. The policy's notification and evidence requirements are noted in the recovery runbook.</w:t>
      </w:r>
    </w:p>
    <w:p>
      <w:r>
        <w:rPr>
          <w:sz w:val="21"/>
        </w:rPr>
        <w:t>Other components (PC 3.4): the strategy also includes a recovery runbook, a declaration and escalation path, a stakeholder communication plan (including the India partner and YAT Marketing), CDN / DNS failover to the recovered endpoint, and the order of recovery across the tiers. The approach aligns with ISO/IEC 27001 and 27002 (information security) and ISO/IEC 27031 (ICT readiness for business continuity).</w:t>
      </w:r>
    </w:p>
    <w:p>
      <w:pPr>
        <w:pStyle w:val="Heading1"/>
      </w:pPr>
      <w:r>
        <w:t>6. The Disaster Recovery Plan</w:t>
      </w:r>
    </w:p>
    <w:p>
      <w:pPr>
        <w:spacing w:after="120"/>
      </w:pPr>
      <w:r>
        <w:rPr>
          <w:i/>
          <w:color w:val="1F5A5C"/>
          <w:sz w:val="17"/>
        </w:rPr>
        <w:t>Evidences: [ICTCLD501 PC 4.1–4.3] · [ICTCLD501 PE 3]</w:t>
      </w:r>
    </w:p>
    <w:p>
      <w:r>
        <w:rPr>
          <w:sz w:val="21"/>
        </w:rPr>
        <w:t>Alignment to risk (PC 4.1): the recovery actions below are aligned to the prioritised risks from §4 — the cross-region rebuild answers RE1, the point-in-time restore answers RE2, and restoring from the isolated backup vault answers RE3.</w:t>
      </w:r>
    </w:p>
    <w:p>
      <w:r>
        <w:rPr>
          <w:sz w:val="21"/>
        </w:rPr>
        <w:t>Detection and declaration: a region-level event is detected by CloudWatch alarms, the AWS Health Dashboard, and the availability monitoring on the website endpoints; breaching the detection threshold pages the on-call YAT ICT officer, who declares a disaster and starts the runbook.</w:t>
      </w:r>
    </w:p>
    <w:p>
      <w:r>
        <w:rPr>
          <w:sz w:val="21"/>
        </w:rPr>
        <w:t>Recovery steps, timelines and service providers (PC 4.2):</w:t>
      </w:r>
    </w:p>
    <w:tbl>
      <w:tblPr>
        <w:tblW w:type="auto" w:w="0"/>
        <w:jc w:val="center"/>
        <w:tblLook w:firstColumn="1" w:firstRow="1" w:lastColumn="0" w:lastRow="0" w:noHBand="0" w:noVBand="1" w:val="04A0"/>
      </w:tblPr>
      <w:tblGrid>
        <w:gridCol w:w="2353"/>
        <w:gridCol w:w="2353"/>
        <w:gridCol w:w="2353"/>
        <w:gridCol w:w="2353"/>
      </w:tblGrid>
      <w:tr>
        <w:tc>
          <w:tcPr>
            <w:tcW w:type="dxa" w:w="567"/>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Step</w:t>
            </w:r>
          </w:p>
        </w:tc>
        <w:tc>
          <w:tcPr>
            <w:tcW w:type="dxa" w:w="4706"/>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Action</w:t>
            </w:r>
          </w:p>
        </w:tc>
        <w:tc>
          <w:tcPr>
            <w:tcW w:type="dxa" w:w="170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Owner</w:t>
            </w:r>
          </w:p>
        </w:tc>
        <w:tc>
          <w:tcPr>
            <w:tcW w:type="dxa" w:w="181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Target (cumulative)</w:t>
            </w:r>
          </w:p>
        </w:tc>
      </w:tr>
      <w:tr>
        <w:tc>
          <w:tcPr>
            <w:tcW w:type="dxa" w:w="567"/>
            <w:tcBorders>
              <w:top w:val="single" w:sz="4" w:space="0" w:color="E4DED3"/>
              <w:left w:val="single" w:sz="4" w:space="0" w:color="E4DED3"/>
              <w:bottom w:val="single" w:sz="4" w:space="0" w:color="E4DED3"/>
              <w:right w:val="single" w:sz="4" w:space="0" w:color="E4DED3"/>
            </w:tcBorders>
          </w:tcPr>
          <w:p>
            <w:r>
              <w:rPr>
                <w:b/>
                <w:sz w:val="18"/>
              </w:rPr>
              <w:t>1</w:t>
            </w:r>
          </w:p>
        </w:tc>
        <w:tc>
          <w:tcPr>
            <w:tcW w:type="dxa" w:w="4706"/>
            <w:tcBorders>
              <w:top w:val="single" w:sz="4" w:space="0" w:color="E4DED3"/>
              <w:left w:val="single" w:sz="4" w:space="0" w:color="E4DED3"/>
              <w:bottom w:val="single" w:sz="4" w:space="0" w:color="E4DED3"/>
              <w:right w:val="single" w:sz="4" w:space="0" w:color="E4DED3"/>
            </w:tcBorders>
          </w:tcPr>
          <w:p>
            <w:r>
              <w:rPr>
                <w:sz w:val="18"/>
              </w:rPr>
              <w:t>Detect and declare the disaster; notify stakeholders and the India partner</w:t>
            </w:r>
          </w:p>
        </w:tc>
        <w:tc>
          <w:tcPr>
            <w:tcW w:type="dxa" w:w="1701"/>
            <w:tcBorders>
              <w:top w:val="single" w:sz="4" w:space="0" w:color="E4DED3"/>
              <w:left w:val="single" w:sz="4" w:space="0" w:color="E4DED3"/>
              <w:bottom w:val="single" w:sz="4" w:space="0" w:color="E4DED3"/>
              <w:right w:val="single" w:sz="4" w:space="0" w:color="E4DED3"/>
            </w:tcBorders>
          </w:tcPr>
          <w:p>
            <w:r>
              <w:rPr>
                <w:sz w:val="18"/>
              </w:rPr>
              <w:t>YAT ICT on-call</w:t>
            </w:r>
          </w:p>
        </w:tc>
        <w:tc>
          <w:tcPr>
            <w:tcW w:type="dxa" w:w="1814"/>
            <w:tcBorders>
              <w:top w:val="single" w:sz="4" w:space="0" w:color="E4DED3"/>
              <w:left w:val="single" w:sz="4" w:space="0" w:color="E4DED3"/>
              <w:bottom w:val="single" w:sz="4" w:space="0" w:color="E4DED3"/>
              <w:right w:val="single" w:sz="4" w:space="0" w:color="E4DED3"/>
            </w:tcBorders>
          </w:tcPr>
          <w:p>
            <w:r>
              <w:rPr>
                <w:sz w:val="18"/>
              </w:rPr>
              <w:t>0:20</w:t>
            </w:r>
          </w:p>
        </w:tc>
      </w:tr>
      <w:tr>
        <w:tc>
          <w:tcPr>
            <w:tcW w:type="dxa" w:w="567"/>
            <w:tcBorders>
              <w:top w:val="single" w:sz="4" w:space="0" w:color="E4DED3"/>
              <w:left w:val="single" w:sz="4" w:space="0" w:color="E4DED3"/>
              <w:bottom w:val="single" w:sz="4" w:space="0" w:color="E4DED3"/>
              <w:right w:val="single" w:sz="4" w:space="0" w:color="E4DED3"/>
            </w:tcBorders>
          </w:tcPr>
          <w:p>
            <w:r>
              <w:rPr>
                <w:b/>
                <w:sz w:val="18"/>
              </w:rPr>
              <w:t>2</w:t>
            </w:r>
          </w:p>
        </w:tc>
        <w:tc>
          <w:tcPr>
            <w:tcW w:type="dxa" w:w="4706"/>
            <w:tcBorders>
              <w:top w:val="single" w:sz="4" w:space="0" w:color="E4DED3"/>
              <w:left w:val="single" w:sz="4" w:space="0" w:color="E4DED3"/>
              <w:bottom w:val="single" w:sz="4" w:space="0" w:color="E4DED3"/>
              <w:right w:val="single" w:sz="4" w:space="0" w:color="E4DED3"/>
            </w:tcBorders>
          </w:tcPr>
          <w:p>
            <w:r>
              <w:rPr>
                <w:sz w:val="18"/>
              </w:rPr>
              <w:t>Provision the recovery stack in ap-southeast-4 from the IaC templates (region parameter = ap-southeast-4)</w:t>
            </w:r>
          </w:p>
        </w:tc>
        <w:tc>
          <w:tcPr>
            <w:tcW w:type="dxa" w:w="1701"/>
            <w:tcBorders>
              <w:top w:val="single" w:sz="4" w:space="0" w:color="E4DED3"/>
              <w:left w:val="single" w:sz="4" w:space="0" w:color="E4DED3"/>
              <w:bottom w:val="single" w:sz="4" w:space="0" w:color="E4DED3"/>
              <w:right w:val="single" w:sz="4" w:space="0" w:color="E4DED3"/>
            </w:tcBorders>
          </w:tcPr>
          <w:p>
            <w:r>
              <w:rPr>
                <w:sz w:val="18"/>
              </w:rPr>
              <w:t>YAT ICT</w:t>
            </w:r>
          </w:p>
        </w:tc>
        <w:tc>
          <w:tcPr>
            <w:tcW w:type="dxa" w:w="1814"/>
            <w:tcBorders>
              <w:top w:val="single" w:sz="4" w:space="0" w:color="E4DED3"/>
              <w:left w:val="single" w:sz="4" w:space="0" w:color="E4DED3"/>
              <w:bottom w:val="single" w:sz="4" w:space="0" w:color="E4DED3"/>
              <w:right w:val="single" w:sz="4" w:space="0" w:color="E4DED3"/>
            </w:tcBorders>
          </w:tcPr>
          <w:p>
            <w:r>
              <w:rPr>
                <w:sz w:val="18"/>
              </w:rPr>
              <w:t>1:30</w:t>
            </w:r>
          </w:p>
        </w:tc>
      </w:tr>
      <w:tr>
        <w:tc>
          <w:tcPr>
            <w:tcW w:type="dxa" w:w="567"/>
            <w:tcBorders>
              <w:top w:val="single" w:sz="4" w:space="0" w:color="E4DED3"/>
              <w:left w:val="single" w:sz="4" w:space="0" w:color="E4DED3"/>
              <w:bottom w:val="single" w:sz="4" w:space="0" w:color="E4DED3"/>
              <w:right w:val="single" w:sz="4" w:space="0" w:color="E4DED3"/>
            </w:tcBorders>
          </w:tcPr>
          <w:p>
            <w:r>
              <w:rPr>
                <w:b/>
                <w:sz w:val="18"/>
              </w:rPr>
              <w:t>3</w:t>
            </w:r>
          </w:p>
        </w:tc>
        <w:tc>
          <w:tcPr>
            <w:tcW w:type="dxa" w:w="4706"/>
            <w:tcBorders>
              <w:top w:val="single" w:sz="4" w:space="0" w:color="E4DED3"/>
              <w:left w:val="single" w:sz="4" w:space="0" w:color="E4DED3"/>
              <w:bottom w:val="single" w:sz="4" w:space="0" w:color="E4DED3"/>
              <w:right w:val="single" w:sz="4" w:space="0" w:color="E4DED3"/>
            </w:tcBorders>
          </w:tcPr>
          <w:p>
            <w:r>
              <w:rPr>
                <w:sz w:val="18"/>
              </w:rPr>
              <w:t>Restore the database from the latest cross-region snapshot / point-in-time copy; confirm the media is served from the replicated S3 bucket</w:t>
            </w:r>
          </w:p>
        </w:tc>
        <w:tc>
          <w:tcPr>
            <w:tcW w:type="dxa" w:w="1701"/>
            <w:tcBorders>
              <w:top w:val="single" w:sz="4" w:space="0" w:color="E4DED3"/>
              <w:left w:val="single" w:sz="4" w:space="0" w:color="E4DED3"/>
              <w:bottom w:val="single" w:sz="4" w:space="0" w:color="E4DED3"/>
              <w:right w:val="single" w:sz="4" w:space="0" w:color="E4DED3"/>
            </w:tcBorders>
          </w:tcPr>
          <w:p>
            <w:r>
              <w:rPr>
                <w:sz w:val="18"/>
              </w:rPr>
              <w:t>YAT ICT</w:t>
            </w:r>
          </w:p>
        </w:tc>
        <w:tc>
          <w:tcPr>
            <w:tcW w:type="dxa" w:w="1814"/>
            <w:tcBorders>
              <w:top w:val="single" w:sz="4" w:space="0" w:color="E4DED3"/>
              <w:left w:val="single" w:sz="4" w:space="0" w:color="E4DED3"/>
              <w:bottom w:val="single" w:sz="4" w:space="0" w:color="E4DED3"/>
              <w:right w:val="single" w:sz="4" w:space="0" w:color="E4DED3"/>
            </w:tcBorders>
          </w:tcPr>
          <w:p>
            <w:r>
              <w:rPr>
                <w:sz w:val="18"/>
              </w:rPr>
              <w:t>2:45</w:t>
            </w:r>
          </w:p>
        </w:tc>
      </w:tr>
      <w:tr>
        <w:tc>
          <w:tcPr>
            <w:tcW w:type="dxa" w:w="567"/>
            <w:tcBorders>
              <w:top w:val="single" w:sz="4" w:space="0" w:color="E4DED3"/>
              <w:left w:val="single" w:sz="4" w:space="0" w:color="E4DED3"/>
              <w:bottom w:val="single" w:sz="4" w:space="0" w:color="E4DED3"/>
              <w:right w:val="single" w:sz="4" w:space="0" w:color="E4DED3"/>
            </w:tcBorders>
          </w:tcPr>
          <w:p>
            <w:r>
              <w:rPr>
                <w:b/>
                <w:sz w:val="18"/>
              </w:rPr>
              <w:t>4</w:t>
            </w:r>
          </w:p>
        </w:tc>
        <w:tc>
          <w:tcPr>
            <w:tcW w:type="dxa" w:w="4706"/>
            <w:tcBorders>
              <w:top w:val="single" w:sz="4" w:space="0" w:color="E4DED3"/>
              <w:left w:val="single" w:sz="4" w:space="0" w:color="E4DED3"/>
              <w:bottom w:val="single" w:sz="4" w:space="0" w:color="E4DED3"/>
              <w:right w:val="single" w:sz="4" w:space="0" w:color="E4DED3"/>
            </w:tcBorders>
          </w:tcPr>
          <w:p>
            <w:r>
              <w:rPr>
                <w:sz w:val="18"/>
              </w:rPr>
              <w:t>Verify the integrity of the restored data and reconcile to the RPO checkpoint</w:t>
            </w:r>
          </w:p>
        </w:tc>
        <w:tc>
          <w:tcPr>
            <w:tcW w:type="dxa" w:w="1701"/>
            <w:tcBorders>
              <w:top w:val="single" w:sz="4" w:space="0" w:color="E4DED3"/>
              <w:left w:val="single" w:sz="4" w:space="0" w:color="E4DED3"/>
              <w:bottom w:val="single" w:sz="4" w:space="0" w:color="E4DED3"/>
              <w:right w:val="single" w:sz="4" w:space="0" w:color="E4DED3"/>
            </w:tcBorders>
          </w:tcPr>
          <w:p>
            <w:r>
              <w:rPr>
                <w:sz w:val="18"/>
              </w:rPr>
              <w:t>YAT ICT</w:t>
            </w:r>
          </w:p>
        </w:tc>
        <w:tc>
          <w:tcPr>
            <w:tcW w:type="dxa" w:w="1814"/>
            <w:tcBorders>
              <w:top w:val="single" w:sz="4" w:space="0" w:color="E4DED3"/>
              <w:left w:val="single" w:sz="4" w:space="0" w:color="E4DED3"/>
              <w:bottom w:val="single" w:sz="4" w:space="0" w:color="E4DED3"/>
              <w:right w:val="single" w:sz="4" w:space="0" w:color="E4DED3"/>
            </w:tcBorders>
          </w:tcPr>
          <w:p>
            <w:r>
              <w:rPr>
                <w:sz w:val="18"/>
              </w:rPr>
              <w:t>3:00</w:t>
            </w:r>
          </w:p>
        </w:tc>
      </w:tr>
      <w:tr>
        <w:tc>
          <w:tcPr>
            <w:tcW w:type="dxa" w:w="567"/>
            <w:tcBorders>
              <w:top w:val="single" w:sz="4" w:space="0" w:color="E4DED3"/>
              <w:left w:val="single" w:sz="4" w:space="0" w:color="E4DED3"/>
              <w:bottom w:val="single" w:sz="4" w:space="0" w:color="E4DED3"/>
              <w:right w:val="single" w:sz="4" w:space="0" w:color="E4DED3"/>
            </w:tcBorders>
          </w:tcPr>
          <w:p>
            <w:r>
              <w:rPr>
                <w:b/>
                <w:sz w:val="18"/>
              </w:rPr>
              <w:t>5</w:t>
            </w:r>
          </w:p>
        </w:tc>
        <w:tc>
          <w:tcPr>
            <w:tcW w:type="dxa" w:w="4706"/>
            <w:tcBorders>
              <w:top w:val="single" w:sz="4" w:space="0" w:color="E4DED3"/>
              <w:left w:val="single" w:sz="4" w:space="0" w:color="E4DED3"/>
              <w:bottom w:val="single" w:sz="4" w:space="0" w:color="E4DED3"/>
              <w:right w:val="single" w:sz="4" w:space="0" w:color="E4DED3"/>
            </w:tcBorders>
          </w:tcPr>
          <w:p>
            <w:r>
              <w:rPr>
                <w:sz w:val="18"/>
              </w:rPr>
              <w:t>Validate connectivity and core website functions; smoke-test the catalogue and the enquiry / application intake for both audiences</w:t>
            </w:r>
          </w:p>
        </w:tc>
        <w:tc>
          <w:tcPr>
            <w:tcW w:type="dxa" w:w="1701"/>
            <w:tcBorders>
              <w:top w:val="single" w:sz="4" w:space="0" w:color="E4DED3"/>
              <w:left w:val="single" w:sz="4" w:space="0" w:color="E4DED3"/>
              <w:bottom w:val="single" w:sz="4" w:space="0" w:color="E4DED3"/>
              <w:right w:val="single" w:sz="4" w:space="0" w:color="E4DED3"/>
            </w:tcBorders>
          </w:tcPr>
          <w:p>
            <w:r>
              <w:rPr>
                <w:sz w:val="18"/>
              </w:rPr>
              <w:t>YAT ICT</w:t>
            </w:r>
          </w:p>
        </w:tc>
        <w:tc>
          <w:tcPr>
            <w:tcW w:type="dxa" w:w="1814"/>
            <w:tcBorders>
              <w:top w:val="single" w:sz="4" w:space="0" w:color="E4DED3"/>
              <w:left w:val="single" w:sz="4" w:space="0" w:color="E4DED3"/>
              <w:bottom w:val="single" w:sz="4" w:space="0" w:color="E4DED3"/>
              <w:right w:val="single" w:sz="4" w:space="0" w:color="E4DED3"/>
            </w:tcBorders>
          </w:tcPr>
          <w:p>
            <w:r>
              <w:rPr>
                <w:sz w:val="18"/>
              </w:rPr>
              <w:t>3:30</w:t>
            </w:r>
          </w:p>
        </w:tc>
      </w:tr>
      <w:tr>
        <w:tc>
          <w:tcPr>
            <w:tcW w:type="dxa" w:w="567"/>
            <w:tcBorders>
              <w:top w:val="single" w:sz="4" w:space="0" w:color="E4DED3"/>
              <w:left w:val="single" w:sz="4" w:space="0" w:color="E4DED3"/>
              <w:bottom w:val="single" w:sz="4" w:space="0" w:color="E4DED3"/>
              <w:right w:val="single" w:sz="4" w:space="0" w:color="E4DED3"/>
            </w:tcBorders>
          </w:tcPr>
          <w:p>
            <w:r>
              <w:rPr>
                <w:b/>
                <w:sz w:val="18"/>
              </w:rPr>
              <w:t>6</w:t>
            </w:r>
          </w:p>
        </w:tc>
        <w:tc>
          <w:tcPr>
            <w:tcW w:type="dxa" w:w="4706"/>
            <w:tcBorders>
              <w:top w:val="single" w:sz="4" w:space="0" w:color="E4DED3"/>
              <w:left w:val="single" w:sz="4" w:space="0" w:color="E4DED3"/>
              <w:bottom w:val="single" w:sz="4" w:space="0" w:color="E4DED3"/>
              <w:right w:val="single" w:sz="4" w:space="0" w:color="E4DED3"/>
            </w:tcBorders>
          </w:tcPr>
          <w:p>
            <w:r>
              <w:rPr>
                <w:sz w:val="18"/>
              </w:rPr>
              <w:t>Cut CDN / DNS over to the recovered endpoint; confirm visitors are served</w:t>
            </w:r>
          </w:p>
        </w:tc>
        <w:tc>
          <w:tcPr>
            <w:tcW w:type="dxa" w:w="1701"/>
            <w:tcBorders>
              <w:top w:val="single" w:sz="4" w:space="0" w:color="E4DED3"/>
              <w:left w:val="single" w:sz="4" w:space="0" w:color="E4DED3"/>
              <w:bottom w:val="single" w:sz="4" w:space="0" w:color="E4DED3"/>
              <w:right w:val="single" w:sz="4" w:space="0" w:color="E4DED3"/>
            </w:tcBorders>
          </w:tcPr>
          <w:p>
            <w:r>
              <w:rPr>
                <w:sz w:val="18"/>
              </w:rPr>
              <w:t>YAT ICT</w:t>
            </w:r>
          </w:p>
        </w:tc>
        <w:tc>
          <w:tcPr>
            <w:tcW w:type="dxa" w:w="1814"/>
            <w:tcBorders>
              <w:top w:val="single" w:sz="4" w:space="0" w:color="E4DED3"/>
              <w:left w:val="single" w:sz="4" w:space="0" w:color="E4DED3"/>
              <w:bottom w:val="single" w:sz="4" w:space="0" w:color="E4DED3"/>
              <w:right w:val="single" w:sz="4" w:space="0" w:color="E4DED3"/>
            </w:tcBorders>
          </w:tcPr>
          <w:p>
            <w:r>
              <w:rPr>
                <w:sz w:val="18"/>
              </w:rPr>
              <w:t>3:50</w:t>
            </w:r>
          </w:p>
        </w:tc>
      </w:tr>
      <w:tr>
        <w:tc>
          <w:tcPr>
            <w:tcW w:type="dxa" w:w="567"/>
            <w:tcBorders>
              <w:top w:val="single" w:sz="4" w:space="0" w:color="E4DED3"/>
              <w:left w:val="single" w:sz="4" w:space="0" w:color="E4DED3"/>
              <w:bottom w:val="single" w:sz="4" w:space="0" w:color="E4DED3"/>
              <w:right w:val="single" w:sz="4" w:space="0" w:color="E4DED3"/>
            </w:tcBorders>
          </w:tcPr>
          <w:p>
            <w:r>
              <w:rPr>
                <w:b/>
                <w:sz w:val="18"/>
              </w:rPr>
              <w:t>7</w:t>
            </w:r>
          </w:p>
        </w:tc>
        <w:tc>
          <w:tcPr>
            <w:tcW w:type="dxa" w:w="4706"/>
            <w:tcBorders>
              <w:top w:val="single" w:sz="4" w:space="0" w:color="E4DED3"/>
              <w:left w:val="single" w:sz="4" w:space="0" w:color="E4DED3"/>
              <w:bottom w:val="single" w:sz="4" w:space="0" w:color="E4DED3"/>
              <w:right w:val="single" w:sz="4" w:space="0" w:color="E4DED3"/>
            </w:tcBorders>
          </w:tcPr>
          <w:p>
            <w:r>
              <w:rPr>
                <w:sz w:val="18"/>
              </w:rPr>
              <w:t>Post-recovery confirmation, insurer / stakeholder notifications as required, incident log</w:t>
            </w:r>
          </w:p>
        </w:tc>
        <w:tc>
          <w:tcPr>
            <w:tcW w:type="dxa" w:w="1701"/>
            <w:tcBorders>
              <w:top w:val="single" w:sz="4" w:space="0" w:color="E4DED3"/>
              <w:left w:val="single" w:sz="4" w:space="0" w:color="E4DED3"/>
              <w:bottom w:val="single" w:sz="4" w:space="0" w:color="E4DED3"/>
              <w:right w:val="single" w:sz="4" w:space="0" w:color="E4DED3"/>
            </w:tcBorders>
          </w:tcPr>
          <w:p>
            <w:r>
              <w:rPr>
                <w:sz w:val="18"/>
              </w:rPr>
              <w:t>YAT ICT</w:t>
            </w:r>
          </w:p>
        </w:tc>
        <w:tc>
          <w:tcPr>
            <w:tcW w:type="dxa" w:w="1814"/>
            <w:tcBorders>
              <w:top w:val="single" w:sz="4" w:space="0" w:color="E4DED3"/>
              <w:left w:val="single" w:sz="4" w:space="0" w:color="E4DED3"/>
              <w:bottom w:val="single" w:sz="4" w:space="0" w:color="E4DED3"/>
              <w:right w:val="single" w:sz="4" w:space="0" w:color="E4DED3"/>
            </w:tcBorders>
          </w:tcPr>
          <w:p>
            <w:r>
              <w:rPr>
                <w:sz w:val="18"/>
              </w:rPr>
              <w:t>4:00</w:t>
            </w:r>
          </w:p>
        </w:tc>
      </w:tr>
    </w:tbl>
    <w:p/>
    <w:p>
      <w:r>
        <w:rPr>
          <w:sz w:val="21"/>
        </w:rPr>
        <w:t>How the plan meets the objectives (PE 3): RPO ≤ 1 h is met because point-in-time backups and the at-least-hourly cross-region copy cap data loss below one hour; RTO ≤ 4 h is met because the templated rebuild and the database restore complete inside the four-hour budget, as the step timeline shows. Service providers in the plan are AWS (regional infrastructure and recovery services), YAT ICT (declares and executes recovery), and MTS (designed the plan and handed it over).</w:t>
      </w:r>
    </w:p>
    <w:p>
      <w:r>
        <w:rPr>
          <w:sz w:val="21"/>
        </w:rPr>
        <w:t>Documentation (PC 4.3): this plan is the documented disaster recovery plan; it is versioned, lodged in YAT ICT shared documentation under the Records Management Policy, and registered against the Change Management Procedure, with a review on each major architecture change and at least annually. It is presented for approval at the design-approval presentation before implementation begins (ICTCLD501 element 5 — the AT1 Part C presentation).</w:t>
      </w:r>
    </w:p>
    <w:p>
      <w:pPr>
        <w:pStyle w:val="Heading1"/>
      </w:pPr>
      <w:r>
        <w:t>7. Plan Validation and Approval</w:t>
      </w:r>
    </w:p>
    <w:p>
      <w:pPr>
        <w:spacing w:after="120"/>
      </w:pPr>
      <w:r>
        <w:rPr>
          <w:i/>
          <w:color w:val="1F5A5C"/>
          <w:sz w:val="17"/>
        </w:rPr>
        <w:t>Evidences: [ICTCLD501 PC 5.1–5.4] — conducted and observed at the AT1 Part C presentation; this section records the outcome</w:t>
      </w:r>
    </w:p>
    <w:p>
      <w:r>
        <w:rPr>
          <w:sz w:val="21"/>
        </w:rPr>
        <w:t>Walkthrough (PC 5.1): the plan was presented to the YAT ICT Manager and stakeholders at the design-approval presentation, including a tabletop run of the RE1 region-loss scenario against the §6 steps, which confirmed the actions and that the timeline stays within the four-hour RTO.</w:t>
      </w:r>
    </w:p>
    <w:p>
      <w:r>
        <w:rPr>
          <w:sz w:val="21"/>
        </w:rPr>
        <w:t>Feedback sought and responded to (PC 5.2):</w:t>
      </w:r>
    </w:p>
    <w:tbl>
      <w:tblPr>
        <w:tblW w:type="auto" w:w="0"/>
        <w:jc w:val="center"/>
        <w:tblLook w:firstColumn="1" w:firstRow="1" w:lastColumn="0" w:lastRow="0" w:noHBand="0" w:noVBand="1" w:val="04A0"/>
      </w:tblPr>
      <w:tblGrid>
        <w:gridCol w:w="2353"/>
        <w:gridCol w:w="2353"/>
        <w:gridCol w:w="2353"/>
        <w:gridCol w:w="2353"/>
      </w:tblGrid>
      <w:tr>
        <w:tc>
          <w:tcPr>
            <w:tcW w:type="dxa" w:w="294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Feedback received</w:t>
            </w:r>
          </w:p>
        </w:tc>
        <w:tc>
          <w:tcPr>
            <w:tcW w:type="dxa" w:w="170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From</w:t>
            </w:r>
          </w:p>
        </w:tc>
        <w:tc>
          <w:tcPr>
            <w:tcW w:type="dxa" w:w="243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Response</w:t>
            </w:r>
          </w:p>
        </w:tc>
        <w:tc>
          <w:tcPr>
            <w:tcW w:type="dxa" w:w="170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Resulting action</w:t>
            </w:r>
          </w:p>
        </w:tc>
      </w:tr>
      <w:tr>
        <w:tc>
          <w:tcPr>
            <w:tcW w:type="dxa" w:w="2948"/>
            <w:tcBorders>
              <w:top w:val="single" w:sz="4" w:space="0" w:color="E4DED3"/>
              <w:left w:val="single" w:sz="4" w:space="0" w:color="E4DED3"/>
              <w:bottom w:val="single" w:sz="4" w:space="0" w:color="E4DED3"/>
              <w:right w:val="single" w:sz="4" w:space="0" w:color="E4DED3"/>
            </w:tcBorders>
          </w:tcPr>
          <w:p>
            <w:r>
              <w:rPr>
                <w:b/>
                <w:sz w:val="18"/>
              </w:rPr>
              <w:t>Confirm recovering into a second region keeps Australian-held data onshore</w:t>
            </w:r>
          </w:p>
        </w:tc>
        <w:tc>
          <w:tcPr>
            <w:tcW w:type="dxa" w:w="1701"/>
            <w:tcBorders>
              <w:top w:val="single" w:sz="4" w:space="0" w:color="E4DED3"/>
              <w:left w:val="single" w:sz="4" w:space="0" w:color="E4DED3"/>
              <w:bottom w:val="single" w:sz="4" w:space="0" w:color="E4DED3"/>
              <w:right w:val="single" w:sz="4" w:space="0" w:color="E4DED3"/>
            </w:tcBorders>
          </w:tcPr>
          <w:p>
            <w:r>
              <w:rPr>
                <w:sz w:val="18"/>
              </w:rPr>
              <w:t>Sam Walker (YAT ICT Manager)</w:t>
            </w:r>
          </w:p>
        </w:tc>
        <w:tc>
          <w:tcPr>
            <w:tcW w:type="dxa" w:w="2438"/>
            <w:tcBorders>
              <w:top w:val="single" w:sz="4" w:space="0" w:color="E4DED3"/>
              <w:left w:val="single" w:sz="4" w:space="0" w:color="E4DED3"/>
              <w:bottom w:val="single" w:sz="4" w:space="0" w:color="E4DED3"/>
              <w:right w:val="single" w:sz="4" w:space="0" w:color="E4DED3"/>
            </w:tcBorders>
          </w:tcPr>
          <w:p>
            <w:r>
              <w:rPr>
                <w:sz w:val="18"/>
              </w:rPr>
              <w:t>Confirmed — the recovery region is Melbourne (ap-southeast-4), so the website's Australian-held data stays in Australia throughout</w:t>
            </w:r>
          </w:p>
        </w:tc>
        <w:tc>
          <w:tcPr>
            <w:tcW w:type="dxa" w:w="1701"/>
            <w:tcBorders>
              <w:top w:val="single" w:sz="4" w:space="0" w:color="E4DED3"/>
              <w:left w:val="single" w:sz="4" w:space="0" w:color="E4DED3"/>
              <w:bottom w:val="single" w:sz="4" w:space="0" w:color="E4DED3"/>
              <w:right w:val="single" w:sz="4" w:space="0" w:color="E4DED3"/>
            </w:tcBorders>
          </w:tcPr>
          <w:p>
            <w:r>
              <w:rPr>
                <w:sz w:val="18"/>
              </w:rPr>
              <w:t>Recorded in §5</w:t>
            </w:r>
          </w:p>
        </w:tc>
      </w:tr>
      <w:tr>
        <w:tc>
          <w:tcPr>
            <w:tcW w:type="dxa" w:w="2948"/>
            <w:tcBorders>
              <w:top w:val="single" w:sz="4" w:space="0" w:color="E4DED3"/>
              <w:left w:val="single" w:sz="4" w:space="0" w:color="E4DED3"/>
              <w:bottom w:val="single" w:sz="4" w:space="0" w:color="E4DED3"/>
              <w:right w:val="single" w:sz="4" w:space="0" w:color="E4DED3"/>
            </w:tcBorders>
          </w:tcPr>
          <w:p>
            <w:r>
              <w:rPr>
                <w:b/>
                <w:sz w:val="18"/>
              </w:rPr>
              <w:t>Check the recovery cost is proportionate</w:t>
            </w:r>
          </w:p>
        </w:tc>
        <w:tc>
          <w:tcPr>
            <w:tcW w:type="dxa" w:w="1701"/>
            <w:tcBorders>
              <w:top w:val="single" w:sz="4" w:space="0" w:color="E4DED3"/>
              <w:left w:val="single" w:sz="4" w:space="0" w:color="E4DED3"/>
              <w:bottom w:val="single" w:sz="4" w:space="0" w:color="E4DED3"/>
              <w:right w:val="single" w:sz="4" w:space="0" w:color="E4DED3"/>
            </w:tcBorders>
          </w:tcPr>
          <w:p>
            <w:r>
              <w:rPr>
                <w:sz w:val="18"/>
              </w:rPr>
              <w:t>Robin Ng (CFO)</w:t>
            </w:r>
          </w:p>
        </w:tc>
        <w:tc>
          <w:tcPr>
            <w:tcW w:type="dxa" w:w="2438"/>
            <w:tcBorders>
              <w:top w:val="single" w:sz="4" w:space="0" w:color="E4DED3"/>
              <w:left w:val="single" w:sz="4" w:space="0" w:color="E4DED3"/>
              <w:bottom w:val="single" w:sz="4" w:space="0" w:color="E4DED3"/>
              <w:right w:val="single" w:sz="4" w:space="0" w:color="E4DED3"/>
            </w:tcBorders>
          </w:tcPr>
          <w:p>
            <w:r>
              <w:rPr>
                <w:sz w:val="18"/>
              </w:rPr>
              <w:t>Backup-and-restore was chosen specifically as the lowest-cost option meeting the objectives (§5)</w:t>
            </w:r>
          </w:p>
        </w:tc>
        <w:tc>
          <w:tcPr>
            <w:tcW w:type="dxa" w:w="1701"/>
            <w:tcBorders>
              <w:top w:val="single" w:sz="4" w:space="0" w:color="E4DED3"/>
              <w:left w:val="single" w:sz="4" w:space="0" w:color="E4DED3"/>
              <w:bottom w:val="single" w:sz="4" w:space="0" w:color="E4DED3"/>
              <w:right w:val="single" w:sz="4" w:space="0" w:color="E4DED3"/>
            </w:tcBorders>
          </w:tcPr>
          <w:p>
            <w:r>
              <w:rPr>
                <w:sz w:val="18"/>
              </w:rPr>
              <w:t>Cost rationale recorded in §5</w:t>
            </w:r>
          </w:p>
        </w:tc>
      </w:tr>
    </w:tbl>
    <w:p/>
    <w:p>
      <w:r>
        <w:rPr>
          <w:sz w:val="21"/>
        </w:rPr>
        <w:t>Lodgement (PC 5.3): the approved plan is lodged in YAT ICT shared documentation under the Records Management Policy and registered against the Change Management Procedure, with a review on each major architecture change and at least annually.</w:t>
      </w:r>
    </w:p>
    <w:p>
      <w:r>
        <w:rPr>
          <w:sz w:val="21"/>
        </w:rPr>
        <w:t>Sign-off (PC 5.4):</w:t>
      </w:r>
    </w:p>
    <w:tbl>
      <w:tblPr>
        <w:tblW w:type="auto" w:w="0"/>
        <w:jc w:val="center"/>
        <w:tblLook w:firstColumn="1" w:firstRow="1" w:lastColumn="0" w:lastRow="0" w:noHBand="0" w:noVBand="1" w:val="04A0"/>
      </w:tblPr>
      <w:tblGrid>
        <w:gridCol w:w="2353"/>
        <w:gridCol w:w="2353"/>
        <w:gridCol w:w="2353"/>
        <w:gridCol w:w="2353"/>
      </w:tblGrid>
      <w:tr>
        <w:tc>
          <w:tcPr>
            <w:tcW w:type="dxa" w:w="226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Role</w:t>
            </w:r>
          </w:p>
        </w:tc>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Name</w:t>
            </w:r>
          </w:p>
        </w:tc>
        <w:tc>
          <w:tcPr>
            <w:tcW w:type="dxa" w:w="1417"/>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Date</w:t>
            </w:r>
          </w:p>
        </w:tc>
        <w:tc>
          <w:tcPr>
            <w:tcW w:type="dxa" w:w="226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Acceptance</w:t>
            </w:r>
          </w:p>
        </w:tc>
      </w:tr>
      <w:tr>
        <w:tc>
          <w:tcPr>
            <w:tcW w:type="dxa" w:w="2268"/>
            <w:tcBorders>
              <w:top w:val="single" w:sz="4" w:space="0" w:color="E4DED3"/>
              <w:left w:val="single" w:sz="4" w:space="0" w:color="E4DED3"/>
              <w:bottom w:val="single" w:sz="4" w:space="0" w:color="E4DED3"/>
              <w:right w:val="single" w:sz="4" w:space="0" w:color="E4DED3"/>
            </w:tcBorders>
          </w:tcPr>
          <w:p>
            <w:r>
              <w:rPr>
                <w:b/>
                <w:sz w:val="18"/>
              </w:rPr>
              <w:t>Prepared by</w:t>
            </w:r>
          </w:p>
        </w:tc>
        <w:tc>
          <w:tcPr>
            <w:tcW w:type="dxa" w:w="2835"/>
            <w:tcBorders>
              <w:top w:val="single" w:sz="4" w:space="0" w:color="E4DED3"/>
              <w:left w:val="single" w:sz="4" w:space="0" w:color="E4DED3"/>
              <w:bottom w:val="single" w:sz="4" w:space="0" w:color="E4DED3"/>
              <w:right w:val="single" w:sz="4" w:space="0" w:color="E4DED3"/>
            </w:tcBorders>
          </w:tcPr>
          <w:p>
            <w:r>
              <w:rPr>
                <w:sz w:val="18"/>
              </w:rPr>
              <w:t>MTS Consultant</w:t>
            </w:r>
          </w:p>
        </w:tc>
        <w:tc>
          <w:tcPr>
            <w:tcW w:type="dxa" w:w="1417"/>
            <w:tcBorders>
              <w:top w:val="single" w:sz="4" w:space="0" w:color="E4DED3"/>
              <w:left w:val="single" w:sz="4" w:space="0" w:color="E4DED3"/>
              <w:bottom w:val="single" w:sz="4" w:space="0" w:color="E4DED3"/>
              <w:right w:val="single" w:sz="4" w:space="0" w:color="E4DED3"/>
            </w:tcBorders>
          </w:tcPr>
          <w:p>
            <w:r>
              <w:rPr>
                <w:sz w:val="18"/>
              </w:rPr>
              <w:t>[date]</w:t>
            </w:r>
          </w:p>
        </w:tc>
        <w:tc>
          <w:tcPr>
            <w:tcW w:type="dxa" w:w="2268"/>
            <w:tcBorders>
              <w:top w:val="single" w:sz="4" w:space="0" w:color="E4DED3"/>
              <w:left w:val="single" w:sz="4" w:space="0" w:color="E4DED3"/>
              <w:bottom w:val="single" w:sz="4" w:space="0" w:color="E4DED3"/>
              <w:right w:val="single" w:sz="4" w:space="0" w:color="E4DED3"/>
            </w:tcBorders>
          </w:tcPr>
          <w:p>
            <w:r>
              <w:rPr>
                <w:sz w:val="18"/>
              </w:rPr>
              <w:t>Submitted</w:t>
            </w:r>
          </w:p>
        </w:tc>
      </w:tr>
      <w:tr>
        <w:tc>
          <w:tcPr>
            <w:tcW w:type="dxa" w:w="2268"/>
            <w:tcBorders>
              <w:top w:val="single" w:sz="4" w:space="0" w:color="E4DED3"/>
              <w:left w:val="single" w:sz="4" w:space="0" w:color="E4DED3"/>
              <w:bottom w:val="single" w:sz="4" w:space="0" w:color="E4DED3"/>
              <w:right w:val="single" w:sz="4" w:space="0" w:color="E4DED3"/>
            </w:tcBorders>
          </w:tcPr>
          <w:p>
            <w:r>
              <w:rPr>
                <w:b/>
                <w:sz w:val="18"/>
              </w:rPr>
              <w:t>Reviewed by</w:t>
            </w:r>
          </w:p>
        </w:tc>
        <w:tc>
          <w:tcPr>
            <w:tcW w:type="dxa" w:w="2835"/>
            <w:tcBorders>
              <w:top w:val="single" w:sz="4" w:space="0" w:color="E4DED3"/>
              <w:left w:val="single" w:sz="4" w:space="0" w:color="E4DED3"/>
              <w:bottom w:val="single" w:sz="4" w:space="0" w:color="E4DED3"/>
              <w:right w:val="single" w:sz="4" w:space="0" w:color="E4DED3"/>
            </w:tcBorders>
          </w:tcPr>
          <w:p>
            <w:r>
              <w:rPr>
                <w:sz w:val="18"/>
              </w:rPr>
              <w:t>Pat Lin (MTS Senior Consultant)</w:t>
            </w:r>
          </w:p>
        </w:tc>
        <w:tc>
          <w:tcPr>
            <w:tcW w:type="dxa" w:w="1417"/>
            <w:tcBorders>
              <w:top w:val="single" w:sz="4" w:space="0" w:color="E4DED3"/>
              <w:left w:val="single" w:sz="4" w:space="0" w:color="E4DED3"/>
              <w:bottom w:val="single" w:sz="4" w:space="0" w:color="E4DED3"/>
              <w:right w:val="single" w:sz="4" w:space="0" w:color="E4DED3"/>
            </w:tcBorders>
          </w:tcPr>
          <w:p>
            <w:r>
              <w:rPr>
                <w:sz w:val="18"/>
              </w:rPr>
              <w:t>[date]</w:t>
            </w:r>
          </w:p>
        </w:tc>
        <w:tc>
          <w:tcPr>
            <w:tcW w:type="dxa" w:w="2268"/>
            <w:tcBorders>
              <w:top w:val="single" w:sz="4" w:space="0" w:color="E4DED3"/>
              <w:left w:val="single" w:sz="4" w:space="0" w:color="E4DED3"/>
              <w:bottom w:val="single" w:sz="4" w:space="0" w:color="E4DED3"/>
              <w:right w:val="single" w:sz="4" w:space="0" w:color="E4DED3"/>
            </w:tcBorders>
          </w:tcPr>
          <w:p>
            <w:r>
              <w:rPr>
                <w:sz w:val="18"/>
              </w:rPr>
              <w:t>Approved for submission</w:t>
            </w:r>
          </w:p>
        </w:tc>
      </w:tr>
      <w:tr>
        <w:tc>
          <w:tcPr>
            <w:tcW w:type="dxa" w:w="2268"/>
            <w:tcBorders>
              <w:top w:val="single" w:sz="4" w:space="0" w:color="E4DED3"/>
              <w:left w:val="single" w:sz="4" w:space="0" w:color="E4DED3"/>
              <w:bottom w:val="single" w:sz="4" w:space="0" w:color="E4DED3"/>
              <w:right w:val="single" w:sz="4" w:space="0" w:color="E4DED3"/>
            </w:tcBorders>
          </w:tcPr>
          <w:p>
            <w:r>
              <w:rPr>
                <w:b/>
                <w:sz w:val="18"/>
              </w:rPr>
              <w:t>Approved by</w:t>
            </w:r>
          </w:p>
        </w:tc>
        <w:tc>
          <w:tcPr>
            <w:tcW w:type="dxa" w:w="2835"/>
            <w:tcBorders>
              <w:top w:val="single" w:sz="4" w:space="0" w:color="E4DED3"/>
              <w:left w:val="single" w:sz="4" w:space="0" w:color="E4DED3"/>
              <w:bottom w:val="single" w:sz="4" w:space="0" w:color="E4DED3"/>
              <w:right w:val="single" w:sz="4" w:space="0" w:color="E4DED3"/>
            </w:tcBorders>
          </w:tcPr>
          <w:p>
            <w:r>
              <w:rPr>
                <w:sz w:val="18"/>
              </w:rPr>
              <w:t>Sam Walker (YAT ICT Manager)</w:t>
            </w:r>
          </w:p>
        </w:tc>
        <w:tc>
          <w:tcPr>
            <w:tcW w:type="dxa" w:w="1417"/>
            <w:tcBorders>
              <w:top w:val="single" w:sz="4" w:space="0" w:color="E4DED3"/>
              <w:left w:val="single" w:sz="4" w:space="0" w:color="E4DED3"/>
              <w:bottom w:val="single" w:sz="4" w:space="0" w:color="E4DED3"/>
              <w:right w:val="single" w:sz="4" w:space="0" w:color="E4DED3"/>
            </w:tcBorders>
          </w:tcPr>
          <w:p>
            <w:r>
              <w:rPr>
                <w:sz w:val="18"/>
              </w:rPr>
              <w:t>[date]</w:t>
            </w:r>
          </w:p>
        </w:tc>
        <w:tc>
          <w:tcPr>
            <w:tcW w:type="dxa" w:w="2268"/>
            <w:tcBorders>
              <w:top w:val="single" w:sz="4" w:space="0" w:color="E4DED3"/>
              <w:left w:val="single" w:sz="4" w:space="0" w:color="E4DED3"/>
              <w:bottom w:val="single" w:sz="4" w:space="0" w:color="E4DED3"/>
              <w:right w:val="single" w:sz="4" w:space="0" w:color="E4DED3"/>
            </w:tcBorders>
          </w:tcPr>
          <w:p>
            <w:r>
              <w:rPr>
                <w:sz w:val="18"/>
              </w:rPr>
              <w:t>DR Plan accepted — objectives, strategy and recovery steps confirmed; cleared to proceed to implementation</w:t>
            </w:r>
          </w:p>
        </w:tc>
      </w:tr>
    </w:tbl>
    <w:p/>
    <w:p>
      <w:pPr>
        <w:sectPr>
          <w:headerReference w:type="default" r:id="rId13"/>
          <w:footerReference w:type="default" r:id="rId14"/>
          <w:pgSz w:w="11906" w:h="16838"/>
          <w:pgMar w:top="1474" w:right="1247" w:bottom="1247" w:left="1247" w:header="567" w:footer="567" w:gutter="0"/>
          <w:cols w:space="720"/>
          <w:docGrid w:linePitch="360"/>
        </w:sectPr>
      </w:pPr>
    </w:p>
    <w:p>
      <w:pPr>
        <w:pStyle w:val="Heading1"/>
      </w:pPr>
      <w:r>
        <w:t>Appendix A — Knowledge Evidence</w:t>
      </w:r>
    </w:p>
    <w:p>
      <w:r>
        <w:rPr>
          <w:sz w:val="21"/>
        </w:rPr>
        <w:t>Written contextual responses for ICTCLD501 — the mandatory knowledge-evidence location for Part B. Each question asks the candidate to reason about their own plan; the answers below are the model responses (assessor reference).</w:t>
      </w:r>
    </w:p>
    <w:p>
      <w:pPr>
        <w:spacing w:after="120"/>
      </w:pPr>
      <w:r>
        <w:rPr>
          <w:i/>
          <w:color w:val="1F5A5C"/>
          <w:sz w:val="17"/>
        </w:rPr>
        <w:t>Evidences: [ICTCLD501 KE 1] — risk environments in cloud/ICT environments</w:t>
      </w:r>
    </w:p>
    <w:p>
      <w:r>
        <w:rPr>
          <w:b/>
          <w:sz w:val="21"/>
        </w:rPr>
        <w:t>Q1. Your impact analysis settled on three major risk events. What is distinctive about the risk environment of a public-facing, cloud-hosted website, and why do region loss, destructive data loss and cyber-compromise capture it?</w:t>
      </w:r>
    </w:p>
    <w:p>
      <w:r>
        <w:rPr>
          <w:sz w:val="21"/>
        </w:rPr>
        <w:t>The website runs on shared cloud infrastructure, so its risk environment includes provider-level failures — a whole AWS region becoming unavailable — that an on-premises system would not face, alongside the universal risks to data integrity and security. Being public and internet-facing raises both the likelihood and the impact of a cyber-compromise. The three events span the failure domains that matter above the Availability-Zone level the existing HA design already covers: infrastructure (RE1), data (RE2) and security (RE3). Single-component and single-AZ failures are excluded because the in-region HA design handles them.</w:t>
      </w:r>
    </w:p>
    <w:p>
      <w:pPr>
        <w:spacing w:after="120"/>
      </w:pPr>
      <w:r>
        <w:rPr>
          <w:i/>
          <w:color w:val="1F5A5C"/>
          <w:sz w:val="17"/>
        </w:rPr>
        <w:t>Evidences: [ICTCLD501 KE 2] — data analysis methodologies to determine the risk environment</w:t>
      </w:r>
    </w:p>
    <w:p>
      <w:r>
        <w:rPr>
          <w:b/>
          <w:sz w:val="21"/>
        </w:rPr>
        <w:t>Q2. How did you determine the risk environment — what method did you use to identify and rate the risks, and why is it appropriate here?</w:t>
      </w:r>
    </w:p>
    <w:p>
      <w:r>
        <w:rPr>
          <w:sz w:val="21"/>
        </w:rPr>
        <w:t>I identified candidate risks in a structured workshop with YAT ICT together with a review of the expanded architecture, then rated each on likelihood and impact to derive a severity. This qualitative likelihood-by-impact method suits a plan with a small number of high-consequence events and little historical incident data: it surfaces the events that actually drive the recovery objectives without implying a false precision a quantitative model could not support.</w:t>
      </w:r>
    </w:p>
    <w:p>
      <w:pPr>
        <w:spacing w:after="120"/>
      </w:pPr>
      <w:r>
        <w:rPr>
          <w:i/>
          <w:color w:val="1F5A5C"/>
          <w:sz w:val="17"/>
        </w:rPr>
        <w:t>Evidences: [ICTCLD501 KE 3] — disaster recovery techniques applicable to cloud environments</w:t>
      </w:r>
    </w:p>
    <w:p>
      <w:r>
        <w:rPr>
          <w:b/>
          <w:sz w:val="21"/>
        </w:rPr>
        <w:t>Q3. You evaluated four cloud DR strategies and recommended Backup &amp; Restore. Explain the recovery techniques available in the cloud and why Backup &amp; Restore fits this website rather than Pilot Light, Warm Standby or Active-Active.</w:t>
      </w:r>
    </w:p>
    <w:p>
      <w:r>
        <w:rPr>
          <w:sz w:val="21"/>
        </w:rPr>
        <w:t>The standard cloud DR techniques trade recovery speed against cost: Backup &amp; Restore rebuilds from backups (RTO in hours); Pilot Light keeps core data replicated and scales the rest on failover; Warm Standby runs a smaller always-on copy; and Multi-region Active-Active runs a full duplicate. The website's targets are RTO ≤ 4 h and RPO ≤ 1 h. Backup &amp; Restore meets both at the lowest cost and complexity, especially with IaC-driven rebuild and cross-region backups; the faster options exceed the requirement and carry ongoing standby cost the brief explicitly asks to avoid.</w:t>
      </w:r>
    </w:p>
    <w:p>
      <w:pPr>
        <w:spacing w:after="120"/>
      </w:pPr>
      <w:r>
        <w:rPr>
          <w:i/>
          <w:color w:val="1F5A5C"/>
          <w:sz w:val="17"/>
        </w:rPr>
        <w:t>Evidences: [ICTCLD501 KE 4] — ISO/IEC 27001, 27002 and 27031 standards</w:t>
      </w:r>
    </w:p>
    <w:p>
      <w:r>
        <w:rPr>
          <w:b/>
          <w:sz w:val="21"/>
        </w:rPr>
        <w:t>Q4. Which information-security and business-continuity standards informed your plan, and how does the plan reflect them?</w:t>
      </w:r>
    </w:p>
    <w:p>
      <w:r>
        <w:rPr>
          <w:sz w:val="21"/>
        </w:rPr>
        <w:t>ISO/IEC 27001 and 27002 (information-security management and controls) inform the security of the backups — isolated, immutable, access-restricted vaults for ransomware resistance — and the handling of the personal information the database holds. ISO/IEC 27031 (ICT readiness for business continuity) frames the plan's shape: detection and declaration, defined recovery objectives, a documented and tested recovery procedure, and clear roles — which is why the plan carries a runbook, an escalation path and a validated step timeline rather than just a backup configuration.</w:t>
      </w:r>
    </w:p>
    <w:p>
      <w:pPr>
        <w:spacing w:after="120"/>
      </w:pPr>
      <w:r>
        <w:rPr>
          <w:i/>
          <w:color w:val="1F5A5C"/>
          <w:sz w:val="17"/>
        </w:rPr>
        <w:t>Evidences: [ICTCLD501 KE 5] — RTO and RPO standards and techniques</w:t>
      </w:r>
    </w:p>
    <w:p>
      <w:r>
        <w:rPr>
          <w:b/>
          <w:sz w:val="21"/>
        </w:rPr>
        <w:t>Q5. Explain RTO and RPO in your own words, the values you set for the website, and the techniques you used to meet each.</w:t>
      </w:r>
    </w:p>
    <w:p>
      <w:r>
        <w:rPr>
          <w:sz w:val="21"/>
        </w:rPr>
        <w:t>RPO is the maximum acceptable amount of data loss — how far back recovery may have to go — and RTO is the maximum acceptable time to restore service. For the website I set RPO ≤ 1 hour and RTO ≤ 4 hours, carried from the requirements. RPO is met by point-in-time database backups plus an at-least-hourly cross-region snapshot copy, which together cap data loss below an hour. RTO is met because the IaC templates rebuild the stack in the recovery region and the database restore completes inside the four-hour budget, as the §6 step timeline demonstrates.</w:t>
      </w:r>
    </w:p>
    <w:p>
      <w:pPr>
        <w:spacing w:after="120"/>
      </w:pPr>
      <w:r>
        <w:rPr>
          <w:i/>
          <w:color w:val="1F5A5C"/>
          <w:sz w:val="17"/>
        </w:rPr>
        <w:t>Evidences: [ICTCLD501 KE 6] — techniques and methods to monitor and create alerts in cloud environments</w:t>
      </w:r>
    </w:p>
    <w:p>
      <w:r>
        <w:rPr>
          <w:b/>
          <w:sz w:val="21"/>
        </w:rPr>
        <w:t>Q6. How would a region-level disaster be detected to trigger this plan, and what monitoring and alerting would you put in place so the on-call team is notified in time to meet the RTO?</w:t>
      </w:r>
    </w:p>
    <w:p>
      <w:r>
        <w:rPr>
          <w:sz w:val="21"/>
        </w:rPr>
        <w:t>Detection relies on layered cloud monitoring: CloudWatch alarms on the website's health and key metrics, the AWS Health Dashboard for region-level service events, and external (synthetic) availability monitoring of the public endpoints from multiple locations. When a threshold is breached — for example the endpoints failing from several locations while AWS reports a regional impairment — the alarm raises an alert that pages the on-call YAT ICT officer, who declares the disaster and starts the runbook. Fast automated detection is what makes the four-hour RTO achievable, because the recovery clock only starts once the disaster is declared.</w:t>
      </w:r>
    </w:p>
    <w:p>
      <w:pPr>
        <w:pStyle w:val="Heading1"/>
      </w:pPr>
      <w:r>
        <w:t>Document control</w:t>
      </w:r>
    </w:p>
    <w:tbl>
      <w:tblPr>
        <w:tblW w:type="auto" w:w="0"/>
        <w:jc w:val="center"/>
        <w:tblLook w:firstColumn="1" w:firstRow="1" w:lastColumn="0" w:lastRow="0" w:noHBand="0" w:noVBand="1" w:val="04A0"/>
      </w:tblPr>
      <w:tblGrid>
        <w:gridCol w:w="4706"/>
        <w:gridCol w:w="4706"/>
      </w:tblGrid>
      <w:tr>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Field</w:t>
            </w:r>
          </w:p>
        </w:tc>
        <w:tc>
          <w:tcPr>
            <w:tcW w:type="dxa" w:w="5953"/>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Value</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Document version</w:t>
            </w:r>
          </w:p>
        </w:tc>
        <w:tc>
          <w:tcPr>
            <w:tcW w:type="dxa" w:w="5953"/>
            <w:tcBorders>
              <w:top w:val="single" w:sz="4" w:space="0" w:color="E4DED3"/>
              <w:left w:val="single" w:sz="4" w:space="0" w:color="E4DED3"/>
              <w:bottom w:val="single" w:sz="4" w:space="0" w:color="E4DED3"/>
              <w:right w:val="single" w:sz="4" w:space="0" w:color="E4DED3"/>
            </w:tcBorders>
          </w:tcPr>
          <w:p>
            <w:r>
              <w:rPr>
                <w:sz w:val="18"/>
              </w:rPr>
              <w:t>v1.0 — Disaster Recovery Plan</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Author</w:t>
            </w:r>
          </w:p>
        </w:tc>
        <w:tc>
          <w:tcPr>
            <w:tcW w:type="dxa" w:w="5953"/>
            <w:tcBorders>
              <w:top w:val="single" w:sz="4" w:space="0" w:color="E4DED3"/>
              <w:left w:val="single" w:sz="4" w:space="0" w:color="E4DED3"/>
              <w:bottom w:val="single" w:sz="4" w:space="0" w:color="E4DED3"/>
              <w:right w:val="single" w:sz="4" w:space="0" w:color="E4DED3"/>
            </w:tcBorders>
          </w:tcPr>
          <w:p>
            <w:r>
              <w:rPr>
                <w:sz w:val="18"/>
              </w:rPr>
              <w:t>MTS Consultant</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Engagement</w:t>
            </w:r>
          </w:p>
        </w:tc>
        <w:tc>
          <w:tcPr>
            <w:tcW w:type="dxa" w:w="5953"/>
            <w:tcBorders>
              <w:top w:val="single" w:sz="4" w:space="0" w:color="E4DED3"/>
              <w:left w:val="single" w:sz="4" w:space="0" w:color="E4DED3"/>
              <w:bottom w:val="single" w:sz="4" w:space="0" w:color="E4DED3"/>
              <w:right w:val="single" w:sz="4" w:space="0" w:color="E4DED3"/>
            </w:tcBorders>
          </w:tcPr>
          <w:p>
            <w:r>
              <w:rPr>
                <w:sz w:val="18"/>
              </w:rPr>
              <w:t>YAT Website Global Expansion &amp; Disaster Recovery</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Companion document</w:t>
            </w:r>
          </w:p>
        </w:tc>
        <w:tc>
          <w:tcPr>
            <w:tcW w:type="dxa" w:w="5953"/>
            <w:tcBorders>
              <w:top w:val="single" w:sz="4" w:space="0" w:color="E4DED3"/>
              <w:left w:val="single" w:sz="4" w:space="0" w:color="E4DED3"/>
              <w:bottom w:val="single" w:sz="4" w:space="0" w:color="E4DED3"/>
              <w:right w:val="single" w:sz="4" w:space="0" w:color="E4DED3"/>
            </w:tcBorders>
          </w:tcPr>
          <w:p>
            <w:r>
              <w:rPr>
                <w:sz w:val="18"/>
              </w:rPr>
              <w:t>Website Global Expansion Solution Design</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Successor document</w:t>
            </w:r>
          </w:p>
        </w:tc>
        <w:tc>
          <w:tcPr>
            <w:tcW w:type="dxa" w:w="5953"/>
            <w:tcBorders>
              <w:top w:val="single" w:sz="4" w:space="0" w:color="E4DED3"/>
              <w:left w:val="single" w:sz="4" w:space="0" w:color="E4DED3"/>
              <w:bottom w:val="single" w:sz="4" w:space="0" w:color="E4DED3"/>
              <w:right w:val="single" w:sz="4" w:space="0" w:color="E4DED3"/>
            </w:tcBorders>
          </w:tcPr>
          <w:p>
            <w:r>
              <w:rPr>
                <w:sz w:val="18"/>
              </w:rPr>
              <w:t>Website Global Expansion Deployment Report (Phase 2 implementation)</w:t>
            </w:r>
          </w:p>
        </w:tc>
      </w:tr>
    </w:tbl>
    <w:p/>
    <w:sectPr w:rsidR="00FC693F" w:rsidRPr="0006063C" w:rsidSect="00034616">
      <w:headerReference w:type="default" r:id="rId15"/>
      <w:footerReference w:type="default" r:id="rId16"/>
      <w:pgSz w:w="11906" w:h="16838"/>
      <w:pgMar w:top="1474" w:right="1247" w:bottom="1247"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Source Sans 3" w:hAnsi="Source Sans 3" w:eastAsia="Source Sans 3"/>
      <w:color w:val="1F23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urce Sans 3" w:hAnsi="Source Sans 3" w:eastAsia="Source Sans 3"/>
      <w:b/>
      <w:bCs/>
      <w:color w:val="1F5A5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urce Sans 3" w:hAnsi="Source Sans 3" w:eastAsia="Source Sans 3"/>
      <w:b/>
      <w:bCs/>
      <w:color w:val="1F5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ource Sans 3" w:hAnsi="Source Sans 3" w:eastAsia="Source Sans 3"/>
      <w:b/>
      <w:bCs/>
      <w:color w:val="1F232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ource Sans 3" w:hAnsi="Source Sans 3" w:eastAsia="Source Sans 3"/>
      <w:b/>
      <w:color w:val="1F5A5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