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ICTCLD503 Implement web-scale cloud infrastructure</w:t>
            </w:r>
          </w:p>
          <w:p>
            <w:pPr/>
            <w:r>
              <w:t>ICTCLD505 Deploy infrastructure as code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AT2 — Cloud Microservice &amp; IaC Implementation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2 of 2</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Students are assessed on implementing the audit-log microservice approved in AT1, and on provisioning it as infrastructure as code. AT2 is the second of two assessment tasks in the S1-CL2 Cloud Disaster Recovery cluster and closes the Website Global Expansion engagement.</w:t>
            </w:r>
          </w:p>
          <w:p>
            <w:pPr>
              <w:pStyle w:val="Assessortext"/>
            </w:pPr>
            <w:r>
              <w:t>The assessment is one guided workbook of twenty-two build tasks and three knowledge questions, submitted as a single document together with the student's own template files. The student analyses why infrastructure as code suits the engagement, operates a template written by someone else (including diagnosing why it fails), authors and deploys their own, tests the microservice end to end, parameterises it for a second environment, adds a resource by update, configures monitoring, writes the user documentation, tears the environment down, and obtains build sign-off.</w:t>
            </w:r>
          </w:p>
          <w:p>
            <w:pPr>
              <w:pStyle w:val="Assessortext"/>
            </w:pPr>
            <w:r>
              <w:t>WHAT YOU SUBMIT. The completed workbook, and your own infrastructure-as-code template files. The user documentation you write at task 20 goes in the workbook; the templates it refers to are attached.</w:t>
            </w:r>
          </w:p>
          <w:p>
            <w:pPr>
              <w:pStyle w:val="Assessortext"/>
            </w:pPr>
            <w:r>
              <w:t>Things will fail. That is expected and it is part of what is assessed — task 16 exists for exactly that. Record what broke and what you did about it rather than quietly fixing it.</w:t>
            </w:r>
          </w:p>
          <w:p>
            <w:pPr>
              <w:pStyle w:val="Assessortext"/>
            </w:pPr>
            <w:r>
              <w:t>This is an open-book assessment. Students may use the YAT intranet, AWS documentation, course materials and external research (which must be cited). They may not use another student.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The design and disaster recovery plan for the YAT website global expansion were approved in AT1. This is the implementation phase: the student builds the audit-log microservice that design calls for, as code, so YAT can reproduce it.</w:t>
            </w:r>
          </w:p>
          <w:p>
            <w:pPr>
              <w:pStyle w:val="Assessortext"/>
            </w:pPr>
            <w:r>
              <w:t>Tasks 1–4 establish why the work is being done as code, what automation the platform supplies, what can go wrong with the approach, and which infrastructure-as-code service is selected.</w:t>
            </w:r>
          </w:p>
          <w:p>
            <w:pPr>
              <w:pStyle w:val="Assessortext"/>
            </w:pPr>
            <w:r>
              <w:t>Tasks 5–10 operate a template the student did not write: read it and determine what it creates and depends on, deploy it, diagnose and fix the failure it produces, confirm the resource, update a parameter and observe that the update REPLACES the table rather than renaming it, and return the store to a known state.</w:t>
            </w:r>
          </w:p>
          <w:p>
            <w:pPr>
              <w:pStyle w:val="Assessortext"/>
            </w:pPr>
            <w:r>
              <w:t>Tasks 11–19 are the student's own build: read the provided handler and contract to determine what the infrastructure must supply, author a template provisioning the API, queue, function and permissions, deploy it, confirm the wiring, test a valid event, a duplicate and an invalid one end to end, record the troubleshooting, parameterise for a second environment, add a dead-letter queue by update, and configure a metric and alarm.</w:t>
            </w:r>
          </w:p>
          <w:p>
            <w:pPr>
              <w:pStyle w:val="Assessortext"/>
            </w:pPr>
            <w:r>
              <w:t>Tasks 20–22 close the engagement: user documentation written for the YAT operator who inherits the stack, teardown through the tooling, and build sign-off.</w:t>
            </w:r>
          </w:p>
          <w:p>
            <w:pPr>
              <w:pStyle w:val="Assessortext"/>
            </w:pPr>
            <w:r>
              <w:t>The provided data-store template, the microservice handler and the webhook contract are supplied inline in the workbook — deliberately not as a lab-pack, because authoring and operating the deployment templates is the assessed skill.</w:t>
            </w:r>
          </w:p>
          <w:p>
            <w:pPr>
              <w:pStyle w:val="Assessortext"/>
            </w:pPr>
            <w:r>
              <w:t>Lab environment: AWS Academy Learner Lab, deploying to us-east-1. The approved design places the audit store in India — [scenario: ap-south-1 | deploy: us-east-1].</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t>A 12-hour build window across sessions, plus the handover session with the assessor.</w:t>
            </w:r>
          </w:p>
          <w:p>
            <w:pPr>
              <w:pStyle w:val="Assessortext"/>
            </w:pPr>
            <w:r>
              <w:t>Deployments fail and get fixed — that is the work, not lost time. Time is indicative; a student who needs longer continues in the next session.</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rsidRPr="008A0AD8">
              <w:t>Insert the location of where the assessment task will take place.</w:t>
            </w:r>
          </w:p>
          <w:p w14:paraId="0C59871E" w14:textId="5A24EA31" w:rsidR="003C34A3" w:rsidRPr="002F7C81" w:rsidRDefault="003C34A3" w:rsidP="00C022D4">
            <w:pPr>
              <w:pStyle w:val="Assessortext"/>
            </w:pPr>
            <w:r w:rsidRPr="008A0AD8">
              <w:t xml:space="preserve">e.g. </w:t>
            </w:r>
            <w:r w:rsidR="00E81213" w:rsidRPr="008A0AD8">
              <w:t>‘</w:t>
            </w:r>
            <w:r w:rsidR="002C33AB" w:rsidRPr="008A0AD8">
              <w:t>This assessment task will be conducted in the Bendigo TAFE carpentry workshop.</w:t>
            </w:r>
            <w:r w:rsidR="00E81213" w:rsidRPr="008A0AD8">
              <w:t>’</w:t>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AWS Academy Learner Lab access — you build in us-east-1</w:t>
            </w:r>
          </w:p>
          <w:p>
            <w:pPr>
              <w:pStyle w:val="Assessortext"/>
            </w:pPr>
            <w:r>
              <w:t>The two provided files as downloads — datastore.yaml and handler.py. Both are reproduced in full in this document; the downloads just save you retyping</w:t>
            </w:r>
          </w:p>
          <w:p>
            <w:pPr>
              <w:pStyle w:val="Assessortext"/>
            </w:pPr>
            <w:r>
              <w:t>Access to the YAT scenario site / intranet — every document you need is linked from the task it belongs to</w:t>
            </w:r>
          </w:p>
          <w:p>
            <w:pPr>
              <w:pStyle w:val="Assessortext"/>
            </w:pPr>
            <w:r>
              <w:t>Your assessor will role-play Sam Walker, YAT ICT Manager, for the build sign-off</w:t>
            </w:r>
          </w:p>
          <w:p>
            <w:pPr>
              <w:pStyle w:val="Assessortext"/>
            </w:pPr>
            <w:r>
              <w:t>Computer with web browser</w:t>
            </w:r>
          </w:p>
          <w:p>
            <w:pPr>
              <w:pStyle w:val="Assessortext"/>
            </w:pPr>
            <w:r>
              <w:t>A code editor or IDE</w:t>
            </w:r>
          </w:p>
          <w:p>
            <w:pPr>
              <w:pStyle w:val="Assessortext"/>
            </w:pPr>
            <w:r>
              <w:t>A screenshot tool</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the student must:</w:t>
            </w:r>
          </w:p>
          <w:p>
            <w:pPr/>
            <w:r>
              <w:t>Achieve Satisfactory on every criterion in the Marking Guide below</w:t>
            </w:r>
          </w:p>
          <w:p>
            <w:pPr/>
            <w:r>
              <w:t>Submit the completed workbook (.docx) with every task and question answered and every evidence box populated</w:t>
            </w:r>
          </w:p>
          <w:p>
            <w:pPr/>
            <w:r>
              <w:t>Submit their own infrastructure-as-code template files</w:t>
            </w:r>
          </w:p>
          <w:p>
            <w:pPr/>
            <w:r>
              <w:t>Obtain build sign-off at task 22</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rsidRPr="0029391E">
              <w:t>Insert a statement explaining how and when the student will receive their assessment outcome. e.g. ‘Your result and written feedback will be provided to you via MyLearning within 10 working days of the assessment due date.’</w:t>
            </w:r>
          </w:p>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77777777" w:rsidR="00C022D4" w:rsidRPr="00C022D4" w:rsidRDefault="00C022D4" w:rsidP="000333FE">
      <w:pPr>
        <w:pStyle w:val="Assessortext"/>
      </w:pPr>
      <w:r w:rsidRPr="00C022D4">
        <w:t>List the criteria the student will be assessed against for the project assessment.</w:t>
      </w:r>
      <w:r w:rsidRPr="00C022D4">
        <w:br/>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t>M1 Infrastructure as code assessed and selected (tasks 1–4) — the student ties the benefits to this engagement's stated needs rather than listing them generically, identifies what the platform automates beyond provisioning, assesses what can go wrong including the destructive-update risk, and selects a service against real alternatives</w:t>
            </w:r>
          </w:p>
        </w:tc>
        <w:tc>
          <w:tcPr>
            <w:tcW w:type="dxa" w:w="1943"/>
          </w:tcPr>
          <w:p>
            <w:r>
              <w:t>☐ Yes  ☐ No</w:t>
            </w:r>
          </w:p>
        </w:tc>
      </w:tr>
      <w:tr>
        <w:tc>
          <w:tcPr>
            <w:tcW w:type="dxa" w:w="8797"/>
          </w:tcPr>
          <w:p>
            <w:r>
              <w:t>M2 Provided template reviewed and deployed (tasks 5–6) — the student determines what the template creates and what depends on it, including the export their own stack will consume, then deploys it with the service's own tooling and captures the failure rather than pre-emptively fixing it</w:t>
            </w:r>
          </w:p>
        </w:tc>
        <w:tc>
          <w:tcPr>
            <w:tcW w:type="dxa" w:w="1943"/>
          </w:tcPr>
          <w:p>
            <w:r>
              <w:t>☐ Yes  ☐ No</w:t>
            </w:r>
          </w:p>
        </w:tc>
      </w:tr>
      <w:tr>
        <w:tc>
          <w:tcPr>
            <w:tcW w:type="dxa" w:w="8797"/>
          </w:tcPr>
          <w:p>
            <w:r>
              <w:t>M3 Fault diagnosed and fixed (task 7) — the student reads the error, identifies the mismatch between the attribute definition and the key schema, and records the diagnosis rather than a sequence of guesses</w:t>
            </w:r>
          </w:p>
        </w:tc>
        <w:tc>
          <w:tcPr>
            <w:tcW w:type="dxa" w:w="1943"/>
          </w:tcPr>
          <w:p>
            <w:r>
              <w:t>☐ Yes  ☐ No</w:t>
            </w:r>
          </w:p>
        </w:tc>
      </w:tr>
      <w:tr>
        <w:tc>
          <w:tcPr>
            <w:tcW w:type="dxa" w:w="8797"/>
          </w:tcPr>
          <w:p>
            <w:r>
              <w:t>M4 Deployment confirmed, updated and returned to a known state (tasks 8–10) — the student inspects the created resource itself rather than the stack message, redeploys with a changed parameter and observes what the update did to the existing resource, and verifies the state the rest of the build needs</w:t>
            </w:r>
          </w:p>
        </w:tc>
        <w:tc>
          <w:tcPr>
            <w:tcW w:type="dxa" w:w="1943"/>
          </w:tcPr>
          <w:p>
            <w:r>
              <w:t>☐ Yes  ☐ No</w:t>
            </w:r>
          </w:p>
        </w:tc>
      </w:tr>
      <w:tr>
        <w:tc>
          <w:tcPr>
            <w:tcW w:type="dxa" w:w="8797"/>
          </w:tcPr>
          <w:p>
            <w:r>
              <w:t>M5 Microservice code and contract reviewed (task 11) — the student extracts the infrastructure requirements from the provided code: the queue trigger, the environment variable, the write permission and the runtime</w:t>
            </w:r>
          </w:p>
        </w:tc>
        <w:tc>
          <w:tcPr>
            <w:tcW w:type="dxa" w:w="1943"/>
          </w:tcPr>
          <w:p>
            <w:r>
              <w:t>☐ Yes  ☐ No</w:t>
            </w:r>
          </w:p>
        </w:tc>
      </w:tr>
      <w:tr>
        <w:tc>
          <w:tcPr>
            <w:tcW w:type="dxa" w:w="8797"/>
          </w:tcPr>
          <w:p>
            <w:r>
              <w:t>M6 Own template authored, deployed and confirmed (tasks 12–14) — the template provisions a set of related resources and connects to the provided store through its export rather than a hard-coded name; it deploys successfully; and the student confirms the wiring including the environment variable</w:t>
            </w:r>
          </w:p>
        </w:tc>
        <w:tc>
          <w:tcPr>
            <w:tcW w:type="dxa" w:w="1943"/>
          </w:tcPr>
          <w:p>
            <w:r>
              <w:t>☐ Yes  ☐ No</w:t>
            </w:r>
          </w:p>
        </w:tc>
      </w:tr>
      <w:tr>
        <w:tc>
          <w:tcPr>
            <w:tcW w:type="dxa" w:w="8797"/>
          </w:tcPr>
          <w:p>
            <w:r>
              <w:t>M7 Microservice tested end to end (task 15) — a valid event is posted and the record shown in the store, a duplicate is shown not to create a second record, and an invalid event is shown rejected and logged</w:t>
            </w:r>
          </w:p>
        </w:tc>
        <w:tc>
          <w:tcPr>
            <w:tcW w:type="dxa" w:w="1943"/>
          </w:tcPr>
          <w:p>
            <w:r>
              <w:t>☐ Yes  ☐ No</w:t>
            </w:r>
          </w:p>
        </w:tc>
      </w:tr>
      <w:tr>
        <w:tc>
          <w:tcPr>
            <w:tcW w:type="dxa" w:w="8797"/>
          </w:tcPr>
          <w:p>
            <w:r>
              <w:t>M8 Troubleshooting recorded (task 16) — at least two genuine problems with the symptom, the diagnosis and the fix, showing a method rather than trial and error</w:t>
            </w:r>
          </w:p>
        </w:tc>
        <w:tc>
          <w:tcPr>
            <w:tcW w:type="dxa" w:w="1943"/>
          </w:tcPr>
          <w:p>
            <w:r>
              <w:t>☐ Yes  ☐ No</w:t>
            </w:r>
          </w:p>
        </w:tc>
      </w:tr>
      <w:tr>
        <w:tc>
          <w:tcPr>
            <w:tcW w:type="dxa" w:w="8797"/>
          </w:tcPr>
          <w:p>
            <w:r>
              <w:t>M9 Parameterised and updated (tasks 17–18) — a second environment deployed from the same template by changing configuration only, and a new resource added by updating the existing stack rather than replacing it</w:t>
            </w:r>
          </w:p>
        </w:tc>
        <w:tc>
          <w:tcPr>
            <w:tcW w:type="dxa" w:w="1943"/>
          </w:tcPr>
          <w:p>
            <w:r>
              <w:t>☐ Yes  ☐ No</w:t>
            </w:r>
          </w:p>
        </w:tc>
      </w:tr>
      <w:tr>
        <w:tc>
          <w:tcPr>
            <w:tcW w:type="dxa" w:w="8797"/>
          </w:tcPr>
          <w:p>
            <w:r>
              <w:t>M10 Monitoring configured (task 19) — a metric and a working alarm, with the student able to say what condition it detects and why that condition matters to YAT</w:t>
            </w:r>
          </w:p>
        </w:tc>
        <w:tc>
          <w:tcPr>
            <w:tcW w:type="dxa" w:w="1943"/>
          </w:tcPr>
          <w:p>
            <w:r>
              <w:t>☐ Yes  ☐ No</w:t>
            </w:r>
          </w:p>
        </w:tc>
      </w:tr>
      <w:tr>
        <w:tc>
          <w:tcPr>
            <w:tcW w:type="dxa" w:w="8797"/>
          </w:tcPr>
          <w:p>
            <w:r>
              <w:t>M11 User documentation created (task 20) — documentation written for the operator who inherits the stack: what it is, deployment order, every parameter and what changing it does, how to update and remove, what the alarm means, and the templates themselves included</w:t>
            </w:r>
          </w:p>
        </w:tc>
        <w:tc>
          <w:tcPr>
            <w:tcW w:type="dxa" w:w="1943"/>
          </w:tcPr>
          <w:p>
            <w:r>
              <w:t>☐ Yes  ☐ No</w:t>
            </w:r>
          </w:p>
        </w:tc>
      </w:tr>
      <w:tr>
        <w:tc>
          <w:tcPr>
            <w:tcW w:type="dxa" w:w="8797"/>
          </w:tcPr>
          <w:p>
            <w:r>
              <w:t>M12 Environment removed (task 21) — all stacks removed through the infrastructure-as-code tooling rather than by hand, and confirmed gone</w:t>
            </w:r>
          </w:p>
        </w:tc>
        <w:tc>
          <w:tcPr>
            <w:tcW w:type="dxa" w:w="1943"/>
          </w:tcPr>
          <w:p>
            <w:r>
              <w:t>☐ Yes  ☐ No</w:t>
            </w:r>
          </w:p>
        </w:tc>
      </w:tr>
      <w:tr>
        <w:tc>
          <w:tcPr>
            <w:tcW w:type="dxa" w:w="8797"/>
          </w:tcPr>
          <w:p>
            <w:r>
              <w:t>M13 Build confirmed and signed off (task 22) — the student confirms the build against the approved design, seeks feedback, responds to it, and obtains recorded sign-off</w:t>
            </w:r>
          </w:p>
        </w:tc>
        <w:tc>
          <w:tcPr>
            <w:tcW w:type="dxa" w:w="1943"/>
          </w:tcPr>
          <w:p>
            <w:r>
              <w:t>☐ Yes  ☐ No</w:t>
            </w:r>
          </w:p>
        </w:tc>
      </w:tr>
      <w:tr>
        <w:tc>
          <w:tcPr>
            <w:tcW w:type="dxa" w:w="8797"/>
          </w:tcPr>
          <w:p>
            <w:r>
              <w:t>M14 Knowledge (questions 1–3) — industry standards and standard products including storage technology, the testing and debugging techniques actually used, and how the templates would be managed and measured over their life</w:t>
            </w:r>
          </w:p>
        </w:tc>
        <w:tc>
          <w:tcPr>
            <w:tcW w:type="dxa" w:w="1943"/>
          </w:tcPr>
          <w:p>
            <w:r>
              <w:t>☐ Yes  ☐ No</w:t>
            </w:r>
          </w:p>
        </w:tc>
      </w:tr>
    </w:tbl>
    <w:p w14:paraId="3274B3E2" w14:textId="77777777" w:rsidR="00C022D4" w:rsidRPr="00C022D4" w:rsidRDefault="00C022D4" w:rsidP="00C022D4">
      <w:pPr>
        <w:pStyle w:val="Assessortext"/>
      </w:pPr>
    </w:p>
    <w:bookmarkEnd w:id="5"/>
    <w:p w14:paraId="3B5466B7" w14:textId="77777777" w:rsidR="00FA41B0" w:rsidRPr="00FA41B0" w:rsidRDefault="00FA41B0" w:rsidP="00C022D4"/>
    <w:p>
      <w:pPr>
        <w:pStyle w:val="Heading1"/>
      </w:pPr>
      <w:r>
        <w:t>Scenario</w:t>
      </w:r>
    </w:p>
    <w:p>
      <w:pPr>
        <w:spacing w:after="160"/>
      </w:pPr>
      <w:r>
        <w:rPr>
          <w:b w:val="0"/>
          <w:i w:val="0"/>
          <w:sz w:val="21"/>
        </w:rPr>
        <w:t>The Website Global Expansion engagement has been approved. The design and the disaster recovery plan were produced in the previous phase and signed off by Sam Walker (YAT ICT Manager), and this is the implementation phase.</w:t>
      </w:r>
    </w:p>
    <w:p>
      <w:pPr>
        <w:spacing w:after="160"/>
      </w:pPr>
      <w:r>
        <w:rPr>
          <w:b w:val="0"/>
          <w:i w:val="0"/>
          <w:sz w:val="21"/>
        </w:rPr>
        <w:t>You remain an MTS Consultant reporting to Pat Lin (MTS Senior Consultant), with Sam Walker as the person who accepts the build. Your job is to stand up the audit-log microservice that the approved design calls for, and to do it as code so YAT can reproduce it.</w:t>
      </w:r>
    </w:p>
    <w:p>
      <w:pPr>
        <w:spacing w:after="160"/>
      </w:pPr>
      <w:r>
        <w:rPr>
          <w:b w:val="0"/>
          <w:i w:val="0"/>
          <w:sz w:val="21"/>
        </w:rPr>
        <w:t>You are building the design that was approved — not a fresh one. Where this run sheet gives you settings, they come from that design.</w:t>
      </w:r>
    </w:p>
    <w:p>
      <w:pPr>
        <w:pStyle w:val="Heading1"/>
      </w:pPr>
      <w:r>
        <w:t>Required resources (assessment conditions)</w:t>
      </w:r>
    </w:p>
    <w:p>
      <w:pPr>
        <w:spacing w:after="120"/>
        <w:ind w:left="340"/>
      </w:pPr>
      <w:r>
        <w:rPr>
          <w:sz w:val="21"/>
        </w:rPr>
        <w:t xml:space="preserve">•  </w:t>
      </w:r>
      <w:hyperlink r:id="rId17">
        <w:r>
          <w:rPr>
            <w:sz w:val="21"/>
            <w:color w:val="0563C1"/>
            <w:u w:val="single"/>
          </w:rPr>
          <w:t>Website Global Expansion — Functional &amp; Non-Functional Requirements — the requirement the microservice exists to satisfy</w:t>
        </w:r>
      </w:hyperlink>
    </w:p>
    <w:p>
      <w:pPr>
        <w:spacing w:after="120"/>
        <w:ind w:left="340"/>
      </w:pPr>
      <w:r>
        <w:rPr>
          <w:sz w:val="21"/>
        </w:rPr>
        <w:t xml:space="preserve">•  </w:t>
      </w:r>
      <w:hyperlink r:id="rId18">
        <w:r>
          <w:rPr>
            <w:sz w:val="21"/>
            <w:color w:val="0563C1"/>
            <w:u w:val="single"/>
          </w:rPr>
          <w:t>Data Residency &amp; Sovereignty Requirements — why the store is in India and why it is parameterised</w:t>
        </w:r>
      </w:hyperlink>
    </w:p>
    <w:p>
      <w:pPr>
        <w:spacing w:after="120"/>
        <w:ind w:left="340"/>
      </w:pPr>
      <w:r>
        <w:rPr>
          <w:sz w:val="21"/>
        </w:rPr>
        <w:t xml:space="preserve">•  </w:t>
      </w:r>
      <w:hyperlink r:id="rId19">
        <w:r>
          <w:rPr>
            <w:sz w:val="21"/>
            <w:color w:val="0563C1"/>
            <w:u w:val="single"/>
          </w:rPr>
          <w:t>Industry Standards — the standards and practices YAT works to</w:t>
        </w:r>
      </w:hyperlink>
    </w:p>
    <w:p>
      <w:pPr>
        <w:spacing w:after="120"/>
        <w:ind w:left="340"/>
      </w:pPr>
      <w:r>
        <w:rPr>
          <w:sz w:val="21"/>
        </w:rPr>
        <w:t xml:space="preserve">•  </w:t>
      </w:r>
      <w:hyperlink r:id="rId20">
        <w:r>
          <w:rPr>
            <w:sz w:val="21"/>
            <w:color w:val="0563C1"/>
            <w:u w:val="single"/>
          </w:rPr>
          <w:t>Change Management Procedure — the governance a production-affecting change sits under</w:t>
        </w:r>
      </w:hyperlink>
    </w:p>
    <w:p>
      <w:pPr>
        <w:spacing w:after="160"/>
      </w:pPr>
      <w:r>
        <w:rPr>
          <w:b w:val="0"/>
          <w:i/>
          <w:color w:val="6B6660"/>
          <w:sz w:val="19"/>
        </w:rPr>
        <w:t>Your assessor will tell you the current address of the YAT site, and will give you the two provided files reproduced below as downloads so you do not have to retype them.</w:t>
      </w:r>
    </w:p>
    <w:p>
      <w:pPr>
        <w:pStyle w:val="Heading1"/>
      </w:pPr>
      <w:r>
        <w:t>Instructions to Student</w:t>
      </w:r>
    </w:p>
    <w:p>
      <w:pPr>
        <w:spacing w:after="160"/>
      </w:pPr>
      <w:r>
        <w:rPr>
          <w:b w:val="0"/>
          <w:i w:val="0"/>
          <w:sz w:val="21"/>
        </w:rPr>
        <w:t>This is an open-book assessment. You may use the YAT intranet, AWS documentation, and anything you have from class. What you may not use is another student.</w:t>
      </w:r>
    </w:p>
    <w:p>
      <w:pPr>
        <w:spacing w:after="160"/>
      </w:pPr>
      <w:r>
        <w:rPr>
          <w:b w:val="0"/>
          <w:i w:val="0"/>
          <w:sz w:val="21"/>
        </w:rPr>
        <w:t>Work the tasks in order. Tasks 1 to 4 are the thinking you do before touching anything; tasks 5 to 10 operate a template someone else wrote; tasks 11 to 19 build your own.</w:t>
      </w:r>
    </w:p>
    <w:p>
      <w:pPr>
        <w:spacing w:after="160"/>
      </w:pPr>
      <w:r>
        <w:rPr>
          <w:b w:val="0"/>
          <w:i w:val="0"/>
          <w:sz w:val="21"/>
        </w:rPr>
        <w:t>Take each screenshot as you finish the task, not at the end. Recreating a screen after you have moved on is painful and sometimes impossible. A task you cannot evidence cannot be assessed as satisfactory.</w:t>
      </w:r>
    </w:p>
    <w:p>
      <w:pPr>
        <w:spacing w:after="160"/>
      </w:pPr>
      <w:r>
        <w:rPr>
          <w:b w:val="0"/>
          <w:i w:val="0"/>
          <w:sz w:val="21"/>
        </w:rPr>
        <w:t>Things will fail. That is not a problem with the assessment — troubleshooting is one of the things being assessed, and there is a task that exists specifically to capture it. Record what broke and what you did about it rather than quietly fixing it.</w:t>
      </w:r>
    </w:p>
    <w:p>
      <w:pPr>
        <w:spacing w:after="160"/>
      </w:pPr>
      <w:r>
        <w:rPr>
          <w:b w:val="0"/>
          <w:i w:val="0"/>
          <w:sz w:val="21"/>
        </w:rPr>
        <w:t>Answer the knowledge questions about your own build. Generic answers about infrastructure as code will not pass.</w:t>
      </w:r>
    </w:p>
    <w:p>
      <w:pPr>
        <w:spacing w:before="80" w:after="160"/>
        <w:ind w:left="227"/>
      </w:pPr>
      <w:r>
        <w:rPr>
          <w:b/>
          <w:color w:val="C5613B"/>
          <w:sz w:val="19"/>
        </w:rPr>
        <w:t xml:space="preserve">Environment constraint </w:t>
      </w:r>
      <w:r>
        <w:rPr>
          <w:i/>
          <w:color w:val="C5613B"/>
          <w:sz w:val="19"/>
        </w:rPr>
        <w:t>The approved design places the audit store in India — [scenario: ap-south-1 | deploy: us-east-1]. Build everything in us-east-1 in the AWS Academy Learner Lab, which does not offer the Indian regions. Where a task asks you to name the region the design calls for, name ap-south-1; where it asks what you deployed to, that is us-east-1. The work is identical either way, and the parameterisation in task 17 is exactly what makes the difference a parameter.</w:t>
      </w:r>
    </w:p>
    <w:p>
      <w:pPr>
        <w:pStyle w:val="Heading1"/>
      </w:pPr>
      <w:r>
        <w:t>What you are given</w:t>
      </w:r>
    </w:p>
    <w:p>
      <w:pPr>
        <w:spacing w:after="160"/>
      </w:pPr>
      <w:r>
        <w:rPr>
          <w:b w:val="0"/>
          <w:i w:val="0"/>
          <w:sz w:val="21"/>
        </w:rPr>
        <w:t>Two files are provided to you and are reproduced here in full. You do not write either of them. Read them both before you start — task 5 and task 11 depend on you having done so.</w:t>
      </w:r>
    </w:p>
    <w:p>
      <w:pPr>
        <w:pStyle w:val="Heading2"/>
      </w:pPr>
      <w:r>
        <w:rPr>
          <w:color w:val="1F5A5C"/>
        </w:rPr>
        <w:t>The data-store template — datastore.yaml</w:t>
      </w:r>
    </w:p>
    <w:p>
      <w:pPr>
        <w:spacing w:after="120"/>
      </w:pPr>
      <w:r>
        <w:rPr>
          <w:b w:val="0"/>
          <w:i/>
          <w:color w:val="6B6660"/>
          <w:sz w:val="19"/>
        </w:rPr>
        <w:t>PROVIDED. You operate this template; you do not author it. It may not deploy as supplied.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AWSTemplateFormatVersion: '2010-09-09'</w:t>
            </w:r>
          </w:p>
          <w:p>
            <w:pPr>
              <w:spacing w:after="0"/>
            </w:pPr>
            <w:r>
              <w:rPr>
                <w:rFonts w:ascii="Consolas" w:hAnsi="Consolas"/>
                <w:sz w:val="18"/>
              </w:rPr>
              <w:t>Description: &gt;-</w:t>
            </w:r>
          </w:p>
          <w:p>
            <w:pPr>
              <w:spacing w:after="0"/>
            </w:pPr>
            <w:r>
              <w:rPr>
                <w:rFonts w:ascii="Consolas" w:hAnsi="Consolas"/>
                <w:sz w:val="18"/>
              </w:rPr>
              <w:t xml:space="preserve">  YAT audit-log data store (PROVIDED - you operate this, you do not author it).</w:t>
            </w:r>
          </w:p>
          <w:p>
            <w:pPr>
              <w:spacing w:after="0"/>
            </w:pPr>
            <w:r>
              <w:rPr>
                <w:rFonts w:ascii="Consolas" w:hAnsi="Consolas"/>
                <w:sz w:val="18"/>
              </w:rPr>
              <w:t xml:space="preserve">  A single DynamoDB table that holds the append-only access-log records your</w:t>
            </w:r>
          </w:p>
          <w:p>
            <w:pPr>
              <w:spacing w:after="0"/>
            </w:pPr>
            <w:r>
              <w:rPr>
                <w:rFonts w:ascii="Consolas" w:hAnsi="Consolas"/>
                <w:sz w:val="18"/>
              </w:rPr>
              <w:t xml:space="preserve">  microservice writes. Operate it: review, deploy, update a parameter, and delete.</w:t>
            </w:r>
          </w:p>
          <w:p>
            <w:pPr>
              <w:spacing w:after="0"/>
            </w:pPr>
            <w:r>
              <w:rPr>
                <w:rFonts w:ascii="Consolas" w:hAnsi="Consolas"/>
                <w:sz w:val="18"/>
              </w:rPr>
              <w:t xml:space="preserve">  It may not deploy as supplied - if so, diagnose the error, fix it, and redeploy.</w:t>
            </w:r>
          </w:p>
          <w:p>
            <w:pPr>
              <w:spacing w:after="0"/>
            </w:pPr>
            <w:r>
              <w:rPr>
                <w:rFonts w:ascii="Consolas" w:hAnsi="Consolas"/>
                <w:sz w:val="18"/>
              </w:rPr>
            </w:r>
          </w:p>
          <w:p>
            <w:pPr>
              <w:spacing w:after="0"/>
            </w:pPr>
            <w:r>
              <w:rPr>
                <w:rFonts w:ascii="Consolas" w:hAnsi="Consolas"/>
                <w:sz w:val="18"/>
              </w:rPr>
              <w:t>Parameters:</w:t>
            </w:r>
          </w:p>
          <w:p>
            <w:pPr>
              <w:spacing w:after="0"/>
            </w:pPr>
            <w:r>
              <w:rPr>
                <w:rFonts w:ascii="Consolas" w:hAnsi="Consolas"/>
                <w:sz w:val="18"/>
              </w:rPr>
              <w:t xml:space="preserve">  EnvName:</w:t>
            </w:r>
          </w:p>
          <w:p>
            <w:pPr>
              <w:spacing w:after="0"/>
            </w:pPr>
            <w:r>
              <w:rPr>
                <w:rFonts w:ascii="Consolas" w:hAnsi="Consolas"/>
                <w:sz w:val="18"/>
              </w:rPr>
              <w:t xml:space="preserve">    Type: String</w:t>
            </w:r>
          </w:p>
          <w:p>
            <w:pPr>
              <w:spacing w:after="0"/>
            </w:pPr>
            <w:r>
              <w:rPr>
                <w:rFonts w:ascii="Consolas" w:hAnsi="Consolas"/>
                <w:sz w:val="18"/>
              </w:rPr>
              <w:t xml:space="preserve">    Default: dev</w:t>
            </w:r>
          </w:p>
          <w:p>
            <w:pPr>
              <w:spacing w:after="0"/>
            </w:pPr>
            <w:r>
              <w:rPr>
                <w:rFonts w:ascii="Consolas" w:hAnsi="Consolas"/>
                <w:sz w:val="18"/>
              </w:rPr>
              <w:t xml:space="preserve">    AllowedValues: [dev, prod]</w:t>
            </w:r>
          </w:p>
          <w:p>
            <w:pPr>
              <w:spacing w:after="0"/>
            </w:pPr>
            <w:r>
              <w:rPr>
                <w:rFonts w:ascii="Consolas" w:hAnsi="Consolas"/>
                <w:sz w:val="18"/>
              </w:rPr>
              <w:t xml:space="preserve">    Description: Environment suffix used in the table name.</w:t>
            </w:r>
          </w:p>
          <w:p>
            <w:pPr>
              <w:spacing w:after="0"/>
            </w:pPr>
            <w:r>
              <w:rPr>
                <w:rFonts w:ascii="Consolas" w:hAnsi="Consolas"/>
                <w:sz w:val="18"/>
              </w:rPr>
            </w:r>
          </w:p>
          <w:p>
            <w:pPr>
              <w:spacing w:after="0"/>
            </w:pPr>
            <w:r>
              <w:rPr>
                <w:rFonts w:ascii="Consolas" w:hAnsi="Consolas"/>
                <w:sz w:val="18"/>
              </w:rPr>
              <w:t>Resources:</w:t>
            </w:r>
          </w:p>
          <w:p>
            <w:pPr>
              <w:spacing w:after="0"/>
            </w:pPr>
            <w:r>
              <w:rPr>
                <w:rFonts w:ascii="Consolas" w:hAnsi="Consolas"/>
                <w:sz w:val="18"/>
              </w:rPr>
              <w:t xml:space="preserve">  AuditTable:</w:t>
            </w:r>
          </w:p>
          <w:p>
            <w:pPr>
              <w:spacing w:after="0"/>
            </w:pPr>
            <w:r>
              <w:rPr>
                <w:rFonts w:ascii="Consolas" w:hAnsi="Consolas"/>
                <w:sz w:val="18"/>
              </w:rPr>
              <w:t xml:space="preserve">    Type: AWS::DynamoDB::Table</w:t>
            </w:r>
          </w:p>
          <w:p>
            <w:pPr>
              <w:spacing w:after="0"/>
            </w:pPr>
            <w:r>
              <w:rPr>
                <w:rFonts w:ascii="Consolas" w:hAnsi="Consolas"/>
                <w:sz w:val="18"/>
              </w:rPr>
              <w:t xml:space="preserve">    Properties:</w:t>
            </w:r>
          </w:p>
          <w:p>
            <w:pPr>
              <w:spacing w:after="0"/>
            </w:pPr>
            <w:r>
              <w:rPr>
                <w:rFonts w:ascii="Consolas" w:hAnsi="Consolas"/>
                <w:sz w:val="18"/>
              </w:rPr>
              <w:t xml:space="preserve">      TableName: !Sub 'yat-audit-${EnvName}'</w:t>
            </w:r>
          </w:p>
          <w:p>
            <w:pPr>
              <w:spacing w:after="0"/>
            </w:pPr>
            <w:r>
              <w:rPr>
                <w:rFonts w:ascii="Consolas" w:hAnsi="Consolas"/>
                <w:sz w:val="18"/>
              </w:rPr>
              <w:t xml:space="preserve">      BillingMode: PAY_PER_REQUEST</w:t>
            </w:r>
          </w:p>
          <w:p>
            <w:pPr>
              <w:spacing w:after="0"/>
            </w:pPr>
            <w:r>
              <w:rPr>
                <w:rFonts w:ascii="Consolas" w:hAnsi="Consolas"/>
                <w:sz w:val="18"/>
              </w:rPr>
              <w:t xml:space="preserve">      AttributeDefinitions:</w:t>
            </w:r>
          </w:p>
          <w:p>
            <w:pPr>
              <w:spacing w:after="0"/>
            </w:pPr>
            <w:r>
              <w:rPr>
                <w:rFonts w:ascii="Consolas" w:hAnsi="Consolas"/>
                <w:sz w:val="18"/>
              </w:rPr>
              <w:t xml:space="preserve">        - { AttributeName: id, AttributeType: S }</w:t>
            </w:r>
          </w:p>
          <w:p>
            <w:pPr>
              <w:spacing w:after="0"/>
            </w:pPr>
            <w:r>
              <w:rPr>
                <w:rFonts w:ascii="Consolas" w:hAnsi="Consolas"/>
                <w:sz w:val="18"/>
              </w:rPr>
              <w:t xml:space="preserve">      KeySchema:</w:t>
            </w:r>
          </w:p>
          <w:p>
            <w:pPr>
              <w:spacing w:after="0"/>
            </w:pPr>
            <w:r>
              <w:rPr>
                <w:rFonts w:ascii="Consolas" w:hAnsi="Consolas"/>
                <w:sz w:val="18"/>
              </w:rPr>
              <w:t xml:space="preserve">        - { AttributeName: event_id, KeyType: HASH }</w:t>
            </w:r>
          </w:p>
          <w:p>
            <w:pPr>
              <w:spacing w:after="0"/>
            </w:pPr>
            <w:r>
              <w:rPr>
                <w:rFonts w:ascii="Consolas" w:hAnsi="Consolas"/>
                <w:sz w:val="18"/>
              </w:rPr>
              <w:t xml:space="preserve">      Tags:</w:t>
            </w:r>
          </w:p>
          <w:p>
            <w:pPr>
              <w:spacing w:after="0"/>
            </w:pPr>
            <w:r>
              <w:rPr>
                <w:rFonts w:ascii="Consolas" w:hAnsi="Consolas"/>
                <w:sz w:val="18"/>
              </w:rPr>
              <w:t xml:space="preserve">        - { Key: Project, Value: YAT-Website }</w:t>
            </w:r>
          </w:p>
          <w:p>
            <w:pPr>
              <w:spacing w:after="0"/>
            </w:pPr>
            <w:r>
              <w:rPr>
                <w:rFonts w:ascii="Consolas" w:hAnsi="Consolas"/>
                <w:sz w:val="18"/>
              </w:rPr>
              <w:t xml:space="preserve">        - { Key: Environment, Value: !Ref EnvName }</w:t>
            </w:r>
          </w:p>
          <w:p>
            <w:pPr>
              <w:spacing w:after="0"/>
            </w:pPr>
            <w:r>
              <w:rPr>
                <w:rFonts w:ascii="Consolas" w:hAnsi="Consolas"/>
                <w:sz w:val="18"/>
              </w:rPr>
              <w:t xml:space="preserve">        - { Key: DataClassification, Value: audit-log }</w:t>
            </w:r>
          </w:p>
          <w:p>
            <w:pPr>
              <w:spacing w:after="0"/>
            </w:pPr>
            <w:r>
              <w:rPr>
                <w:rFonts w:ascii="Consolas" w:hAnsi="Consolas"/>
                <w:sz w:val="18"/>
              </w:rPr>
            </w:r>
          </w:p>
          <w:p>
            <w:pPr>
              <w:spacing w:after="0"/>
            </w:pPr>
            <w:r>
              <w:rPr>
                <w:rFonts w:ascii="Consolas" w:hAnsi="Consolas"/>
                <w:sz w:val="18"/>
              </w:rPr>
              <w:t>Outputs:</w:t>
            </w:r>
          </w:p>
          <w:p>
            <w:pPr>
              <w:spacing w:after="0"/>
            </w:pPr>
            <w:r>
              <w:rPr>
                <w:rFonts w:ascii="Consolas" w:hAnsi="Consolas"/>
                <w:sz w:val="18"/>
              </w:rPr>
              <w:t xml:space="preserve">  AuditTableName:</w:t>
            </w:r>
          </w:p>
          <w:p>
            <w:pPr>
              <w:spacing w:after="0"/>
            </w:pPr>
            <w:r>
              <w:rPr>
                <w:rFonts w:ascii="Consolas" w:hAnsi="Consolas"/>
                <w:sz w:val="18"/>
              </w:rPr>
              <w:t xml:space="preserve">    Description: The audit table name - your microservice stack reads this.</w:t>
            </w:r>
          </w:p>
          <w:p>
            <w:pPr>
              <w:spacing w:after="0"/>
            </w:pPr>
            <w:r>
              <w:rPr>
                <w:rFonts w:ascii="Consolas" w:hAnsi="Consolas"/>
                <w:sz w:val="18"/>
              </w:rPr>
              <w:t xml:space="preserve">    Value: !Ref AuditTable</w:t>
            </w:r>
          </w:p>
          <w:p>
            <w:pPr>
              <w:spacing w:after="0"/>
            </w:pPr>
            <w:r>
              <w:rPr>
                <w:rFonts w:ascii="Consolas" w:hAnsi="Consolas"/>
                <w:sz w:val="18"/>
              </w:rPr>
              <w:t xml:space="preserve">    Export:</w:t>
            </w:r>
          </w:p>
          <w:p>
            <w:pPr>
              <w:spacing w:after="0"/>
            </w:pPr>
            <w:r>
              <w:rPr>
                <w:rFonts w:ascii="Consolas" w:hAnsi="Consolas"/>
                <w:sz w:val="18"/>
              </w:rPr>
              <w:t xml:space="preserve">      Name: !Sub 'yat-audit-table-${EnvName}'</w:t>
            </w:r>
          </w:p>
        </w:tc>
      </w:tr>
    </w:tbl>
    <w:p/>
    <w:p>
      <w:pPr>
        <w:pStyle w:val="Heading2"/>
      </w:pPr>
      <w:r>
        <w:rPr>
          <w:color w:val="1F5A5C"/>
        </w:rPr>
        <w:t>The microservice code — handler.py</w:t>
      </w:r>
    </w:p>
    <w:p>
      <w:pPr>
        <w:spacing w:after="120"/>
      </w:pPr>
      <w:r>
        <w:rPr>
          <w:b w:val="0"/>
          <w:i/>
          <w:color w:val="6B6660"/>
          <w:sz w:val="19"/>
        </w:rPr>
        <w:t>PROVIDED in full as a download. You deploy this code; you do not write it. What it needs from your infrastructure is summarised here and confirmed in task 11.</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it is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handler.py — an SQS-triggered Lambda written in Python 3.12. Provided to you in full as a download; you deploy it, you do not write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it does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reads access-event messages from the queue, validates each one, and writes it to the DynamoDB table as an immutable audit record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 flow</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HTTP API  →  SQS queue  →  this Lambda  →  DynamoDB table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Idempotency</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event_id is the partition key and the write is conditional, so a re-delivered message is skipped rather than duplicated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it needs from you</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an environment variable AUDIT_TABLE holding the table name, and permission to write to that table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Runtime note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boto3 is provided by the Lambda runtime — there are no dependencies to package</w:t>
            </w:r>
          </w:p>
        </w:tc>
      </w:tr>
    </w:tbl>
    <w:p/>
    <w:p>
      <w:pPr>
        <w:pStyle w:val="Heading2"/>
      </w:pPr>
      <w:r>
        <w:rPr>
          <w:color w:val="1F5A5C"/>
        </w:rPr>
        <w:t>The webhook contract</w:t>
      </w:r>
    </w:p>
    <w:p>
      <w:pPr>
        <w:spacing w:after="120"/>
      </w:pPr>
      <w:r>
        <w:rPr>
          <w:b w:val="0"/>
          <w:i/>
          <w:color w:val="6B6660"/>
          <w:sz w:val="19"/>
        </w:rPr>
        <w:t>The single integration point between the website and your service.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spacing w:after="0"/>
            </w:pPr>
            <w:r>
              <w:rPr>
                <w:rFonts w:ascii="Consolas" w:hAnsi="Consolas"/>
                <w:sz w:val="18"/>
              </w:rPr>
              <w:t>POST  {ApiEndpoint}              # an Output of your deployed stack</w:t>
            </w:r>
          </w:p>
          <w:p>
            <w:pPr>
              <w:spacing w:after="0"/>
            </w:pPr>
            <w:r>
              <w:rPr>
                <w:rFonts w:ascii="Consolas" w:hAnsi="Consolas"/>
                <w:sz w:val="18"/>
              </w:rPr>
              <w:t>Content-Type: application/json</w:t>
            </w:r>
          </w:p>
          <w:p>
            <w:pPr>
              <w:spacing w:after="0"/>
            </w:pPr>
            <w:r>
              <w:rPr>
                <w:rFonts w:ascii="Consolas" w:hAnsi="Consolas"/>
                <w:sz w:val="18"/>
              </w:rPr>
            </w:r>
          </w:p>
          <w:p>
            <w:pPr>
              <w:spacing w:after="0"/>
            </w:pPr>
            <w:r>
              <w:rPr>
                <w:rFonts w:ascii="Consolas" w:hAnsi="Consolas"/>
                <w:sz w:val="18"/>
              </w:rPr>
              <w:t>{</w:t>
            </w:r>
          </w:p>
          <w:p>
            <w:pPr>
              <w:spacing w:after="0"/>
            </w:pPr>
            <w:r>
              <w:rPr>
                <w:rFonts w:ascii="Consolas" w:hAnsi="Consolas"/>
                <w:sz w:val="18"/>
              </w:rPr>
              <w:t xml:space="preserve">  "event_id":    "3f9a1c2e-...",          # unique id (UUID) - the idempotency key</w:t>
            </w:r>
          </w:p>
          <w:p>
            <w:pPr>
              <w:spacing w:after="0"/>
            </w:pPr>
            <w:r>
              <w:rPr>
                <w:rFonts w:ascii="Consolas" w:hAnsi="Consolas"/>
                <w:sz w:val="18"/>
              </w:rPr>
              <w:t xml:space="preserve">  "occurred_at": "2026-06-07T01:23:45Z",  # ISO-8601 UTC timestamp</w:t>
            </w:r>
          </w:p>
          <w:p>
            <w:pPr>
              <w:spacing w:after="0"/>
            </w:pPr>
            <w:r>
              <w:rPr>
                <w:rFonts w:ascii="Consolas" w:hAnsi="Consolas"/>
                <w:sz w:val="18"/>
              </w:rPr>
              <w:t xml:space="preserve">  "user_ref":    "u-48217",               # opaque user reference, not a name</w:t>
            </w:r>
          </w:p>
          <w:p>
            <w:pPr>
              <w:spacing w:after="0"/>
            </w:pPr>
            <w:r>
              <w:rPr>
                <w:rFonts w:ascii="Consolas" w:hAnsi="Consolas"/>
                <w:sz w:val="18"/>
              </w:rPr>
              <w:t xml:space="preserve">  "cohort":      "IN",                    # "AU" or "IN"  (IN = the India cohort)</w:t>
            </w:r>
          </w:p>
          <w:p>
            <w:pPr>
              <w:spacing w:after="0"/>
            </w:pPr>
            <w:r>
              <w:rPr>
                <w:rFonts w:ascii="Consolas" w:hAnsi="Consolas"/>
                <w:sz w:val="18"/>
              </w:rPr>
              <w:t xml:space="preserve">  "event_type":  "login",                 # login | course_access | assessment_view</w:t>
            </w:r>
          </w:p>
          <w:p>
            <w:pPr>
              <w:spacing w:after="0"/>
            </w:pPr>
            <w:r>
              <w:rPr>
                <w:rFonts w:ascii="Consolas" w:hAnsi="Consolas"/>
                <w:sz w:val="18"/>
              </w:rPr>
              <w:t xml:space="preserve">  "source_ip":   "203.0.113.7"            # the client IP the event came from</w:t>
            </w:r>
          </w:p>
          <w:p>
            <w:pPr>
              <w:spacing w:after="0"/>
            </w:pPr>
            <w:r>
              <w:rPr>
                <w:rFonts w:ascii="Consolas" w:hAnsi="Consolas"/>
                <w:sz w:val="18"/>
              </w:rPr>
              <w:t>}</w:t>
            </w:r>
          </w:p>
          <w:p>
            <w:pPr>
              <w:spacing w:after="0"/>
            </w:pPr>
            <w:r>
              <w:rPr>
                <w:rFonts w:ascii="Consolas" w:hAnsi="Consolas"/>
                <w:sz w:val="18"/>
              </w:rPr>
            </w:r>
          </w:p>
          <w:p>
            <w:pPr>
              <w:spacing w:after="0"/>
            </w:pPr>
            <w:r>
              <w:rPr>
                <w:rFonts w:ascii="Consolas" w:hAnsi="Consolas"/>
                <w:sz w:val="18"/>
              </w:rPr>
              <w:t>Responses:   200 = accepted and queued for writing      400 = malformed request</w:t>
            </w:r>
          </w:p>
        </w:tc>
      </w:tr>
    </w:tbl>
    <w:p/>
    <w:p>
      <w:pPr>
        <w:pStyle w:val="Heading1"/>
      </w:pPr>
      <w:r>
        <w:t>The build</w:t>
      </w:r>
    </w:p>
    <w:p>
      <w:pPr>
        <w:spacing w:before="200" w:after="0"/>
      </w:pPr>
      <w:r>
        <w:rPr>
          <w:b/>
          <w:color w:val="1F5A5C"/>
          <w:sz w:val="16"/>
        </w:rPr>
        <w:t>TASK 1</w:t>
      </w:r>
    </w:p>
    <w:p>
      <w:pPr>
        <w:pStyle w:val="Heading2"/>
      </w:pPr>
      <w:r>
        <w:rPr>
          <w:color w:val="1F5A5C"/>
        </w:rPr>
        <w:t>Why infrastructure as code for this job</w:t>
      </w:r>
    </w:p>
    <w:p>
      <w:pPr>
        <w:spacing w:after="120"/>
      </w:pPr>
      <w:r>
        <w:rPr>
          <w:b w:val="0"/>
          <w:i w:val="0"/>
          <w:sz w:val="21"/>
        </w:rPr>
        <w:t>Before you build anything, establish why this is being built as code at all. Identify the benefits infrastructure as code brings to THIS engagement — not in general — and tie each one to a business need you can point at in the requirements.</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requirement that the changes be provisioned as code</w:t>
        </w:r>
      </w:hyperlink>
    </w:p>
    <w:p>
      <w:pPr>
        <w:spacing w:after="60"/>
        <w:ind w:left="340"/>
      </w:pPr>
      <w:r>
        <w:rPr>
          <w:sz w:val="19"/>
        </w:rPr>
        <w:t xml:space="preserve">•  </w:t>
      </w:r>
      <w:hyperlink r:id="rId18">
        <w:r>
          <w:rPr>
            <w:sz w:val="19"/>
            <w:color w:val="0563C1"/>
            <w:u w:val="single"/>
          </w:rPr>
          <w:t>Data Residency &amp; Sovereignty Requirements — DR-R4, keeping the Indian footprint extensible</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Benefit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gives YAT here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business need it answers</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Reproducible in another region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Repeatable disaster recovery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Consistency between environments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Reviewable change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No undocumented drift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w:t>
      </w:r>
    </w:p>
    <w:p>
      <w:pPr>
        <w:pStyle w:val="Heading2"/>
      </w:pPr>
      <w:r>
        <w:rPr>
          <w:color w:val="1F5A5C"/>
        </w:rPr>
        <w:t>What automation gives the platform</w:t>
      </w:r>
    </w:p>
    <w:p>
      <w:pPr>
        <w:spacing w:after="120"/>
      </w:pPr>
      <w:r>
        <w:rPr>
          <w:b w:val="0"/>
          <w:i w:val="0"/>
          <w:sz w:val="21"/>
        </w:rPr>
        <w:t>Infrastructure as code is one kind of automation. Determine what else about this build is automated rather than done by hand, and what YAT gets from each. Think about what happens without anyone present — at 2am, or when a message fails.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is automated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the platform does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YAT no longer does by hand</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Provisioning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Retry on failure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Scaling the processor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Capacity for the store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Detection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w:t>
      </w:r>
    </w:p>
    <w:p>
      <w:pPr>
        <w:pStyle w:val="Heading2"/>
      </w:pPr>
      <w:r>
        <w:rPr>
          <w:color w:val="1F5A5C"/>
        </w:rPr>
        <w:t>What can go wrong with infrastructure as code</w:t>
      </w:r>
    </w:p>
    <w:p>
      <w:pPr>
        <w:spacing w:after="120"/>
      </w:pPr>
      <w:r>
        <w:rPr>
          <w:b w:val="0"/>
          <w:i w:val="0"/>
          <w:sz w:val="21"/>
        </w:rPr>
        <w:t>Determine and assess what can go wrong when infrastructure is deployed this way. You are about to find at least one of these for real, so think about it now: what kinds of error does this approach produce, and how serious is each?</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can go wrong</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looks like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serious</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Template syntax error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Invalid or mismatched resource properties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Missing dependency or wrong ordering</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Insufficient permissions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 change that replaces rather than updates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Drift from manual console changes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w:t>
      </w:r>
    </w:p>
    <w:p>
      <w:pPr>
        <w:pStyle w:val="Heading2"/>
      </w:pPr>
      <w:r>
        <w:rPr>
          <w:color w:val="1F5A5C"/>
        </w:rPr>
        <w:t>Select the infrastructure-as-code service</w:t>
      </w:r>
    </w:p>
    <w:p>
      <w:pPr>
        <w:spacing w:after="120"/>
      </w:pPr>
      <w:r>
        <w:rPr>
          <w:b w:val="0"/>
          <w:i w:val="0"/>
          <w:sz w:val="21"/>
        </w:rPr>
        <w:t>Evaluate the infrastructure-as-code services available for this platform and select one. Say what you compared it against and why your choice suits this engagement. A choice with no alternative beside it is not an evaluation.</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Service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is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Suitability here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AWS CloudFormation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Terraform</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AWS CDK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Your selection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5</w:t>
      </w:r>
    </w:p>
    <w:p>
      <w:pPr>
        <w:pStyle w:val="Heading2"/>
      </w:pPr>
      <w:r>
        <w:rPr>
          <w:color w:val="1F5A5C"/>
        </w:rPr>
        <w:t>Review the provided data-store template</w:t>
      </w:r>
    </w:p>
    <w:p>
      <w:pPr>
        <w:spacing w:after="120"/>
      </w:pPr>
      <w:r>
        <w:rPr>
          <w:b w:val="0"/>
          <w:i w:val="0"/>
          <w:sz w:val="21"/>
        </w:rPr>
        <w:t>Read the provided template above, closely. Work out what it creates, what each part of it does, and what depends on what. Do not deploy it yet — the point of this task is that you can read a template someone else wrote before you run it.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Part of the template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depends on it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Parameters — EnvName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Resources — AuditTable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TableName — !Sub</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Tags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Outputs — AuditTableName with Export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it does NOT create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6</w:t>
      </w:r>
    </w:p>
    <w:p>
      <w:pPr>
        <w:pStyle w:val="Heading2"/>
      </w:pPr>
      <w:r>
        <w:rPr>
          <w:color w:val="1F5A5C"/>
        </w:rPr>
        <w:t>Deploy the provided template</w:t>
      </w:r>
    </w:p>
    <w:p>
      <w:pPr>
        <w:spacing w:after="120"/>
      </w:pPr>
      <w:r>
        <w:rPr>
          <w:b w:val="0"/>
          <w:i w:val="0"/>
          <w:sz w:val="21"/>
        </w:rPr>
        <w:t>Deploy the provided template using the infrastructure-as-code service's tooling. Use the console or the command line — your choice, but say which you used and why. It will not succeed. Capture what happens.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Tooling used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Stack name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Parameter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Result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failed stack showing its status and the failure reason</w:t>
            </w:r>
          </w:p>
        </w:tc>
      </w:tr>
    </w:tbl>
    <w:p/>
    <w:p>
      <w:pPr>
        <w:spacing w:before="200" w:after="0"/>
      </w:pPr>
      <w:r>
        <w:rPr>
          <w:b/>
          <w:color w:val="1F5A5C"/>
          <w:sz w:val="16"/>
        </w:rPr>
        <w:t>TASK 7</w:t>
      </w:r>
    </w:p>
    <w:p>
      <w:pPr>
        <w:pStyle w:val="Heading2"/>
      </w:pPr>
      <w:r>
        <w:rPr>
          <w:color w:val="1F5A5C"/>
        </w:rPr>
        <w:t>Diagnose and fix the failure</w:t>
      </w:r>
    </w:p>
    <w:p>
      <w:pPr>
        <w:spacing w:after="120"/>
      </w:pPr>
      <w:r>
        <w:rPr>
          <w:b w:val="0"/>
          <w:i w:val="0"/>
          <w:sz w:val="21"/>
        </w:rPr>
        <w:t>The template does not deploy as supplied. Read the error before changing anything. Work out what is actually wrong, fix it, and redeploy. Record the error you saw, what you worked out, and the change you made — this task is about the diagnosis, not the fix.</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Diagnosis</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answer</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The error message you saw</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you worked out it meant</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The change you made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Why that fix and not the other one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stack reaching CREATE_COMPLETE after your fix</w:t>
            </w:r>
          </w:p>
        </w:tc>
      </w:tr>
    </w:tbl>
    <w:p/>
    <w:p>
      <w:pPr>
        <w:spacing w:before="200" w:after="0"/>
      </w:pPr>
      <w:r>
        <w:rPr>
          <w:b/>
          <w:color w:val="1F5A5C"/>
          <w:sz w:val="16"/>
        </w:rPr>
        <w:t>TASK 8</w:t>
      </w:r>
    </w:p>
    <w:p>
      <w:pPr>
        <w:pStyle w:val="Heading2"/>
      </w:pPr>
      <w:r>
        <w:rPr>
          <w:color w:val="1F5A5C"/>
        </w:rPr>
        <w:t>Confirm the deployment</w:t>
      </w:r>
    </w:p>
    <w:p>
      <w:pPr>
        <w:spacing w:after="120"/>
      </w:pPr>
      <w:r>
        <w:rPr>
          <w:b w:val="0"/>
          <w:i w:val="0"/>
          <w:sz w:val="21"/>
        </w:rPr>
        <w:t>Confirm the resources actually exist and are configured the way the template said. Do not take the stack's success message as proof — go and look at the resource itself, using the console or the command line.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confirmed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confirmed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saw</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table exists with the expected name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partition key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tags applied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stack output and export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deployed table showing its name, key schema and tags</w:t>
            </w:r>
          </w:p>
        </w:tc>
      </w:tr>
    </w:tbl>
    <w:p/>
    <w:p>
      <w:pPr>
        <w:spacing w:before="200" w:after="0"/>
      </w:pPr>
      <w:r>
        <w:rPr>
          <w:b/>
          <w:color w:val="1F5A5C"/>
          <w:sz w:val="16"/>
        </w:rPr>
        <w:t>TASK 9</w:t>
      </w:r>
    </w:p>
    <w:p>
      <w:pPr>
        <w:pStyle w:val="Heading2"/>
      </w:pPr>
      <w:r>
        <w:rPr>
          <w:color w:val="1F5A5C"/>
        </w:rPr>
        <w:t>Update the provided template and redeploy</w:t>
      </w:r>
    </w:p>
    <w:p>
      <w:pPr>
        <w:spacing w:after="120"/>
      </w:pPr>
      <w:r>
        <w:rPr>
          <w:b w:val="0"/>
          <w:i w:val="0"/>
          <w:sz w:val="21"/>
        </w:rPr>
        <w:t>Change the parameter and redeploy the same template, so the stack modifies what is already there rather than creating something new. Record what changed and — more importantly — what happened to the resource that already existed.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change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the service did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that means for real data</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Which task warned you</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stack update, and the resulting table</w:t>
            </w:r>
          </w:p>
        </w:tc>
      </w:tr>
    </w:tbl>
    <w:p/>
    <w:p>
      <w:pPr>
        <w:spacing w:before="200" w:after="0"/>
      </w:pPr>
      <w:r>
        <w:rPr>
          <w:b/>
          <w:color w:val="1F5A5C"/>
          <w:sz w:val="16"/>
        </w:rPr>
        <w:t>TASK 10</w:t>
      </w:r>
    </w:p>
    <w:p>
      <w:pPr>
        <w:pStyle w:val="Heading2"/>
      </w:pPr>
      <w:r>
        <w:rPr>
          <w:color w:val="1F5A5C"/>
        </w:rPr>
        <w:t>Return the store to a known state</w:t>
      </w:r>
    </w:p>
    <w:p>
      <w:pPr>
        <w:spacing w:after="120"/>
      </w:pPr>
      <w:r>
        <w:rPr>
          <w:b w:val="0"/>
          <w:i w:val="0"/>
          <w:sz w:val="21"/>
        </w:rPr>
        <w:t>You need the data store running with EnvName=dev for the rest of this build. Put it back there, and confirm it. Say what you did — whether you updated again or removed and redeployed — and why that was the right way round.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Confirmed how</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Returned the store to EnvName=dev</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Confirmed the table name and key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Confirmed the export is available for your own stack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11</w:t>
      </w:r>
    </w:p>
    <w:p>
      <w:pPr>
        <w:pStyle w:val="Heading2"/>
      </w:pPr>
      <w:r>
        <w:rPr>
          <w:color w:val="1F5A5C"/>
        </w:rPr>
        <w:t>Review the microservice code and contract</w:t>
      </w:r>
    </w:p>
    <w:p>
      <w:pPr>
        <w:spacing w:after="120"/>
      </w:pPr>
      <w:r>
        <w:rPr>
          <w:b w:val="0"/>
          <w:i w:val="0"/>
          <w:sz w:val="21"/>
        </w:rPr>
        <w:t>Read the provided handler and the webhook contract above. Work out what the code expects from the infrastructure you are about to build — what it reads, what it writes, what it needs to be told, and what permissions it will need. Everything your template has to provide is discoverable from these two things.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code needs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you found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your template must provide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To be triggered by queue messages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table name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Permission to write to the table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 Python 3.12 runtime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Something to receive the HTTP call</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12</w:t>
      </w:r>
    </w:p>
    <w:p>
      <w:pPr>
        <w:pStyle w:val="Heading2"/>
      </w:pPr>
      <w:r>
        <w:rPr>
          <w:color w:val="1F5A5C"/>
        </w:rPr>
        <w:t>Author your template</w:t>
      </w:r>
    </w:p>
    <w:p>
      <w:pPr>
        <w:spacing w:after="120"/>
      </w:pPr>
      <w:r>
        <w:rPr>
          <w:b w:val="0"/>
          <w:i w:val="0"/>
          <w:sz w:val="21"/>
        </w:rPr>
        <w:t>Write the infrastructure-as-code template that deploys the microservice. It provisions the API, the queue and the function, sets the function's environment variable from the provided stack's export, and grants the permissions the function needs. Record the structure of what you wrote — the actual file is submitted with this worksheet.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Section of your template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put in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Parameters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HTTP API</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queue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function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Environment variable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Permissions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13</w:t>
      </w:r>
    </w:p>
    <w:p>
      <w:pPr>
        <w:pStyle w:val="Heading2"/>
      </w:pPr>
      <w:r>
        <w:rPr>
          <w:color w:val="1F5A5C"/>
        </w:rPr>
        <w:t>Deploy your template</w:t>
      </w:r>
    </w:p>
    <w:p>
      <w:pPr>
        <w:spacing w:after="120"/>
      </w:pPr>
      <w:r>
        <w:rPr>
          <w:b w:val="0"/>
          <w:i w:val="0"/>
          <w:sz w:val="21"/>
        </w:rPr>
        <w:t>Deploy your own template. Expect it to take more than one attempt — that is normal for a first template and it is not a mark against you. Record the attempts.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Attempt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changed</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1</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2</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3</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Final</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your stack showing CREATE_COMPLETE and the resources it created</w:t>
            </w:r>
          </w:p>
        </w:tc>
      </w:tr>
    </w:tbl>
    <w:p/>
    <w:p>
      <w:pPr>
        <w:spacing w:before="200" w:after="0"/>
      </w:pPr>
      <w:r>
        <w:rPr>
          <w:b/>
          <w:color w:val="1F5A5C"/>
          <w:sz w:val="16"/>
        </w:rPr>
        <w:t>TASK 14</w:t>
      </w:r>
    </w:p>
    <w:p>
      <w:pPr>
        <w:pStyle w:val="Heading2"/>
      </w:pPr>
      <w:r>
        <w:rPr>
          <w:color w:val="1F5A5C"/>
        </w:rPr>
        <w:t>Confirm your deployment</w:t>
      </w:r>
    </w:p>
    <w:p>
      <w:pPr>
        <w:spacing w:after="120"/>
      </w:pPr>
      <w:r>
        <w:rPr>
          <w:b w:val="0"/>
          <w:i w:val="0"/>
          <w:sz w:val="21"/>
        </w:rPr>
        <w:t>Confirm the resources your template created, using the console or the command line. Check the wiring, not just the existence — the function has to be connected to the queue, and it has to know the table name.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Resource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checked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saw</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HTTP API</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Queue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Function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Trigger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Environment variable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function's configuration showing its trigger and environment variable</w:t>
            </w:r>
          </w:p>
        </w:tc>
      </w:tr>
    </w:tbl>
    <w:p/>
    <w:p>
      <w:pPr>
        <w:spacing w:before="200" w:after="0"/>
      </w:pPr>
      <w:r>
        <w:rPr>
          <w:b/>
          <w:color w:val="1F5A5C"/>
          <w:sz w:val="16"/>
        </w:rPr>
        <w:t>TASK 15</w:t>
      </w:r>
    </w:p>
    <w:p>
      <w:pPr>
        <w:pStyle w:val="Heading2"/>
      </w:pPr>
      <w:r>
        <w:rPr>
          <w:color w:val="1F5A5C"/>
        </w:rPr>
        <w:t>Test the microservice end to end</w:t>
      </w:r>
    </w:p>
    <w:p>
      <w:pPr>
        <w:spacing w:after="120"/>
      </w:pPr>
      <w:r>
        <w:rPr>
          <w:b w:val="0"/>
          <w:i w:val="0"/>
          <w:sz w:val="21"/>
        </w:rPr>
        <w:t>Send a real event through the contract and confirm it arrives in the store. Use the payload shape from the webhook contract above. Then send one that breaks the contract — a missing field or an invalid cohort — and record what happens to it.</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Test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sent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expected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Valid event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The record itself</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Duplicate event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Invalid event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request and its response</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record in the table</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function log showing the rejection of the invalid event</w:t>
            </w:r>
          </w:p>
        </w:tc>
      </w:tr>
    </w:tbl>
    <w:p/>
    <w:p>
      <w:pPr>
        <w:spacing w:before="200" w:after="0"/>
      </w:pPr>
      <w:r>
        <w:rPr>
          <w:b/>
          <w:color w:val="1F5A5C"/>
          <w:sz w:val="16"/>
        </w:rPr>
        <w:t>TASK 16</w:t>
      </w:r>
    </w:p>
    <w:p>
      <w:pPr>
        <w:pStyle w:val="Heading2"/>
      </w:pPr>
      <w:r>
        <w:rPr>
          <w:color w:val="1F5A5C"/>
        </w:rPr>
        <w:t>Troubleshoot what went wrong</w:t>
      </w:r>
    </w:p>
    <w:p>
      <w:pPr>
        <w:spacing w:after="120"/>
      </w:pPr>
      <w:r>
        <w:rPr>
          <w:b w:val="0"/>
          <w:i w:val="0"/>
          <w:sz w:val="21"/>
        </w:rPr>
        <w:t>Record what actually broke during tasks 12 to 15 and what you did about it. Every real build has these. An empty table here is not a sign of a perfect build — it is a sign you did not write them down as you went.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Symptom</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diagnosed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fix</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Events accepted by the API but no record appears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Nothing invokes the function at all</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stack fails on the import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17</w:t>
      </w:r>
    </w:p>
    <w:p>
      <w:pPr>
        <w:pStyle w:val="Heading2"/>
      </w:pPr>
      <w:r>
        <w:rPr>
          <w:color w:val="1F5A5C"/>
        </w:rPr>
        <w:t>Parameterise for a second environment</w:t>
      </w:r>
    </w:p>
    <w:p>
      <w:pPr>
        <w:spacing w:after="120"/>
      </w:pPr>
      <w:r>
        <w:rPr>
          <w:b w:val="0"/>
          <w:i w:val="0"/>
          <w:sz w:val="21"/>
        </w:rPr>
        <w:t>Redeploy your template as a second, separate environment by changing configuration only — not by editing resource definitions. This is the thing that makes the India region a parameter rather than a rebuild, which is what the residency requirement asked for. Confirm the two environments are genuinely separate.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Result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Second deployment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you did NOT change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Confirmed separate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this proves for the design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both stacks existing side by side</w:t>
            </w:r>
          </w:p>
        </w:tc>
      </w:tr>
    </w:tbl>
    <w:p/>
    <w:p>
      <w:pPr>
        <w:spacing w:before="200" w:after="0"/>
      </w:pPr>
      <w:r>
        <w:rPr>
          <w:b/>
          <w:color w:val="1F5A5C"/>
          <w:sz w:val="16"/>
        </w:rPr>
        <w:t>TASK 18</w:t>
      </w:r>
    </w:p>
    <w:p>
      <w:pPr>
        <w:pStyle w:val="Heading2"/>
      </w:pPr>
      <w:r>
        <w:rPr>
          <w:color w:val="1F5A5C"/>
        </w:rPr>
        <w:t>Update your template to add a resource</w:t>
      </w:r>
    </w:p>
    <w:p>
      <w:pPr>
        <w:spacing w:after="120"/>
      </w:pPr>
      <w:r>
        <w:rPr>
          <w:b w:val="0"/>
          <w:i w:val="0"/>
          <w:sz w:val="21"/>
        </w:rPr>
        <w:t>Modify your template to add a new resource, and redeploy so the existing stack is updated rather than replaced. A dead-letter queue for messages the function could not process is the sensible addition — it is what the DR plan's retention argument assumed. Record what the update did to what was already there.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Change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added or modified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update did</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New resource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Modified resource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Unchanged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Why this addition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updated stack showing the new resource</w:t>
            </w:r>
          </w:p>
        </w:tc>
      </w:tr>
    </w:tbl>
    <w:p/>
    <w:p>
      <w:pPr>
        <w:spacing w:before="200" w:after="0"/>
      </w:pPr>
      <w:r>
        <w:rPr>
          <w:b/>
          <w:color w:val="1F5A5C"/>
          <w:sz w:val="16"/>
        </w:rPr>
        <w:t>TASK 19</w:t>
      </w:r>
    </w:p>
    <w:p>
      <w:pPr>
        <w:pStyle w:val="Heading2"/>
      </w:pPr>
      <w:r>
        <w:rPr>
          <w:color w:val="1F5A5C"/>
        </w:rPr>
        <w:t>Set up a metric and an alarm</w:t>
      </w:r>
    </w:p>
    <w:p>
      <w:pPr>
        <w:spacing w:after="120"/>
      </w:pPr>
      <w:r>
        <w:rPr>
          <w:b w:val="0"/>
          <w:i w:val="0"/>
          <w:sz w:val="21"/>
        </w:rPr>
        <w:t>Set up monitoring for the service you have built: a metric that tells you it is healthy, and an alarm that fires when it is not. Say what the alarm means in business terms — what has actually gone wrong for YAT when it fires.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Metric</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Alarm condition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means has gone wrong</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Age of the oldest message on the queue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Function errors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Dead-letter queue depth</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Who is notified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alarm you created, showing its condition and its state</w:t>
            </w:r>
          </w:p>
        </w:tc>
      </w:tr>
    </w:tbl>
    <w:p/>
    <w:p>
      <w:pPr>
        <w:spacing w:before="200" w:after="0"/>
      </w:pPr>
      <w:r>
        <w:rPr>
          <w:b/>
          <w:color w:val="1F5A5C"/>
          <w:sz w:val="16"/>
        </w:rPr>
        <w:t>TASK 20</w:t>
      </w:r>
    </w:p>
    <w:p>
      <w:pPr>
        <w:pStyle w:val="Heading2"/>
      </w:pPr>
      <w:r>
        <w:rPr>
          <w:color w:val="1F5A5C"/>
        </w:rPr>
        <w:t>Write the user documentation</w:t>
      </w:r>
    </w:p>
    <w:p>
      <w:pPr>
        <w:spacing w:after="120"/>
      </w:pPr>
      <w:r>
        <w:rPr>
          <w:b w:val="0"/>
          <w:i w:val="0"/>
          <w:sz w:val="21"/>
        </w:rPr>
        <w:t>Write the user documentation for what you have built. Its reader is the YAT ICT person who has to operate this after you leave and who was not here while you built it. Include your templates — documentation for infrastructure as code that does not contain the code is not documentation. Write it in the box below; attach your template files with this worksheet.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TASK 21</w:t>
      </w:r>
    </w:p>
    <w:p>
      <w:pPr>
        <w:pStyle w:val="Heading2"/>
      </w:pPr>
      <w:r>
        <w:rPr>
          <w:color w:val="1F5A5C"/>
        </w:rPr>
        <w:t>Remove what you deployed</w:t>
      </w:r>
    </w:p>
    <w:p>
      <w:pPr>
        <w:spacing w:after="120"/>
      </w:pPr>
      <w:r>
        <w:rPr>
          <w:b w:val="0"/>
          <w:i w:val="0"/>
          <w:sz w:val="21"/>
        </w:rPr>
        <w:t>Tear down everything you created, using the infrastructure-as-code tooling rather than deleting resources by hand. Confirm it is gone. This is part of the lifecycle, not housekeeping — and doing it by hand would leave the templates describing resources that no longer exist.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removed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Confirmed gone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Your second environment stack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Your microservice stack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provided data-store stack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Anything left behind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stacks removed, and the resource list showing nothing left behind</w:t>
            </w:r>
          </w:p>
        </w:tc>
      </w:tr>
    </w:tbl>
    <w:p/>
    <w:p>
      <w:pPr>
        <w:spacing w:before="200" w:after="0"/>
      </w:pPr>
      <w:r>
        <w:rPr>
          <w:b/>
          <w:color w:val="1F5A5C"/>
          <w:sz w:val="16"/>
        </w:rPr>
        <w:t>TASK 22</w:t>
      </w:r>
    </w:p>
    <w:p>
      <w:pPr>
        <w:pStyle w:val="Heading2"/>
      </w:pPr>
      <w:r>
        <w:rPr>
          <w:color w:val="1F5A5C"/>
        </w:rPr>
        <w:t>Confirm the build and obtain sign-off</w:t>
      </w:r>
    </w:p>
    <w:p>
      <w:pPr>
        <w:spacing w:after="120"/>
      </w:pPr>
      <w:r>
        <w:rPr>
          <w:b w:val="0"/>
          <w:i w:val="0"/>
          <w:sz w:val="21"/>
        </w:rPr>
        <w:t>Walk Sam Walker (role-played by your assessor) through what you built, confirm it meets what was approved in AT1, ask for feedback, respond to it, and obtain sign-off. Record the conversation and the decision.</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you confirmed against the approved design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Feedback you sought and were given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How you responded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Decision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Signed by, and date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pStyle w:val="Heading1"/>
      </w:pPr>
      <w:r>
        <w:t>Knowledge questions</w:t>
      </w:r>
    </w:p>
    <w:p>
      <w:pPr>
        <w:spacing w:after="200"/>
      </w:pPr>
      <w:r>
        <w:rPr>
          <w:b w:val="0"/>
          <w:i/>
          <w:color w:val="6B6660"/>
          <w:sz w:val="19"/>
        </w:rPr>
        <w:t>Answer these about your own build. Generic answers about infrastructure as code will not pass.</w:t>
      </w:r>
    </w:p>
    <w:p>
      <w:pPr>
        <w:spacing w:before="200" w:after="0"/>
      </w:pPr>
      <w:r>
        <w:rPr>
          <w:b/>
          <w:color w:val="1F5A5C"/>
          <w:sz w:val="16"/>
        </w:rPr>
        <w:t>QUESTION 1</w:t>
      </w:r>
    </w:p>
    <w:p>
      <w:pPr>
        <w:pStyle w:val="Heading2"/>
      </w:pPr>
      <w:r>
        <w:rPr>
          <w:color w:val="1F5A5C"/>
        </w:rPr>
        <w:t>Which industry standards and standard products does your build rely on?</w:t>
      </w:r>
    </w:p>
    <w:p>
      <w:pPr>
        <w:spacing w:after="120"/>
      </w:pPr>
      <w:r>
        <w:rPr>
          <w:b w:val="0"/>
          <w:i w:val="0"/>
          <w:sz w:val="21"/>
        </w:rPr>
        <w:t>Name the industry technology standards your build uses, and the standard products you deployed — including the storage technology. For each, say what it is and why it was the right sort of thing for this job.</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2</w:t>
      </w:r>
    </w:p>
    <w:p>
      <w:pPr>
        <w:pStyle w:val="Heading2"/>
      </w:pPr>
      <w:r>
        <w:rPr>
          <w:color w:val="1F5A5C"/>
        </w:rPr>
        <w:t>How did you test and debug your work?</w:t>
      </w:r>
    </w:p>
    <w:p>
      <w:pPr>
        <w:spacing w:after="120"/>
      </w:pPr>
      <w:r>
        <w:rPr>
          <w:b w:val="0"/>
          <w:i w:val="0"/>
          <w:sz w:val="21"/>
        </w:rPr>
        <w:t>Describe the techniques you actually used to test and debug both the templates and the microservice. Point at specific things you found with each technique.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3</w:t>
      </w:r>
    </w:p>
    <w:p>
      <w:pPr>
        <w:pStyle w:val="Heading2"/>
      </w:pPr>
      <w:r>
        <w:rPr>
          <w:color w:val="1F5A5C"/>
        </w:rPr>
        <w:t>How would you manage these templates over time?</w:t>
      </w:r>
    </w:p>
    <w:p>
      <w:pPr>
        <w:spacing w:after="120"/>
      </w:pPr>
      <w:r>
        <w:rPr>
          <w:b w:val="0"/>
          <w:i w:val="0"/>
          <w:sz w:val="21"/>
        </w:rPr>
        <w:t>You are handing this to YAT ICT. Explain how templates like these are managed, provisioned and updated over their life, and what signals or measures would tell YAT whether it is going well.</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2-at2/projects/website-global-expansion/requirements" TargetMode="External"/><Relationship Id="rId18" Type="http://schemas.openxmlformats.org/officeDocument/2006/relationships/hyperlink" Target="https://yat.timbaird.com/intranet/s1-cl2-at2/projects/website-global-expansion/data-residency-requirements" TargetMode="External"/><Relationship Id="rId19" Type="http://schemas.openxmlformats.org/officeDocument/2006/relationships/hyperlink" Target="https://yat.timbaird.com/intranet/s1-cl2-at2/reference/industry-standards" TargetMode="External"/><Relationship Id="rId20" Type="http://schemas.openxmlformats.org/officeDocument/2006/relationships/hyperlink" Target="https://yat.timbaird.com/intranet/s1-cl2-at2/policies/chang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