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Deployment Report</w:t>
      </w:r>
    </w:p>
    <w:p>
      <w:r>
        <w:rPr>
          <w:b/>
          <w:color w:val="C5613B"/>
          <w:sz w:val="30"/>
        </w:rPr>
        <w:t>YAT LMS Global Expansion — DR Implementation</w:t>
      </w:r>
    </w:p>
    <w:p>
      <w:r>
        <w:rPr>
          <w:i/>
          <w:color w:val="6B6660"/>
          <w:sz w:val="20"/>
        </w:rPr>
        <w:t>Assessor exemplar — internal marking reference (not for distribution to students)</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LMS Global Expansion &amp; Disaster Recovery — Implementation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 reference</w:t>
            </w:r>
          </w:p>
        </w:tc>
        <w:tc>
          <w:tcPr>
            <w:tcW w:type="dxa" w:w="6803"/>
            <w:tcBorders>
              <w:top w:val="single" w:sz="4" w:space="0" w:color="E4DED3"/>
              <w:left w:val="single" w:sz="4" w:space="0" w:color="E4DED3"/>
              <w:bottom w:val="single" w:sz="4" w:space="0" w:color="E4DED3"/>
              <w:right w:val="single" w:sz="4" w:space="0" w:color="E4DED3"/>
            </w:tcBorders>
          </w:tcPr>
          <w:p>
            <w:r>
              <w:rPr>
                <w:sz w:val="20"/>
              </w:rPr>
              <w:t>YAT-MTS-2026-002</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Report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 submitted</w:t>
            </w:r>
          </w:p>
        </w:tc>
        <w:tc>
          <w:tcPr>
            <w:tcW w:type="dxa" w:w="6803"/>
            <w:tcBorders>
              <w:top w:val="single" w:sz="4" w:space="0" w:color="E4DED3"/>
              <w:left w:val="single" w:sz="4" w:space="0" w:color="E4DED3"/>
              <w:bottom w:val="single" w:sz="4" w:space="0" w:color="E4DED3"/>
              <w:right w:val="single" w:sz="4" w:space="0" w:color="E4DED3"/>
            </w:tcBorders>
          </w:tcPr>
          <w:p>
            <w:r>
              <w:rPr>
                <w:sz w:val="20"/>
              </w:rPr>
              <w:t>[DD/MM/YYYY]</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Submitted to</w:t>
            </w:r>
          </w:p>
        </w:tc>
        <w:tc>
          <w:tcPr>
            <w:tcW w:type="dxa" w:w="6803"/>
            <w:tcBorders>
              <w:top w:val="single" w:sz="4" w:space="0" w:color="E4DED3"/>
              <w:left w:val="single" w:sz="4" w:space="0" w:color="E4DED3"/>
              <w:bottom w:val="single" w:sz="4" w:space="0" w:color="E4DED3"/>
              <w:right w:val="single" w:sz="4" w:space="0" w:color="E4DED3"/>
            </w:tcBorders>
          </w:tcPr>
          <w:p>
            <w:r>
              <w:rPr>
                <w:sz w:val="20"/>
              </w:rPr>
              <w:t>Sam Walker (YAT ICT Manager) · Pat Lin (MTS Senior Consultant)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Related documents</w:t>
            </w:r>
          </w:p>
        </w:tc>
        <w:tc>
          <w:tcPr>
            <w:tcW w:type="dxa" w:w="6803"/>
            <w:tcBorders>
              <w:top w:val="single" w:sz="4" w:space="0" w:color="E4DED3"/>
              <w:left w:val="single" w:sz="4" w:space="0" w:color="E4DED3"/>
              <w:bottom w:val="single" w:sz="4" w:space="0" w:color="E4DED3"/>
              <w:right w:val="single" w:sz="4" w:space="0" w:color="E4DED3"/>
            </w:tcBorders>
          </w:tcPr>
          <w:p>
            <w:r>
              <w:rPr>
                <w:sz w:val="20"/>
              </w:rPr>
              <w:t>LMS Global Expansion Solution Design (the approved design); the Disaster Recovery Plan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Executive Summary</w:t>
      </w:r>
    </w:p>
    <w:p>
      <w:pPr>
        <w:spacing w:after="120"/>
      </w:pPr>
      <w:r>
        <w:rPr>
          <w:i/>
          <w:color w:val="1F5A5C"/>
          <w:sz w:val="17"/>
        </w:rPr>
        <w:t>Evidences: [ICTCLD503 PE 3] · [ICTCLD505 PE 1, 2] — overview of the implemented build</w:t>
      </w:r>
    </w:p>
    <w:p>
      <w:r>
        <w:rPr>
          <w:sz w:val="21"/>
        </w:rPr>
        <w:t>This Deployment Report documents the Phase 2 implementation of the YAT LMS Global Expansion: the audit-log microservice, provisioned as infrastructure-as-code, with monitoring, built and tested in the AWS Academy lab. It implements the Solution Design approved at AT1.</w:t>
      </w:r>
    </w:p>
    <w:p>
      <w:r>
        <w:rPr>
          <w:sz w:val="21"/>
        </w:rPr>
        <w:t>The build was delivered in three streams: operating a set of predefined infrastructure-as-code templates to stand up the supporting resources; authoring a parameterised template that provisions the microservice itself; and deploying and testing the serverless microservice (API Gateway → SQS → Lambda → DynamoDB). Monitoring alarms were configured, the build was tested and troubleshooted, documented for operational handover, and signed off.</w:t>
      </w:r>
    </w:p>
    <w:p>
      <w:pPr>
        <w:pStyle w:val="Heading1"/>
      </w:pPr>
      <w:r>
        <w:t>2. Engagement Context</w:t>
      </w:r>
    </w:p>
    <w:p>
      <w:pPr>
        <w:spacing w:after="120"/>
      </w:pPr>
      <w:r>
        <w:rPr>
          <w:i/>
          <w:color w:val="1F5A5C"/>
          <w:sz w:val="17"/>
        </w:rPr>
        <w:t>Evidences: [ICTCLD503 AC 5] · [ICTCLD505 AC 4] (scenario data sources used)</w:t>
      </w:r>
    </w:p>
    <w:p>
      <w:r>
        <w:rPr>
          <w:sz w:val="21"/>
        </w:rPr>
        <w:t>Following approval of the design at AT1, MTS implemented the audit-log microservice for the India-cohort access logs. The implementation was built in the AWS Academy lab environment using the services, code elements and reference data supplied for the engagement.</w:t>
      </w:r>
    </w:p>
    <w:p>
      <w:r>
        <w:rPr>
          <w:sz w:val="21"/>
        </w:rPr>
        <w:t>Lab / region note: the design places the audit log in the India region (ap-south-1). The AWS Academy lab does not offer ap-south-1, so us-west-2 stands in for the India region and us-east-1 for the primary; the mechanics (cross-region separation, IaC, the serverless stack) are real, only the geography is simulated. Region is a template parameter, so the same templates target ap-south-1 in production.</w:t>
      </w:r>
    </w:p>
    <w:p>
      <w:pPr>
        <w:pStyle w:val="Heading1"/>
      </w:pPr>
      <w:r>
        <w:t>3. Scope of Deployment</w:t>
      </w:r>
    </w:p>
    <w:p>
      <w:r>
        <w:rPr>
          <w:sz w:val="21"/>
        </w:rPr>
        <w:t>In scope: the audit-log microservice and the infrastructure-as-code that provisions it — operating the predefined templates, authoring the student's own template, the serverless build (API Gateway, SQS, Lambda, DynamoDB), the monitoring alarms, the IaC user documentation, and the build sign-off.</w:t>
      </w:r>
    </w:p>
    <w:p>
      <w:r>
        <w:rPr>
          <w:sz w:val="21"/>
        </w:rPr>
        <w:t>Out of scope: the LMS web-tier scaling changes (CloudFront / caching — a separate LMS workstream, designed but not built here); the disaster-recovery drill itself (covered by the DR Plan); and production cutover. The microservice integrates with the LMS only through the webhook contract, so no change to the live LMS was required.</w:t>
      </w:r>
    </w:p>
    <w:p>
      <w:pPr>
        <w:pStyle w:val="Heading1"/>
      </w:pPr>
      <w:r>
        <w:t>4. Build and Implementation Narrative</w:t>
      </w:r>
    </w:p>
    <w:p>
      <w:pPr>
        <w:pStyle w:val="Heading3"/>
      </w:pPr>
      <w:r>
        <w:t>4.1 Lab environment and access</w:t>
      </w:r>
    </w:p>
    <w:p>
      <w:pPr>
        <w:spacing w:after="120"/>
      </w:pPr>
      <w:r>
        <w:rPr>
          <w:i/>
          <w:color w:val="1F5A5C"/>
          <w:sz w:val="17"/>
        </w:rPr>
        <w:t>Evidences: [ICTCLD505 AC 1, 5, 7, 8] (vendor platform, IDE, CLI/SSH, console)</w:t>
      </w:r>
    </w:p>
    <w:p>
      <w:r>
        <w:rPr>
          <w:sz w:val="21"/>
        </w:rPr>
        <w:t>Work was performed in the AWS Academy lab via the console, the AWS CLI, and an IDE. A least-privilege execution role was used for the Lambda function (write to the one DynamoDB table and read from the queue only); no long-lived credentials were created.</w:t>
      </w:r>
    </w:p>
    <w:p>
      <w:pPr>
        <w:spacing w:after="120"/>
      </w:pPr>
      <w:r>
        <w:rPr>
          <w:b/>
          <w:color w:val="1F5A5C"/>
          <w:sz w:val="19"/>
        </w:rPr>
        <w:t xml:space="preserve">[SCREENSHOT] </w:t>
      </w:r>
      <w:r>
        <w:rPr>
          <w:i/>
          <w:color w:val="6B6660"/>
          <w:sz w:val="19"/>
        </w:rPr>
        <w:t>— should show the AWS Academy lab session and the IAM execution role's attached policy.</w:t>
      </w:r>
    </w:p>
    <w:p>
      <w:pPr>
        <w:pStyle w:val="Heading3"/>
      </w:pPr>
      <w:r>
        <w:t>4.2 Operating the predefined IaC templates</w:t>
      </w:r>
    </w:p>
    <w:p>
      <w:pPr>
        <w:spacing w:after="120"/>
      </w:pPr>
      <w:r>
        <w:rPr>
          <w:i/>
          <w:color w:val="1F5A5C"/>
          <w:sz w:val="17"/>
        </w:rPr>
        <w:t>Evidences: [ICTCLD505 PC 1.1–1.4] · [ICTCLD505 PC 2.1–2.6] · [ICTCLD505 PE 1, 3] · [ICTCLD505 KE 3, 4, 5, 6, 7, 10]</w:t>
      </w:r>
    </w:p>
    <w:p>
      <w:r>
        <w:rPr>
          <w:sz w:val="21"/>
        </w:rPr>
        <w:t>Benefits and service selection (PC 1.1–1.4): infrastructure-as-code was chosen over manual console provisioning because it makes the stack repeatable, reviewable and parameterised by region — exactly what a cross-region recovery design needs. AWS CloudFormation was selected as the IaC service: it is native to the platform, needs no extra tooling, and the lab supports it.</w:t>
      </w:r>
    </w:p>
    <w:p>
      <w:r>
        <w:rPr>
          <w:sz w:val="21"/>
        </w:rPr>
        <w:t>Template syntax and review (PC 2.1, 2.2, KE 5): the supplied templates were read to confirm the resources they create and their dependencies — a DynamoDB table, an SQS queue, and the IAM roles — before deploying. The CloudFormation template language (Resources, Parameters, Outputs, intrinsic functions such as !Ref and !GetAtt) is summarised in §8 Q2.</w:t>
      </w:r>
    </w:p>
    <w:p>
      <w:r>
        <w:rPr>
          <w:sz w:val="21"/>
        </w:rPr>
        <w:t>Deploy, update, delete (PC 2.3–2.5, PE 1): the predefined templates were used to deploy the resources, confirm them in the console, update a stack (changing a parameter and observing the change set), and then delete a stack to confirm clean teardown.</w:t>
      </w:r>
    </w:p>
    <w:tbl>
      <w:tblPr>
        <w:tblW w:type="auto" w:w="0"/>
        <w:jc w:val="center"/>
        <w:tblLook w:firstColumn="1" w:firstRow="1" w:lastColumn="0" w:lastRow="0" w:noHBand="0" w:noVBand="1" w:val="04A0"/>
      </w:tblPr>
      <w:tblGrid>
        <w:gridCol w:w="3137"/>
        <w:gridCol w:w="3137"/>
        <w:gridCol w:w="3137"/>
      </w:tblGrid>
      <w:tr>
        <w:tc>
          <w:tcPr>
            <w:tcW w:type="dxa" w:w="147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Action</w:t>
            </w:r>
          </w:p>
        </w:tc>
        <w:tc>
          <w:tcPr>
            <w:tcW w:type="dxa" w:w="476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Command / method</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Result</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Deploy</w:t>
            </w:r>
          </w:p>
        </w:tc>
        <w:tc>
          <w:tcPr>
            <w:tcW w:type="dxa" w:w="4762"/>
            <w:tcBorders>
              <w:top w:val="single" w:sz="4" w:space="0" w:color="E4DED3"/>
              <w:left w:val="single" w:sz="4" w:space="0" w:color="E4DED3"/>
              <w:bottom w:val="single" w:sz="4" w:space="0" w:color="E4DED3"/>
              <w:right w:val="single" w:sz="4" w:space="0" w:color="E4DED3"/>
            </w:tcBorders>
          </w:tcPr>
          <w:p>
            <w:r>
              <w:rPr>
                <w:sz w:val="18"/>
              </w:rPr>
              <w:t>aws cloudformation deploy --template-file base.yaml --stack-name yat-audit-base</w:t>
            </w:r>
          </w:p>
        </w:tc>
        <w:tc>
          <w:tcPr>
            <w:tcW w:type="dxa" w:w="2835"/>
            <w:tcBorders>
              <w:top w:val="single" w:sz="4" w:space="0" w:color="E4DED3"/>
              <w:left w:val="single" w:sz="4" w:space="0" w:color="E4DED3"/>
              <w:bottom w:val="single" w:sz="4" w:space="0" w:color="E4DED3"/>
              <w:right w:val="single" w:sz="4" w:space="0" w:color="E4DED3"/>
            </w:tcBorders>
          </w:tcPr>
          <w:p>
            <w:r>
              <w:rPr>
                <w:sz w:val="18"/>
              </w:rPr>
              <w:t>CREATE_COMPLETE; resources visible in the console</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Update</w:t>
            </w:r>
          </w:p>
        </w:tc>
        <w:tc>
          <w:tcPr>
            <w:tcW w:type="dxa" w:w="4762"/>
            <w:tcBorders>
              <w:top w:val="single" w:sz="4" w:space="0" w:color="E4DED3"/>
              <w:left w:val="single" w:sz="4" w:space="0" w:color="E4DED3"/>
              <w:bottom w:val="single" w:sz="4" w:space="0" w:color="E4DED3"/>
              <w:right w:val="single" w:sz="4" w:space="0" w:color="E4DED3"/>
            </w:tcBorders>
          </w:tcPr>
          <w:p>
            <w:r>
              <w:rPr>
                <w:sz w:val="18"/>
              </w:rPr>
              <w:t>change a parameter; aws cloudformation deploy (change set reviewed)</w:t>
            </w:r>
          </w:p>
        </w:tc>
        <w:tc>
          <w:tcPr>
            <w:tcW w:type="dxa" w:w="2835"/>
            <w:tcBorders>
              <w:top w:val="single" w:sz="4" w:space="0" w:color="E4DED3"/>
              <w:left w:val="single" w:sz="4" w:space="0" w:color="E4DED3"/>
              <w:bottom w:val="single" w:sz="4" w:space="0" w:color="E4DED3"/>
              <w:right w:val="single" w:sz="4" w:space="0" w:color="E4DED3"/>
            </w:tcBorders>
          </w:tcPr>
          <w:p>
            <w:r>
              <w:rPr>
                <w:sz w:val="18"/>
              </w:rPr>
              <w:t>UPDATE_COMPLETE; only the intended resource changed</w:t>
            </w:r>
          </w:p>
        </w:tc>
      </w:tr>
      <w:tr>
        <w:tc>
          <w:tcPr>
            <w:tcW w:type="dxa" w:w="1474"/>
            <w:tcBorders>
              <w:top w:val="single" w:sz="4" w:space="0" w:color="E4DED3"/>
              <w:left w:val="single" w:sz="4" w:space="0" w:color="E4DED3"/>
              <w:bottom w:val="single" w:sz="4" w:space="0" w:color="E4DED3"/>
              <w:right w:val="single" w:sz="4" w:space="0" w:color="E4DED3"/>
            </w:tcBorders>
          </w:tcPr>
          <w:p>
            <w:r>
              <w:rPr>
                <w:b/>
                <w:sz w:val="18"/>
              </w:rPr>
              <w:t>Delete</w:t>
            </w:r>
          </w:p>
        </w:tc>
        <w:tc>
          <w:tcPr>
            <w:tcW w:type="dxa" w:w="4762"/>
            <w:tcBorders>
              <w:top w:val="single" w:sz="4" w:space="0" w:color="E4DED3"/>
              <w:left w:val="single" w:sz="4" w:space="0" w:color="E4DED3"/>
              <w:bottom w:val="single" w:sz="4" w:space="0" w:color="E4DED3"/>
              <w:right w:val="single" w:sz="4" w:space="0" w:color="E4DED3"/>
            </w:tcBorders>
          </w:tcPr>
          <w:p>
            <w:r>
              <w:rPr>
                <w:sz w:val="18"/>
              </w:rPr>
              <w:t>aws cloudformation delete-stack --stack-name yat-audit-base</w:t>
            </w:r>
          </w:p>
        </w:tc>
        <w:tc>
          <w:tcPr>
            <w:tcW w:type="dxa" w:w="2835"/>
            <w:tcBorders>
              <w:top w:val="single" w:sz="4" w:space="0" w:color="E4DED3"/>
              <w:left w:val="single" w:sz="4" w:space="0" w:color="E4DED3"/>
              <w:bottom w:val="single" w:sz="4" w:space="0" w:color="E4DED3"/>
              <w:right w:val="single" w:sz="4" w:space="0" w:color="E4DED3"/>
            </w:tcBorders>
          </w:tcPr>
          <w:p>
            <w:r>
              <w:rPr>
                <w:sz w:val="18"/>
              </w:rPr>
              <w:t>DELETE_COMPLETE; all resources removed</w:t>
            </w:r>
          </w:p>
        </w:tc>
      </w:tr>
    </w:tbl>
    <w:p/>
    <w:p>
      <w:r>
        <w:rPr>
          <w:sz w:val="21"/>
        </w:rPr>
        <w:t>Confirm and troubleshoot (PC 2.4, 2.6, KE 7): deployments were confirmed in the console and with describe-stacks; template errors (an invalid attribute and a circular dependency) were diagnosed from the stack events and fixed — see the troubleshooting log in §6.6.</w:t>
      </w:r>
    </w:p>
    <w:p>
      <w:pPr>
        <w:spacing w:after="120"/>
      </w:pPr>
      <w:r>
        <w:rPr>
          <w:b/>
          <w:color w:val="1F5A5C"/>
          <w:sz w:val="19"/>
        </w:rPr>
        <w:t xml:space="preserve">[SCREENSHOT] </w:t>
      </w:r>
      <w:r>
        <w:rPr>
          <w:i/>
          <w:color w:val="6B6660"/>
          <w:sz w:val="19"/>
        </w:rPr>
        <w:t>— should show a CloudFormation stack at CREATE_COMPLETE with its resources tab.</w:t>
      </w:r>
    </w:p>
    <w:p>
      <w:pPr>
        <w:pStyle w:val="Heading3"/>
      </w:pPr>
      <w:r>
        <w:t>4.3 Authoring the infrastructure-as-code template</w:t>
      </w:r>
    </w:p>
    <w:p>
      <w:pPr>
        <w:spacing w:after="120"/>
      </w:pPr>
      <w:r>
        <w:rPr>
          <w:i/>
          <w:color w:val="1F5A5C"/>
          <w:sz w:val="17"/>
        </w:rPr>
        <w:t>Evidences: [ICTCLD505 PC 3.1–3.7] · [ICTCLD505 PE 2] · [ICTCLD505 KE 8, 9]</w:t>
      </w:r>
    </w:p>
    <w:p>
      <w:r>
        <w:rPr>
          <w:sz w:val="21"/>
        </w:rPr>
        <w:t>A template was authored from scratch to provision the microservice as a related set of resources (PC 3.2): the DynamoDB audit table, the SQS queue, the Lambda function, the API Gateway, and the execution role. It was deployed, then updated to add the API Gateway stage (PC 3.3), and parameterised so the same template deploys to either region and to a named environment without editing the body (PC 3.5) — the key code-reuse outcome (KE 8).</w:t>
      </w:r>
    </w:p>
    <w:p>
      <w:pPr>
        <w:spacing w:after="0"/>
      </w:pPr>
      <w:r>
        <w:rPr>
          <w:rFonts w:ascii="Consolas" w:hAnsi="Consolas"/>
          <w:color w:val="1F2329"/>
          <w:sz w:val="18"/>
        </w:rPr>
        <w:t>Parameters:</w:t>
      </w:r>
    </w:p>
    <w:p>
      <w:pPr>
        <w:spacing w:after="0"/>
      </w:pPr>
      <w:r>
        <w:rPr>
          <w:rFonts w:ascii="Consolas" w:hAnsi="Consolas"/>
          <w:color w:val="1F2329"/>
          <w:sz w:val="18"/>
        </w:rPr>
        <w:t xml:space="preserve">  TargetRegion:   { Type: String, Default: us-west-2 }   # ap-south-1 in production</w:t>
      </w:r>
    </w:p>
    <w:p>
      <w:pPr>
        <w:spacing w:after="0"/>
      </w:pPr>
      <w:r>
        <w:rPr>
          <w:rFonts w:ascii="Consolas" w:hAnsi="Consolas"/>
          <w:color w:val="1F2329"/>
          <w:sz w:val="18"/>
        </w:rPr>
        <w:t xml:space="preserve">  EnvName:        { Type: String, Default: dev }</w:t>
      </w:r>
    </w:p>
    <w:p>
      <w:pPr>
        <w:spacing w:after="0"/>
      </w:pPr>
      <w:r>
        <w:rPr>
          <w:rFonts w:ascii="Consolas" w:hAnsi="Consolas"/>
          <w:color w:val="1F2329"/>
          <w:sz w:val="18"/>
        </w:rPr>
        <w:t xml:space="preserve">  RetentionDays:  { Type: Number, Default: 180 }         # CERT-In retention</w:t>
      </w:r>
    </w:p>
    <w:p>
      <w:pPr>
        <w:spacing w:after="0"/>
      </w:pPr>
      <w:r>
        <w:rPr>
          <w:rFonts w:ascii="Consolas" w:hAnsi="Consolas"/>
          <w:color w:val="1F2329"/>
          <w:sz w:val="18"/>
        </w:rPr>
        <w:t>Resources:</w:t>
      </w:r>
    </w:p>
    <w:p>
      <w:pPr>
        <w:spacing w:after="0"/>
      </w:pPr>
      <w:r>
        <w:rPr>
          <w:rFonts w:ascii="Consolas" w:hAnsi="Consolas"/>
          <w:color w:val="1F2329"/>
          <w:sz w:val="18"/>
        </w:rPr>
        <w:t xml:space="preserve">  AuditTable:  { Type: AWS::DynamoDB::Table, Properties: { BillingMode: PAY_PER_REQUEST, ... } }</w:t>
      </w:r>
    </w:p>
    <w:p>
      <w:pPr>
        <w:spacing w:after="0"/>
      </w:pPr>
      <w:r>
        <w:rPr>
          <w:rFonts w:ascii="Consolas" w:hAnsi="Consolas"/>
          <w:color w:val="1F2329"/>
          <w:sz w:val="18"/>
        </w:rPr>
        <w:t xml:space="preserve">  EventQueue:  { Type: AWS::SQS::Queue }</w:t>
      </w:r>
    </w:p>
    <w:p>
      <w:pPr>
        <w:spacing w:after="0"/>
      </w:pPr>
      <w:r>
        <w:rPr>
          <w:rFonts w:ascii="Consolas" w:hAnsi="Consolas"/>
          <w:color w:val="1F2329"/>
          <w:sz w:val="18"/>
        </w:rPr>
        <w:t xml:space="preserve">  WriterFn:    { Type: AWS::Lambda::Function, Properties: { Runtime: python3.12, ... } }</w:t>
      </w:r>
    </w:p>
    <w:p>
      <w:r>
        <w:rPr>
          <w:sz w:val="21"/>
        </w:rPr>
        <w:t>The template follows industry practice (KE 9): parameters not hard-coding, least-privilege roles, tagging (Project/Environment/Owner/DataClassification), and Outputs that export the API endpoint. It was redeployed with a different parameter set to confirm reuse, then the stack was removed cleanly (PC 3.6); template errors were tested and fixed (PC 3.7).</w:t>
      </w:r>
    </w:p>
    <w:p>
      <w:pPr>
        <w:spacing w:after="120"/>
      </w:pPr>
      <w:r>
        <w:rPr>
          <w:b/>
          <w:color w:val="1F5A5C"/>
          <w:sz w:val="19"/>
        </w:rPr>
        <w:t xml:space="preserve">[FILE] </w:t>
      </w:r>
      <w:r>
        <w:rPr>
          <w:i/>
          <w:color w:val="6B6660"/>
          <w:sz w:val="19"/>
        </w:rPr>
        <w:t>— the authored template is attached in Appendix B (audit-service.yaml).</w:t>
      </w:r>
    </w:p>
    <w:p>
      <w:pPr>
        <w:pStyle w:val="Heading3"/>
      </w:pPr>
      <w:r>
        <w:t>4.4 The audit-log microservice</w:t>
      </w:r>
    </w:p>
    <w:p>
      <w:pPr>
        <w:spacing w:after="120"/>
      </w:pPr>
      <w:r>
        <w:rPr>
          <w:i/>
          <w:color w:val="1F5A5C"/>
          <w:sz w:val="17"/>
        </w:rPr>
        <w:t>Evidences: [ICTCLD503 PC 3.1–3.4] · [ICTCLD503 PE 3, 4] · [ICTCLD503 KE 5]</w:t>
      </w:r>
    </w:p>
    <w:p>
      <w:r>
        <w:rPr>
          <w:sz w:val="21"/>
        </w:rPr>
        <w:t>Reviewing the design and code (PC 3.1): the supplied microservice code elements (the Lambda handler and the webhook payload schema) were reviewed against the AT1 design before deployment. The data flow is: an event webhook → API Gateway → SQS → Lambda → DynamoDB.</w:t>
      </w:r>
    </w:p>
    <w:p>
      <w:r>
        <w:rPr>
          <w:sz w:val="21"/>
        </w:rPr>
        <w:t>Deploy and configure (PC 3.2): the serverless services were deployed and configured via the authored template and the console — the API Gateway POST /events route, the queue as the Lambda event source, and the Lambda writing append-only items to DynamoDB. The webhook contract is the single integration point:</w:t>
      </w:r>
    </w:p>
    <w:p>
      <w:pPr>
        <w:spacing w:after="0"/>
      </w:pPr>
      <w:r>
        <w:rPr>
          <w:rFonts w:ascii="Consolas" w:hAnsi="Consolas"/>
          <w:color w:val="1F2329"/>
          <w:sz w:val="18"/>
        </w:rPr>
        <w:t>POST /events</w:t>
      </w:r>
    </w:p>
    <w:p>
      <w:pPr>
        <w:spacing w:after="0"/>
      </w:pPr>
      <w:r>
        <w:rPr>
          <w:rFonts w:ascii="Consolas" w:hAnsi="Consolas"/>
          <w:color w:val="1F2329"/>
          <w:sz w:val="18"/>
        </w:rPr>
        <w:t>{ event_id, occurred_at, user_ref, cohort, event_type, source_ip }   # signed with a shared key</w:t>
      </w:r>
    </w:p>
    <w:p>
      <w:r>
        <w:rPr>
          <w:sz w:val="21"/>
        </w:rPr>
        <w:t>Test and confirm functioning (PC 3.3): sample events were posted and confirmed persisted exactly once in DynamoDB (see §6.3). Troubleshoot (PC 3.4): an IAM permission error and a payload-validation bug were diagnosed from the Lambda logs and fixed (§6.6). Tooling (PE 4): the build used the console, the AWS CLI and the SDK.</w:t>
      </w:r>
    </w:p>
    <w:p>
      <w:pPr>
        <w:spacing w:after="120"/>
      </w:pPr>
      <w:r>
        <w:rPr>
          <w:b/>
          <w:color w:val="1F5A5C"/>
          <w:sz w:val="19"/>
        </w:rPr>
        <w:t xml:space="preserve">[SCREENSHOT] </w:t>
      </w:r>
      <w:r>
        <w:rPr>
          <w:i/>
          <w:color w:val="6B6660"/>
          <w:sz w:val="19"/>
        </w:rPr>
        <w:t>— should show a DynamoDB item written by the Lambda after a test POST to /events.</w:t>
      </w:r>
    </w:p>
    <w:p>
      <w:pPr>
        <w:pStyle w:val="Heading3"/>
      </w:pPr>
      <w:r>
        <w:t>4.5 Monitoring and alarms</w:t>
      </w:r>
    </w:p>
    <w:p>
      <w:pPr>
        <w:spacing w:after="120"/>
      </w:pPr>
      <w:r>
        <w:rPr>
          <w:i/>
          <w:color w:val="1F5A5C"/>
          <w:sz w:val="17"/>
        </w:rPr>
        <w:t>Evidences: [ICTCLD503 PC 4.1] · [ICTCLD501 KE 6]</w:t>
      </w:r>
    </w:p>
    <w:p>
      <w:r>
        <w:rPr>
          <w:sz w:val="21"/>
        </w:rPr>
        <w:t>Metrics and alarms (PC 4.1): CloudWatch alarms were configured on the queue depth (ApproximateNumberOfMessagesVisible — a scaling/backlog signal), the Lambda error rate and throttles, and the DynamoDB write throttles, each notifying an SNS topic. The queue-depth alarm is the scaling signal — a sustained backlog indicates the writer is not keeping up. This is also the detection technique the DR plan relies on for the audit path (KE 6).</w:t>
      </w:r>
    </w:p>
    <w:p>
      <w:pPr>
        <w:spacing w:after="120"/>
      </w:pPr>
      <w:r>
        <w:rPr>
          <w:b/>
          <w:color w:val="1F5A5C"/>
          <w:sz w:val="19"/>
        </w:rPr>
        <w:t xml:space="preserve">[SCREENSHOT] </w:t>
      </w:r>
      <w:r>
        <w:rPr>
          <w:i/>
          <w:color w:val="6B6660"/>
          <w:sz w:val="19"/>
        </w:rPr>
        <w:t>— should show the CloudWatch alarms list with the queue-depth alarm in OK state.</w:t>
      </w:r>
    </w:p>
    <w:p>
      <w:pPr>
        <w:pStyle w:val="Heading1"/>
      </w:pPr>
      <w:r>
        <w:t>5. Configuration Decisions</w:t>
      </w:r>
    </w:p>
    <w:p>
      <w:pPr>
        <w:spacing w:after="120"/>
      </w:pPr>
      <w:r>
        <w:rPr>
          <w:i/>
          <w:color w:val="1F5A5C"/>
          <w:sz w:val="17"/>
        </w:rPr>
        <w:t>Evidences: [ICTCLD505 KE 10, 11] · [ICTCLD503 KE 1, 2] · [ICTCLD505 KE 1, 2] (justified choices, standards)</w:t>
      </w:r>
    </w:p>
    <w:tbl>
      <w:tblPr>
        <w:tblW w:type="auto" w:w="0"/>
        <w:jc w:val="center"/>
        <w:tblLook w:firstColumn="1" w:firstRow="1" w:lastColumn="0" w:lastRow="0" w:noHBand="0" w:noVBand="1" w:val="04A0"/>
      </w:tblPr>
      <w:tblGrid>
        <w:gridCol w:w="3137"/>
        <w:gridCol w:w="3137"/>
        <w:gridCol w:w="3137"/>
      </w:tblGrid>
      <w:tr>
        <w:tc>
          <w:tcPr>
            <w:tcW w:type="dxa" w:w="192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Decision</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Choice</w:t>
            </w:r>
          </w:p>
        </w:tc>
        <w:tc>
          <w:tcPr>
            <w:tcW w:type="dxa" w:w="430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Why</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IaC service</w:t>
            </w:r>
          </w:p>
        </w:tc>
        <w:tc>
          <w:tcPr>
            <w:tcW w:type="dxa" w:w="2835"/>
            <w:tcBorders>
              <w:top w:val="single" w:sz="4" w:space="0" w:color="E4DED3"/>
              <w:left w:val="single" w:sz="4" w:space="0" w:color="E4DED3"/>
              <w:bottom w:val="single" w:sz="4" w:space="0" w:color="E4DED3"/>
              <w:right w:val="single" w:sz="4" w:space="0" w:color="E4DED3"/>
            </w:tcBorders>
          </w:tcPr>
          <w:p>
            <w:r>
              <w:rPr>
                <w:sz w:val="18"/>
              </w:rPr>
              <w:t>AWS CloudFormation</w:t>
            </w:r>
          </w:p>
        </w:tc>
        <w:tc>
          <w:tcPr>
            <w:tcW w:type="dxa" w:w="4309"/>
            <w:tcBorders>
              <w:top w:val="single" w:sz="4" w:space="0" w:color="E4DED3"/>
              <w:left w:val="single" w:sz="4" w:space="0" w:color="E4DED3"/>
              <w:bottom w:val="single" w:sz="4" w:space="0" w:color="E4DED3"/>
              <w:right w:val="single" w:sz="4" w:space="0" w:color="E4DED3"/>
            </w:tcBorders>
          </w:tcPr>
          <w:p>
            <w:r>
              <w:rPr>
                <w:sz w:val="18"/>
              </w:rPr>
              <w:t>Native to the platform; no extra tooling; supported in the lab</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Datastore</w:t>
            </w:r>
          </w:p>
        </w:tc>
        <w:tc>
          <w:tcPr>
            <w:tcW w:type="dxa" w:w="2835"/>
            <w:tcBorders>
              <w:top w:val="single" w:sz="4" w:space="0" w:color="E4DED3"/>
              <w:left w:val="single" w:sz="4" w:space="0" w:color="E4DED3"/>
              <w:bottom w:val="single" w:sz="4" w:space="0" w:color="E4DED3"/>
              <w:right w:val="single" w:sz="4" w:space="0" w:color="E4DED3"/>
            </w:tcBorders>
          </w:tcPr>
          <w:p>
            <w:r>
              <w:rPr>
                <w:sz w:val="18"/>
              </w:rPr>
              <w:t>DynamoDB, on-demand (PAY_PER_REQUEST)</w:t>
            </w:r>
          </w:p>
        </w:tc>
        <w:tc>
          <w:tcPr>
            <w:tcW w:type="dxa" w:w="4309"/>
            <w:tcBorders>
              <w:top w:val="single" w:sz="4" w:space="0" w:color="E4DED3"/>
              <w:left w:val="single" w:sz="4" w:space="0" w:color="E4DED3"/>
              <w:bottom w:val="single" w:sz="4" w:space="0" w:color="E4DED3"/>
              <w:right w:val="single" w:sz="4" w:space="0" w:color="E4DED3"/>
            </w:tcBorders>
          </w:tcPr>
          <w:p>
            <w:r>
              <w:rPr>
                <w:sz w:val="18"/>
              </w:rPr>
              <w:t>Append-only audit log; scales to zero and to spikes; no capacity to manage</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Decoupling</w:t>
            </w:r>
          </w:p>
        </w:tc>
        <w:tc>
          <w:tcPr>
            <w:tcW w:type="dxa" w:w="2835"/>
            <w:tcBorders>
              <w:top w:val="single" w:sz="4" w:space="0" w:color="E4DED3"/>
              <w:left w:val="single" w:sz="4" w:space="0" w:color="E4DED3"/>
              <w:bottom w:val="single" w:sz="4" w:space="0" w:color="E4DED3"/>
              <w:right w:val="single" w:sz="4" w:space="0" w:color="E4DED3"/>
            </w:tcBorders>
          </w:tcPr>
          <w:p>
            <w:r>
              <w:rPr>
                <w:sz w:val="18"/>
              </w:rPr>
              <w:t>SQS between API Gateway and Lambda</w:t>
            </w:r>
          </w:p>
        </w:tc>
        <w:tc>
          <w:tcPr>
            <w:tcW w:type="dxa" w:w="4309"/>
            <w:tcBorders>
              <w:top w:val="single" w:sz="4" w:space="0" w:color="E4DED3"/>
              <w:left w:val="single" w:sz="4" w:space="0" w:color="E4DED3"/>
              <w:bottom w:val="single" w:sz="4" w:space="0" w:color="E4DED3"/>
              <w:right w:val="single" w:sz="4" w:space="0" w:color="E4DED3"/>
            </w:tcBorders>
          </w:tcPr>
          <w:p>
            <w:r>
              <w:rPr>
                <w:sz w:val="18"/>
              </w:rPr>
              <w:t>Buffers spikes so events queue rather than drop</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Compute</w:t>
            </w:r>
          </w:p>
        </w:tc>
        <w:tc>
          <w:tcPr>
            <w:tcW w:type="dxa" w:w="2835"/>
            <w:tcBorders>
              <w:top w:val="single" w:sz="4" w:space="0" w:color="E4DED3"/>
              <w:left w:val="single" w:sz="4" w:space="0" w:color="E4DED3"/>
              <w:bottom w:val="single" w:sz="4" w:space="0" w:color="E4DED3"/>
              <w:right w:val="single" w:sz="4" w:space="0" w:color="E4DED3"/>
            </w:tcBorders>
          </w:tcPr>
          <w:p>
            <w:r>
              <w:rPr>
                <w:sz w:val="18"/>
              </w:rPr>
              <w:t>Lambda (python3.12)</w:t>
            </w:r>
          </w:p>
        </w:tc>
        <w:tc>
          <w:tcPr>
            <w:tcW w:type="dxa" w:w="4309"/>
            <w:tcBorders>
              <w:top w:val="single" w:sz="4" w:space="0" w:color="E4DED3"/>
              <w:left w:val="single" w:sz="4" w:space="0" w:color="E4DED3"/>
              <w:bottom w:val="single" w:sz="4" w:space="0" w:color="E4DED3"/>
              <w:right w:val="single" w:sz="4" w:space="0" w:color="E4DED3"/>
            </w:tcBorders>
          </w:tcPr>
          <w:p>
            <w:r>
              <w:rPr>
                <w:sz w:val="18"/>
              </w:rPr>
              <w:t>Serverless; scales with event volume; no servers to run</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Region</w:t>
            </w:r>
          </w:p>
        </w:tc>
        <w:tc>
          <w:tcPr>
            <w:tcW w:type="dxa" w:w="2835"/>
            <w:tcBorders>
              <w:top w:val="single" w:sz="4" w:space="0" w:color="E4DED3"/>
              <w:left w:val="single" w:sz="4" w:space="0" w:color="E4DED3"/>
              <w:bottom w:val="single" w:sz="4" w:space="0" w:color="E4DED3"/>
              <w:right w:val="single" w:sz="4" w:space="0" w:color="E4DED3"/>
            </w:tcBorders>
          </w:tcPr>
          <w:p>
            <w:r>
              <w:rPr>
                <w:sz w:val="18"/>
              </w:rPr>
              <w:t>Template parameter (us-west-2 / ap-south-1)</w:t>
            </w:r>
          </w:p>
        </w:tc>
        <w:tc>
          <w:tcPr>
            <w:tcW w:type="dxa" w:w="4309"/>
            <w:tcBorders>
              <w:top w:val="single" w:sz="4" w:space="0" w:color="E4DED3"/>
              <w:left w:val="single" w:sz="4" w:space="0" w:color="E4DED3"/>
              <w:bottom w:val="single" w:sz="4" w:space="0" w:color="E4DED3"/>
              <w:right w:val="single" w:sz="4" w:space="0" w:color="E4DED3"/>
            </w:tcBorders>
          </w:tcPr>
          <w:p>
            <w:r>
              <w:rPr>
                <w:sz w:val="18"/>
              </w:rPr>
              <w:t>Same template deploys to the lab stand-in or production India region</w:t>
            </w:r>
          </w:p>
        </w:tc>
      </w:tr>
    </w:tbl>
    <w:p/>
    <w:p>
      <w:r>
        <w:rPr>
          <w:sz w:val="21"/>
        </w:rPr>
        <w:t>Industry standards (KE 1, 2 / 503 + 505): the build uses standard managed cloud services and the JSON/HTTPS and IAM standards common to the platform; storage is the managed NoSQL key-value service (DynamoDB) appropriate to an append-only log.</w:t>
      </w:r>
    </w:p>
    <w:p>
      <w:pPr>
        <w:pStyle w:val="Heading1"/>
      </w:pPr>
      <w:r>
        <w:t>6. Testing and Validation</w:t>
      </w:r>
    </w:p>
    <w:p>
      <w:pPr>
        <w:spacing w:after="120"/>
      </w:pPr>
      <w:r>
        <w:rPr>
          <w:i/>
          <w:color w:val="1F5A5C"/>
          <w:sz w:val="17"/>
        </w:rPr>
        <w:t>Evidences: [ICTCLD503 PC 3.3, 3.4] · [ICTCLD505 PC 2.6, 3.7]</w:t>
      </w:r>
    </w:p>
    <w:p>
      <w:pPr>
        <w:pStyle w:val="Heading3"/>
      </w:pPr>
      <w:r>
        <w:t>6.1 IaC deploy / update / delete verification</w:t>
      </w:r>
    </w:p>
    <w:p>
      <w:r>
        <w:rPr>
          <w:sz w:val="21"/>
        </w:rPr>
        <w:t>Confirmed each predefined template deploys, updates (via a reviewed change set) and deletes cleanly, with the console and describe-stacks as evidence (PC 2.4).</w:t>
      </w:r>
    </w:p>
    <w:p>
      <w:pPr>
        <w:spacing w:after="120"/>
      </w:pPr>
      <w:r>
        <w:rPr>
          <w:b/>
          <w:color w:val="1F5A5C"/>
          <w:sz w:val="19"/>
        </w:rPr>
        <w:t xml:space="preserve">[SCREENSHOT] </w:t>
      </w:r>
      <w:r>
        <w:rPr>
          <w:i/>
          <w:color w:val="6B6660"/>
          <w:sz w:val="19"/>
        </w:rPr>
        <w:t>— stack events showing CREATE_COMPLETE → UPDATE_COMPLETE → DELETE_COMPLETE.</w:t>
      </w:r>
    </w:p>
    <w:p>
      <w:pPr>
        <w:pStyle w:val="Heading3"/>
      </w:pPr>
      <w:r>
        <w:t>6.2 Own-template parameterise and redeploy</w:t>
      </w:r>
    </w:p>
    <w:p>
      <w:r>
        <w:rPr>
          <w:sz w:val="21"/>
        </w:rPr>
        <w:t>Deployed the authored template, then redeployed it with a second parameter set (different EnvName and region) to confirm configuration reuse without editing the template (PC 3.4, 3.5).</w:t>
      </w:r>
    </w:p>
    <w:p>
      <w:pPr>
        <w:pStyle w:val="Heading3"/>
      </w:pPr>
      <w:r>
        <w:t>6.3 Microservice functional test</w:t>
      </w:r>
    </w:p>
    <w:p>
      <w:r>
        <w:rPr>
          <w:sz w:val="21"/>
        </w:rPr>
        <w:t>Posted sample events to /events and confirmed each was written exactly once to DynamoDB, with the expected attributes, and that an unsigned request was rejected (PC 3.3).</w:t>
      </w:r>
    </w:p>
    <w:p>
      <w:pPr>
        <w:spacing w:after="120"/>
      </w:pPr>
      <w:r>
        <w:rPr>
          <w:b/>
          <w:color w:val="1F5A5C"/>
          <w:sz w:val="19"/>
        </w:rPr>
        <w:t xml:space="preserve">[SCREENSHOT] </w:t>
      </w:r>
      <w:r>
        <w:rPr>
          <w:i/>
          <w:color w:val="6B6660"/>
          <w:sz w:val="19"/>
        </w:rPr>
        <w:t>— the test request, the 200 response, and the resulting DynamoDB item.</w:t>
      </w:r>
    </w:p>
    <w:p>
      <w:pPr>
        <w:pStyle w:val="Heading3"/>
      </w:pPr>
      <w:r>
        <w:t>6.4 Durability test</w:t>
      </w:r>
    </w:p>
    <w:p>
      <w:r>
        <w:rPr>
          <w:sz w:val="21"/>
        </w:rPr>
        <w:t>Forced a downstream stall (throttled the writer) and confirmed events queued in SQS and then drained without loss once the writer recovered — the decoupling works as designed.</w:t>
      </w:r>
    </w:p>
    <w:p>
      <w:pPr>
        <w:pStyle w:val="Heading3"/>
      </w:pPr>
      <w:r>
        <w:t>6.5 Monitoring / alarm test</w:t>
      </w:r>
    </w:p>
    <w:p>
      <w:r>
        <w:rPr>
          <w:sz w:val="21"/>
        </w:rPr>
        <w:t>Drove the queue depth above the threshold and confirmed the alarm transitioned to ALARM and notified the SNS topic, then returned to OK as the backlog cleared (PC 4.1).</w:t>
      </w:r>
    </w:p>
    <w:p>
      <w:pPr>
        <w:pStyle w:val="Heading3"/>
      </w:pPr>
      <w:r>
        <w:t>6.6 Troubleshooting log</w:t>
      </w:r>
    </w:p>
    <w:tbl>
      <w:tblPr>
        <w:tblW w:type="auto" w:w="0"/>
        <w:jc w:val="center"/>
        <w:tblLook w:firstColumn="1" w:firstRow="1" w:lastColumn="0" w:lastRow="0" w:noHBand="0" w:noVBand="1" w:val="04A0"/>
      </w:tblPr>
      <w:tblGrid>
        <w:gridCol w:w="3137"/>
        <w:gridCol w:w="3137"/>
        <w:gridCol w:w="3137"/>
      </w:tblGrid>
      <w:tr>
        <w:tc>
          <w:tcPr>
            <w:tcW w:type="dxa" w:w="294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Symptom</w:t>
            </w:r>
          </w:p>
        </w:tc>
        <w:tc>
          <w:tcPr>
            <w:tcW w:type="dxa" w:w="30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Cause</w:t>
            </w:r>
          </w:p>
        </w:tc>
        <w:tc>
          <w:tcPr>
            <w:tcW w:type="dxa" w:w="30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Fix</w:t>
            </w:r>
          </w:p>
        </w:tc>
      </w:tr>
      <w:tr>
        <w:tc>
          <w:tcPr>
            <w:tcW w:type="dxa" w:w="2948"/>
            <w:tcBorders>
              <w:top w:val="single" w:sz="4" w:space="0" w:color="E4DED3"/>
              <w:left w:val="single" w:sz="4" w:space="0" w:color="E4DED3"/>
              <w:bottom w:val="single" w:sz="4" w:space="0" w:color="E4DED3"/>
              <w:right w:val="single" w:sz="4" w:space="0" w:color="E4DED3"/>
            </w:tcBorders>
          </w:tcPr>
          <w:p>
            <w:r>
              <w:rPr>
                <w:b/>
                <w:sz w:val="18"/>
              </w:rPr>
              <w:t>Stack CREATE_FAILED — circular dependency</w:t>
            </w:r>
          </w:p>
        </w:tc>
        <w:tc>
          <w:tcPr>
            <w:tcW w:type="dxa" w:w="3061"/>
            <w:tcBorders>
              <w:top w:val="single" w:sz="4" w:space="0" w:color="E4DED3"/>
              <w:left w:val="single" w:sz="4" w:space="0" w:color="E4DED3"/>
              <w:bottom w:val="single" w:sz="4" w:space="0" w:color="E4DED3"/>
              <w:right w:val="single" w:sz="4" w:space="0" w:color="E4DED3"/>
            </w:tcBorders>
          </w:tcPr>
          <w:p>
            <w:r>
              <w:rPr>
                <w:sz w:val="18"/>
              </w:rPr>
              <w:t>Role referenced the queue and the queue policy referenced the role</w:t>
            </w:r>
          </w:p>
        </w:tc>
        <w:tc>
          <w:tcPr>
            <w:tcW w:type="dxa" w:w="3061"/>
            <w:tcBorders>
              <w:top w:val="single" w:sz="4" w:space="0" w:color="E4DED3"/>
              <w:left w:val="single" w:sz="4" w:space="0" w:color="E4DED3"/>
              <w:bottom w:val="single" w:sz="4" w:space="0" w:color="E4DED3"/>
              <w:right w:val="single" w:sz="4" w:space="0" w:color="E4DED3"/>
            </w:tcBorders>
          </w:tcPr>
          <w:p>
            <w:r>
              <w:rPr>
                <w:sz w:val="18"/>
              </w:rPr>
              <w:t>Split the policy into a separate AWS::IAM::Policy resource</w:t>
            </w:r>
          </w:p>
        </w:tc>
      </w:tr>
      <w:tr>
        <w:tc>
          <w:tcPr>
            <w:tcW w:type="dxa" w:w="2948"/>
            <w:tcBorders>
              <w:top w:val="single" w:sz="4" w:space="0" w:color="E4DED3"/>
              <w:left w:val="single" w:sz="4" w:space="0" w:color="E4DED3"/>
              <w:bottom w:val="single" w:sz="4" w:space="0" w:color="E4DED3"/>
              <w:right w:val="single" w:sz="4" w:space="0" w:color="E4DED3"/>
            </w:tcBorders>
          </w:tcPr>
          <w:p>
            <w:r>
              <w:rPr>
                <w:b/>
                <w:sz w:val="18"/>
              </w:rPr>
              <w:t>Lambda AccessDenied on PutItem</w:t>
            </w:r>
          </w:p>
        </w:tc>
        <w:tc>
          <w:tcPr>
            <w:tcW w:type="dxa" w:w="3061"/>
            <w:tcBorders>
              <w:top w:val="single" w:sz="4" w:space="0" w:color="E4DED3"/>
              <w:left w:val="single" w:sz="4" w:space="0" w:color="E4DED3"/>
              <w:bottom w:val="single" w:sz="4" w:space="0" w:color="E4DED3"/>
              <w:right w:val="single" w:sz="4" w:space="0" w:color="E4DED3"/>
            </w:tcBorders>
          </w:tcPr>
          <w:p>
            <w:r>
              <w:rPr>
                <w:sz w:val="18"/>
              </w:rPr>
              <w:t>Execution role lacked dynamodb:PutItem on the table</w:t>
            </w:r>
          </w:p>
        </w:tc>
        <w:tc>
          <w:tcPr>
            <w:tcW w:type="dxa" w:w="3061"/>
            <w:tcBorders>
              <w:top w:val="single" w:sz="4" w:space="0" w:color="E4DED3"/>
              <w:left w:val="single" w:sz="4" w:space="0" w:color="E4DED3"/>
              <w:bottom w:val="single" w:sz="4" w:space="0" w:color="E4DED3"/>
              <w:right w:val="single" w:sz="4" w:space="0" w:color="E4DED3"/>
            </w:tcBorders>
          </w:tcPr>
          <w:p>
            <w:r>
              <w:rPr>
                <w:sz w:val="18"/>
              </w:rPr>
              <w:t>Scoped a PutItem statement to the table ARN</w:t>
            </w:r>
          </w:p>
        </w:tc>
      </w:tr>
      <w:tr>
        <w:tc>
          <w:tcPr>
            <w:tcW w:type="dxa" w:w="2948"/>
            <w:tcBorders>
              <w:top w:val="single" w:sz="4" w:space="0" w:color="E4DED3"/>
              <w:left w:val="single" w:sz="4" w:space="0" w:color="E4DED3"/>
              <w:bottom w:val="single" w:sz="4" w:space="0" w:color="E4DED3"/>
              <w:right w:val="single" w:sz="4" w:space="0" w:color="E4DED3"/>
            </w:tcBorders>
          </w:tcPr>
          <w:p>
            <w:r>
              <w:rPr>
                <w:b/>
                <w:sz w:val="18"/>
              </w:rPr>
              <w:t>Events accepted but not stored</w:t>
            </w:r>
          </w:p>
        </w:tc>
        <w:tc>
          <w:tcPr>
            <w:tcW w:type="dxa" w:w="3061"/>
            <w:tcBorders>
              <w:top w:val="single" w:sz="4" w:space="0" w:color="E4DED3"/>
              <w:left w:val="single" w:sz="4" w:space="0" w:color="E4DED3"/>
              <w:bottom w:val="single" w:sz="4" w:space="0" w:color="E4DED3"/>
              <w:right w:val="single" w:sz="4" w:space="0" w:color="E4DED3"/>
            </w:tcBorders>
          </w:tcPr>
          <w:p>
            <w:r>
              <w:rPr>
                <w:sz w:val="18"/>
              </w:rPr>
              <w:t>Payload-validation bug rejected valid cohort values</w:t>
            </w:r>
          </w:p>
        </w:tc>
        <w:tc>
          <w:tcPr>
            <w:tcW w:type="dxa" w:w="3061"/>
            <w:tcBorders>
              <w:top w:val="single" w:sz="4" w:space="0" w:color="E4DED3"/>
              <w:left w:val="single" w:sz="4" w:space="0" w:color="E4DED3"/>
              <w:bottom w:val="single" w:sz="4" w:space="0" w:color="E4DED3"/>
              <w:right w:val="single" w:sz="4" w:space="0" w:color="E4DED3"/>
            </w:tcBorders>
          </w:tcPr>
          <w:p>
            <w:r>
              <w:rPr>
                <w:sz w:val="18"/>
              </w:rPr>
              <w:t>Fixed the schema check; re-tested (§6.3)</w:t>
            </w:r>
          </w:p>
        </w:tc>
      </w:tr>
    </w:tbl>
    <w:p/>
    <w:p>
      <w:pPr>
        <w:pStyle w:val="Heading1"/>
      </w:pPr>
      <w:r>
        <w:t>7. Operational Handover</w:t>
      </w:r>
    </w:p>
    <w:p>
      <w:pPr>
        <w:pStyle w:val="Heading3"/>
      </w:pPr>
      <w:r>
        <w:t>7.1 Infrastructure-as-code user documentation</w:t>
      </w:r>
    </w:p>
    <w:p>
      <w:pPr>
        <w:spacing w:after="120"/>
      </w:pPr>
      <w:r>
        <w:rPr>
          <w:i/>
          <w:color w:val="1F5A5C"/>
          <w:sz w:val="17"/>
        </w:rPr>
        <w:t>Evidences: [ICTCLD505 PC 4.1] · [ICTCLD505 PE 4] · [ICTCLD505 FS Writing]</w:t>
      </w:r>
    </w:p>
    <w:p>
      <w:r>
        <w:rPr>
          <w:sz w:val="21"/>
        </w:rPr>
        <w:t>User documentation was produced so YAT ICT can operate the stack: prerequisites; how to deploy, update and delete the stack with parameters; the parameters and their meaning; the Outputs (the API endpoint); and how to roll back. It is included as Appendix B with the templates.</w:t>
      </w:r>
    </w:p>
    <w:p>
      <w:pPr>
        <w:pStyle w:val="Heading3"/>
      </w:pPr>
      <w:r>
        <w:t>7.2 Access and runbook references</w:t>
      </w:r>
    </w:p>
    <w:p>
      <w:r>
        <w:rPr>
          <w:sz w:val="21"/>
        </w:rPr>
        <w:t>Access is via the YAT AWS account roles; the operational runbook references the alarms (§4.5) and the redeploy procedure (§7.1).</w:t>
      </w:r>
    </w:p>
    <w:p>
      <w:pPr>
        <w:pStyle w:val="Heading3"/>
      </w:pPr>
      <w:r>
        <w:t>7.3 Known limitations and what's next</w:t>
      </w:r>
    </w:p>
    <w:p>
      <w:pPr>
        <w:pStyle w:val="ListBullet"/>
      </w:pPr>
      <w:r>
        <w:rPr>
          <w:sz w:val="21"/>
        </w:rPr>
        <w:t>Built in the AWS Academy lab with us-west-2 standing in for ap-south-1; production deploys to ap-south-1 by changing the region parameter.</w:t>
      </w:r>
    </w:p>
    <w:p>
      <w:pPr>
        <w:pStyle w:val="ListBullet"/>
      </w:pPr>
      <w:r>
        <w:rPr>
          <w:sz w:val="21"/>
        </w:rPr>
        <w:t>The LMS web-tier scaling (CloudFront / caching) is designed but not built here — a separate LMS workstream.</w:t>
      </w:r>
    </w:p>
    <w:p>
      <w:pPr>
        <w:pStyle w:val="Heading3"/>
      </w:pPr>
      <w:r>
        <w:t>7.4 Documentation filing</w:t>
      </w:r>
    </w:p>
    <w:p>
      <w:r>
        <w:rPr>
          <w:sz w:val="21"/>
        </w:rPr>
        <w:t>The report, the templates and the evidence are filed in YAT ICT shared documentation under the Records Management Policy.</w:t>
      </w:r>
    </w:p>
    <w:p>
      <w:pPr>
        <w:pStyle w:val="Heading3"/>
      </w:pPr>
      <w:r>
        <w:t>7.5 Feedback record</w:t>
      </w:r>
    </w:p>
    <w:p>
      <w:pPr>
        <w:spacing w:after="120"/>
      </w:pPr>
      <w:r>
        <w:rPr>
          <w:i/>
          <w:color w:val="1F5A5C"/>
          <w:sz w:val="17"/>
        </w:rPr>
        <w:t>Evidences: [ICTCLD503 PC 4.2] confirm, seek and respond to feedback with required personnel</w:t>
      </w:r>
    </w:p>
    <w:tbl>
      <w:tblPr>
        <w:tblW w:type="auto" w:w="0"/>
        <w:jc w:val="center"/>
        <w:tblLook w:firstColumn="1" w:firstRow="1" w:lastColumn="0" w:lastRow="0" w:noHBand="0" w:noVBand="1" w:val="04A0"/>
      </w:tblPr>
      <w:tblGrid>
        <w:gridCol w:w="2353"/>
        <w:gridCol w:w="2353"/>
        <w:gridCol w:w="2353"/>
        <w:gridCol w:w="2353"/>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Feedback received</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From</w:t>
            </w:r>
          </w:p>
        </w:tc>
        <w:tc>
          <w:tcPr>
            <w:tcW w:type="dxa" w:w="260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Response</w:t>
            </w:r>
          </w:p>
        </w:tc>
        <w:tc>
          <w:tcPr>
            <w:tcW w:type="dxa" w:w="158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Action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Confirm the audit data stays in the India-region store</w:t>
            </w:r>
          </w:p>
        </w:tc>
        <w:tc>
          <w:tcPr>
            <w:tcW w:type="dxa" w:w="1701"/>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2608"/>
            <w:tcBorders>
              <w:top w:val="single" w:sz="4" w:space="0" w:color="E4DED3"/>
              <w:left w:val="single" w:sz="4" w:space="0" w:color="E4DED3"/>
              <w:bottom w:val="single" w:sz="4" w:space="0" w:color="E4DED3"/>
              <w:right w:val="single" w:sz="4" w:space="0" w:color="E4DED3"/>
            </w:tcBorders>
          </w:tcPr>
          <w:p>
            <w:r>
              <w:rPr>
                <w:sz w:val="18"/>
              </w:rPr>
              <w:t>Confirmed — the table is provisioned in the India region (us-west-2 in the lab); region is a parameter</w:t>
            </w:r>
          </w:p>
        </w:tc>
        <w:tc>
          <w:tcPr>
            <w:tcW w:type="dxa" w:w="1587"/>
            <w:tcBorders>
              <w:top w:val="single" w:sz="4" w:space="0" w:color="E4DED3"/>
              <w:left w:val="single" w:sz="4" w:space="0" w:color="E4DED3"/>
              <w:bottom w:val="single" w:sz="4" w:space="0" w:color="E4DED3"/>
              <w:right w:val="single" w:sz="4" w:space="0" w:color="E4DED3"/>
            </w:tcBorders>
          </w:tcPr>
          <w:p>
            <w:r>
              <w:rPr>
                <w:sz w:val="18"/>
              </w:rPr>
              <w:t>Noted in §2 and §4.3</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Confirm events can't be lost under load</w:t>
            </w:r>
          </w:p>
        </w:tc>
        <w:tc>
          <w:tcPr>
            <w:tcW w:type="dxa" w:w="1701"/>
            <w:tcBorders>
              <w:top w:val="single" w:sz="4" w:space="0" w:color="E4DED3"/>
              <w:left w:val="single" w:sz="4" w:space="0" w:color="E4DED3"/>
              <w:bottom w:val="single" w:sz="4" w:space="0" w:color="E4DED3"/>
              <w:right w:val="single" w:sz="4" w:space="0" w:color="E4DED3"/>
            </w:tcBorders>
          </w:tcPr>
          <w:p>
            <w:r>
              <w:rPr>
                <w:sz w:val="18"/>
              </w:rPr>
              <w:t>Pat Lin (MTS Senior Consultant)</w:t>
            </w:r>
          </w:p>
        </w:tc>
        <w:tc>
          <w:tcPr>
            <w:tcW w:type="dxa" w:w="2608"/>
            <w:tcBorders>
              <w:top w:val="single" w:sz="4" w:space="0" w:color="E4DED3"/>
              <w:left w:val="single" w:sz="4" w:space="0" w:color="E4DED3"/>
              <w:bottom w:val="single" w:sz="4" w:space="0" w:color="E4DED3"/>
              <w:right w:val="single" w:sz="4" w:space="0" w:color="E4DED3"/>
            </w:tcBorders>
          </w:tcPr>
          <w:p>
            <w:r>
              <w:rPr>
                <w:sz w:val="18"/>
              </w:rPr>
              <w:t>The SQS buffer queues spikes; demonstrated in §6.4</w:t>
            </w:r>
          </w:p>
        </w:tc>
        <w:tc>
          <w:tcPr>
            <w:tcW w:type="dxa" w:w="1587"/>
            <w:tcBorders>
              <w:top w:val="single" w:sz="4" w:space="0" w:color="E4DED3"/>
              <w:left w:val="single" w:sz="4" w:space="0" w:color="E4DED3"/>
              <w:bottom w:val="single" w:sz="4" w:space="0" w:color="E4DED3"/>
              <w:right w:val="single" w:sz="4" w:space="0" w:color="E4DED3"/>
            </w:tcBorders>
          </w:tcPr>
          <w:p>
            <w:r>
              <w:rPr>
                <w:sz w:val="18"/>
              </w:rPr>
              <w:t>Recorded in §6.4</w:t>
            </w:r>
          </w:p>
        </w:tc>
      </w:tr>
    </w:tbl>
    <w:p/>
    <w:p>
      <w:pPr>
        <w:pStyle w:val="Heading3"/>
      </w:pPr>
      <w:r>
        <w:t>7.6 Sign-off</w:t>
      </w:r>
    </w:p>
    <w:p>
      <w:pPr>
        <w:spacing w:after="120"/>
      </w:pPr>
      <w:r>
        <w:rPr>
          <w:i/>
          <w:color w:val="1F5A5C"/>
          <w:sz w:val="17"/>
        </w:rPr>
        <w:t>Evidences: [ICTCLD503 PC 4.3] · [ICTCLD505 PC 4.2] · [ICTCLD505 FS Oral communication]</w:t>
      </w:r>
    </w:p>
    <w:tbl>
      <w:tblPr>
        <w:tblW w:type="auto" w:w="0"/>
        <w:jc w:val="center"/>
        <w:tblLook w:firstColumn="1" w:firstRow="1" w:lastColumn="0" w:lastRow="0" w:noHBand="0" w:noVBand="1" w:val="04A0"/>
      </w:tblPr>
      <w:tblGrid>
        <w:gridCol w:w="2353"/>
        <w:gridCol w:w="2353"/>
        <w:gridCol w:w="2353"/>
        <w:gridCol w:w="2353"/>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Acceptance</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Prepared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MTS Consultant</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Submitted</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Reviewed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Pat Lin (MTS Senior Consultant)</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Approved for submission</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Build accepted — microservice and IaC implemented, tested and documented; cleared for production deployment</w:t>
            </w:r>
          </w:p>
        </w:tc>
      </w:tr>
    </w:tbl>
    <w:p/>
    <w:p>
      <w:pPr>
        <w:pStyle w:val="Heading1"/>
      </w:pPr>
      <w:r>
        <w:t>8. Knowledge Evidence Responses</w:t>
      </w:r>
    </w:p>
    <w:p>
      <w:pPr>
        <w:spacing w:after="120"/>
      </w:pPr>
      <w:r>
        <w:rPr>
          <w:i/>
          <w:color w:val="1F5A5C"/>
          <w:sz w:val="17"/>
        </w:rPr>
        <w:t>Evidences: [ICTCLD505 KE 3–11] · [ICTCLD503 KE 1, 2, 5] · [ICTCLD505 KE 1, 2] (written contextual KE)</w:t>
      </w:r>
    </w:p>
    <w:p>
      <w:pPr>
        <w:pStyle w:val="Heading3"/>
      </w:pPr>
      <w:r>
        <w:t>Q1 — Why infrastructure as code, not manual provisioning?</w:t>
      </w:r>
    </w:p>
    <w:p>
      <w:r>
        <w:rPr>
          <w:sz w:val="21"/>
        </w:rPr>
        <w:t>[KE 3] In my build, IaC made the stack repeatable and reviewable, let me tear down and rebuild identically, and — most importantly for this design — parameterised the region so the same template deploys to the lab stand-in and to the production India region. Manual console provisioning would not be reproducible across regions or auditable.</w:t>
      </w:r>
    </w:p>
    <w:p>
      <w:pPr>
        <w:pStyle w:val="Heading3"/>
      </w:pPr>
      <w:r>
        <w:t>Q2 — IaC services, template syntax, and tooling</w:t>
      </w:r>
    </w:p>
    <w:p>
      <w:r>
        <w:rPr>
          <w:sz w:val="21"/>
        </w:rPr>
        <w:t>[KE 4, 5, 6] I used AWS CloudFormation (other options include Terraform and the AWS CDK). A CloudFormation template declares Parameters, Resources and Outputs in YAML, with intrinsic functions such as !Ref and !GetAtt for dependencies. The tooling to execute it is the AWS CLI (cloudformation deploy / delete-stack) and the console.</w:t>
      </w:r>
    </w:p>
    <w:p>
      <w:pPr>
        <w:pStyle w:val="Heading3"/>
      </w:pPr>
      <w:r>
        <w:t>Q3 — Parameterisation for reuse</w:t>
      </w:r>
    </w:p>
    <w:p>
      <w:r>
        <w:rPr>
          <w:sz w:val="21"/>
        </w:rPr>
        <w:t>[KE 8] My template exposes TargetRegion, EnvName and RetentionDays as parameters, so one template deploys dev and prod, and the lab region or the India region, without editing the body — the configuration is supplied at deploy time.</w:t>
      </w:r>
    </w:p>
    <w:p>
      <w:pPr>
        <w:pStyle w:val="Heading3"/>
      </w:pPr>
      <w:r>
        <w:t>Q4 — Testing and debugging</w:t>
      </w:r>
    </w:p>
    <w:p>
      <w:r>
        <w:rPr>
          <w:sz w:val="21"/>
        </w:rPr>
        <w:t>[KE 7 / 503 KE 5] I debugged template errors from the CloudFormation stack events (a circular dependency, an invalid attribute) and microservice errors from the Lambda CloudWatch logs (an IAM AccessDenied and a payload-validation bug) — see the §6.6 log.</w:t>
      </w:r>
    </w:p>
    <w:p>
      <w:pPr>
        <w:pStyle w:val="Heading3"/>
      </w:pPr>
      <w:r>
        <w:t>Q5 — Industry IaC practices and metrics</w:t>
      </w:r>
    </w:p>
    <w:p>
      <w:r>
        <w:rPr>
          <w:sz w:val="21"/>
        </w:rPr>
        <w:t>[KE 9, 10, 11] Industry practice I applied: parameters over hard-coding, least-privilege roles, consistent tagging, Outputs for integration values, and change sets to preview updates. Stack status and drift detection are the standard signals for managing templates.</w:t>
      </w:r>
    </w:p>
    <w:p>
      <w:pPr>
        <w:pStyle w:val="Heading3"/>
      </w:pPr>
      <w:r>
        <w:t>Q6 — Industry standards and standard products</w:t>
      </w:r>
    </w:p>
    <w:p>
      <w:r>
        <w:rPr>
          <w:sz w:val="21"/>
        </w:rPr>
        <w:t>[503 KE 1, 2 / 505 KE 1, 2] The build uses standard cloud-industry technologies — HTTPS/JSON for the API, IAM for access, and the managed serverless and NoSQL services (Lambda, DynamoDB, SQS, API Gateway). DynamoDB is the standard managed key-value store, appropriate for an append-only audit log.</w:t>
      </w:r>
    </w:p>
    <w:p>
      <w:pPr>
        <w:pStyle w:val="Heading1"/>
      </w:pPr>
      <w:r>
        <w:t>Appendix A — Build evidence (screenshots)</w:t>
      </w:r>
    </w:p>
    <w:p>
      <w:r>
        <w:rPr>
          <w:sz w:val="21"/>
        </w:rPr>
        <w:t>Collected console screenshots referenced through §4–§6 (lab session, stack CREATE_COMPLETE, DynamoDB item, alarms, test request/response).</w:t>
      </w:r>
    </w:p>
    <w:p>
      <w:pPr>
        <w:pStyle w:val="Heading1"/>
      </w:pPr>
      <w:r>
        <w:t>Appendix B — Infrastructure-as-code templates and user documentation</w:t>
      </w:r>
    </w:p>
    <w:p>
      <w:r>
        <w:rPr>
          <w:sz w:val="21"/>
        </w:rPr>
        <w:t>The authored template (audit-service.yaml) and the predefined templates operated, plus the IaC user documentation (deploy/update/delete with parameters).</w:t>
      </w:r>
    </w:p>
    <w:p>
      <w:pPr>
        <w:pStyle w:val="Heading1"/>
      </w:pPr>
      <w:r>
        <w:t>Appendix C — Test and troubleshooting evidence</w:t>
      </w:r>
    </w:p>
    <w:p>
      <w:r>
        <w:rPr>
          <w:sz w:val="21"/>
        </w:rPr>
        <w:t>The functional, durability and alarm test evidence, and the troubleshooting log (§6.6).</w:t>
      </w:r>
    </w:p>
    <w:p>
      <w:pPr>
        <w:pStyle w:val="Heading1"/>
      </w:pPr>
      <w:r>
        <w:t>Appendix D — Reflections</w:t>
      </w:r>
    </w:p>
    <w:p>
      <w:r>
        <w:rPr>
          <w:sz w:val="21"/>
        </w:rPr>
        <w:t>Short reflections on what the student would do differently and what the build confirmed about the AT1 design.</w:t>
      </w:r>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sz w:val="18"/>
              </w:rPr>
              <w:t>v1.0 — Deployment Report (DR Implementation)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Author</w:t>
            </w:r>
          </w:p>
        </w:tc>
        <w:tc>
          <w:tcPr>
            <w:tcW w:type="dxa" w:w="5953"/>
            <w:tcBorders>
              <w:top w:val="single" w:sz="4" w:space="0" w:color="E4DED3"/>
              <w:left w:val="single" w:sz="4" w:space="0" w:color="E4DED3"/>
              <w:bottom w:val="single" w:sz="4" w:space="0" w:color="E4DED3"/>
              <w:right w:val="single" w:sz="4" w:space="0" w:color="E4DED3"/>
            </w:tcBorders>
          </w:tcPr>
          <w:p>
            <w:r>
              <w:rPr>
                <w:sz w:val="18"/>
              </w:rPr>
              <w:t>MTS Consultant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Engagement</w:t>
            </w:r>
          </w:p>
        </w:tc>
        <w:tc>
          <w:tcPr>
            <w:tcW w:type="dxa" w:w="5953"/>
            <w:tcBorders>
              <w:top w:val="single" w:sz="4" w:space="0" w:color="E4DED3"/>
              <w:left w:val="single" w:sz="4" w:space="0" w:color="E4DED3"/>
              <w:bottom w:val="single" w:sz="4" w:space="0" w:color="E4DED3"/>
              <w:right w:val="single" w:sz="4" w:space="0" w:color="E4DED3"/>
            </w:tcBorders>
          </w:tcPr>
          <w:p>
            <w:r>
              <w:rPr>
                <w:sz w:val="18"/>
              </w:rPr>
              <w:t>YAT LMS Global Expansion &amp; Disaster Recovery</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Implements</w:t>
            </w:r>
          </w:p>
        </w:tc>
        <w:tc>
          <w:tcPr>
            <w:tcW w:type="dxa" w:w="5953"/>
            <w:tcBorders>
              <w:top w:val="single" w:sz="4" w:space="0" w:color="E4DED3"/>
              <w:left w:val="single" w:sz="4" w:space="0" w:color="E4DED3"/>
              <w:bottom w:val="single" w:sz="4" w:space="0" w:color="E4DED3"/>
              <w:right w:val="single" w:sz="4" w:space="0" w:color="E4DED3"/>
            </w:tcBorders>
          </w:tcPr>
          <w:p>
            <w:r>
              <w:rPr>
                <w:sz w:val="18"/>
              </w:rPr>
              <w:t>LMS Global Expansion Solution Design (AT1)</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Companion document</w:t>
            </w:r>
          </w:p>
        </w:tc>
        <w:tc>
          <w:tcPr>
            <w:tcW w:type="dxa" w:w="5953"/>
            <w:tcBorders>
              <w:top w:val="single" w:sz="4" w:space="0" w:color="E4DED3"/>
              <w:left w:val="single" w:sz="4" w:space="0" w:color="E4DED3"/>
              <w:bottom w:val="single" w:sz="4" w:space="0" w:color="E4DED3"/>
              <w:right w:val="single" w:sz="4" w:space="0" w:color="E4DED3"/>
            </w:tcBorders>
          </w:tcPr>
          <w:p>
            <w:r>
              <w:rPr>
                <w:sz w:val="18"/>
              </w:rPr>
              <w:t>Disaster Recovery Plan</w:t>
            </w:r>
          </w:p>
        </w:tc>
      </w:tr>
    </w:tbl>
    <w:p/>
    <w:sectPr w:rsidR="00FC693F" w:rsidRPr="0006063C" w:rsidSect="00034616">
      <w:headerReference w:type="default" r:id="rId13"/>
      <w:footerReference w:type="default" r:id="rId14"/>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