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ICTCLD503 Implement web-scale cloud infrastructure</w:t>
            </w:r>
          </w:p>
          <w:p>
            <w:pPr/>
            <w:r>
              <w:t>ICTCLD505 Implement cloud infrastructure with code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Microservice &amp; IaC Implementation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2</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implementing the audit-log microservice from the YAT Website Global Expansion design approved at AT1. Working as an MP Tech Solutions (MTS) consultant in the AWS Academy lab, the student OPERATES a provided infrastructure-as-code template for the audit-log data store, AUTHORS and deploys their own infrastructure-as-code template for the microservice (using the supplied code) that writes to that store, configures monitoring, tests and troubleshoots the build, and documents it in a Deployment Report submitted to YAT ICT management for sign-off. This is the implementation phase of the engagement; the design and plan come from AT1.</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implements, in the AWS Academy lab, the audit-log microservice designed and approved in AT1, and documents it in a single Deployment Report. The build has four streams:</w:t>
            </w:r>
          </w:p>
          <w:p>
            <w:pPr>
              <w:pStyle w:val="Assessortext"/>
            </w:pPr>
            <w:r>
              <w:t>• Operate the provided data-store template - deploy, confirm, update and delete the supplied DynamoDB audit-store template, and troubleshoot it if it does not deploy as supplied (Appendix A).</w:t>
            </w:r>
          </w:p>
          <w:p>
            <w:pPr>
              <w:pStyle w:val="Assessortext"/>
            </w:pPr>
            <w:r>
              <w:t>• Author your own infrastructure-as-code template - write, parameterise, update and redeploy a template that provisions the microservice (API, queue and function), wired to the provided data store.</w:t>
            </w:r>
          </w:p>
          <w:p>
            <w:pPr>
              <w:pStyle w:val="Assessortext"/>
            </w:pPr>
            <w:r>
              <w:t>• Build the microservice - deploy and configure the serverless microservice from the supplied code and webhook contract (Appendix B), and confirm it writes a record to the data store.</w:t>
            </w:r>
          </w:p>
          <w:p>
            <w:pPr>
              <w:pStyle w:val="Assessortext"/>
            </w:pPr>
            <w:r>
              <w:t>• Monitor, document and hand over - configure a metric and alarm, test, produce the infrastructure-as-code user documentation, and obtain sign-off.</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YAT scenario site / intranet - the Website Global Expansion project, and the AT1 Solution Design and Disaster Recovery Plan (the approved design this build implements).</w:t>
            </w:r>
          </w:p>
          <w:p>
            <w:pPr>
              <w:pStyle w:val="Assessortext"/>
            </w:pPr>
            <w:r>
              <w:t>• The YAT Deployment Report template (intranet Templates section).</w:t>
            </w:r>
          </w:p>
          <w:p>
            <w:pPr>
              <w:pStyle w:val="Assessortext"/>
            </w:pPr>
            <w:r>
              <w:t>• The AWS Academy Learner Lab for the build (the deployment region is confirmed and advised before the assessment runs - see Conditions).</w:t>
            </w:r>
          </w:p>
          <w:p>
            <w:pPr>
              <w:pStyle w:val="Assessortext"/>
            </w:pPr>
            <w:r>
              <w:t>• The provided assessment artefacts (Appendices A and B): the data-store infrastructure-as-code template, the microservice code, and the webhook payload contract.</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Deployment Report</w:t>
            </w:r>
          </w:p>
        </w:tc>
        <w:tc>
          <w:tcPr>
            <w:tcW w:type="dxa" w:w="1943"/>
          </w:tcPr>
          <w:p>
            <w:r/>
          </w:p>
        </w:tc>
      </w:tr>
      <w:tr>
        <w:tc>
          <w:tcPr>
            <w:tcW w:type="dxa" w:w="8797"/>
          </w:tcPr>
          <w:p>
            <w:r>
              <w:t>D1 - Scope and context: the report states what was deployed, the lab / region setup, and what is in and out of scope (the microservice + its IaC; the web-tier scaling and DR are AT1, not built here).</w:t>
            </w:r>
          </w:p>
        </w:tc>
        <w:tc>
          <w:tcPr>
            <w:tcW w:type="dxa" w:w="1943"/>
          </w:tcPr>
          <w:p>
            <w:r>
              <w:t>Yes        No</w:t>
            </w:r>
          </w:p>
        </w:tc>
      </w:tr>
      <w:tr>
        <w:tc>
          <w:tcPr>
            <w:tcW w:type="dxa" w:w="8797"/>
          </w:tcPr>
          <w:p>
            <w:r>
              <w:t>D2 - Operate the provided data-store template: reviews it (resources and dependencies), deploys, confirms, updates and deletes the DynamoDB store from the provided template (Appendix A).</w:t>
            </w:r>
          </w:p>
        </w:tc>
        <w:tc>
          <w:tcPr>
            <w:tcW w:type="dxa" w:w="1943"/>
          </w:tcPr>
          <w:p>
            <w:r>
              <w:t>Yes        No</w:t>
            </w:r>
          </w:p>
        </w:tc>
      </w:tr>
      <w:tr>
        <w:tc>
          <w:tcPr>
            <w:tcW w:type="dxa" w:w="8797"/>
          </w:tcPr>
          <w:p>
            <w:r>
              <w:t>D3 - Author an IaC template: authors a parameterised template provisioning the microservice's resources (API, queue, function) wired to the provided store, then updates/redeploys and removes it.</w:t>
            </w:r>
          </w:p>
        </w:tc>
        <w:tc>
          <w:tcPr>
            <w:tcW w:type="dxa" w:w="1943"/>
          </w:tcPr>
          <w:p>
            <w:r>
              <w:t>Yes        No</w:t>
            </w:r>
          </w:p>
        </w:tc>
      </w:tr>
      <w:tr>
        <w:tc>
          <w:tcPr>
            <w:tcW w:type="dxa" w:w="8797"/>
          </w:tcPr>
          <w:p>
            <w:r>
              <w:t>D4 - Microservice build: deploys and configures the serverless microservice from the provided code (Appendix B), and confirms it writes a record to the data store.</w:t>
            </w:r>
          </w:p>
        </w:tc>
        <w:tc>
          <w:tcPr>
            <w:tcW w:type="dxa" w:w="1943"/>
          </w:tcPr>
          <w:p>
            <w:r>
              <w:t>Yes        No</w:t>
            </w:r>
          </w:p>
        </w:tc>
      </w:tr>
      <w:tr>
        <w:tc>
          <w:tcPr>
            <w:tcW w:type="dxa" w:w="8797"/>
          </w:tcPr>
          <w:p>
            <w:r>
              <w:t>D5 - Troubleshooting: diagnoses and fixes the fault in the provided data-store template (if it does not deploy as supplied) and any microservice errors, with a troubleshooting log.</w:t>
            </w:r>
          </w:p>
        </w:tc>
        <w:tc>
          <w:tcPr>
            <w:tcW w:type="dxa" w:w="1943"/>
          </w:tcPr>
          <w:p>
            <w:r>
              <w:t>Yes        No</w:t>
            </w:r>
          </w:p>
        </w:tc>
      </w:tr>
      <w:tr>
        <w:tc>
          <w:tcPr>
            <w:tcW w:type="dxa" w:w="8797"/>
          </w:tcPr>
          <w:p>
            <w:r>
              <w:t>D6 - Monitoring: configures a metric and alarm (e.g. queue depth, function errors, or a scaling alarm) with threshold and notification.</w:t>
            </w:r>
          </w:p>
        </w:tc>
        <w:tc>
          <w:tcPr>
            <w:tcW w:type="dxa" w:w="1943"/>
          </w:tcPr>
          <w:p>
            <w:r>
              <w:t>Yes        No</w:t>
            </w:r>
          </w:p>
        </w:tc>
      </w:tr>
      <w:tr>
        <w:tc>
          <w:tcPr>
            <w:tcW w:type="dxa" w:w="8797"/>
          </w:tcPr>
          <w:p>
            <w:r>
              <w:t>D7 - Tooling: uses the cloud console, CLI and/or SDK for the build.</w:t>
            </w:r>
          </w:p>
        </w:tc>
        <w:tc>
          <w:tcPr>
            <w:tcW w:type="dxa" w:w="1943"/>
          </w:tcPr>
          <w:p>
            <w:r>
              <w:t>Yes        No</w:t>
            </w:r>
          </w:p>
        </w:tc>
      </w:tr>
      <w:tr>
        <w:tc>
          <w:tcPr>
            <w:tcW w:type="dxa" w:w="8797"/>
          </w:tcPr>
          <w:p>
            <w:r>
              <w:t>D8 - Configuration decisions: states and justifies the implementation decisions (IaC service, datastore, decoupling, compute, environment parameterisation).</w:t>
            </w:r>
          </w:p>
        </w:tc>
        <w:tc>
          <w:tcPr>
            <w:tcW w:type="dxa" w:w="1943"/>
          </w:tcPr>
          <w:p>
            <w:r>
              <w:t>Yes        No</w:t>
            </w:r>
          </w:p>
        </w:tc>
      </w:tr>
      <w:tr>
        <w:tc>
          <w:tcPr>
            <w:tcW w:type="dxa" w:w="8797"/>
          </w:tcPr>
          <w:p>
            <w:r>
              <w:t>D9 - Testing and validation: documents the tests run - operate-template (deploy/update/delete), own-template parameterise/redeploy, microservice functional, and the alarm test.</w:t>
            </w:r>
          </w:p>
        </w:tc>
        <w:tc>
          <w:tcPr>
            <w:tcW w:type="dxa" w:w="1943"/>
          </w:tcPr>
          <w:p>
            <w:r>
              <w:t>Yes        No</w:t>
            </w:r>
          </w:p>
        </w:tc>
      </w:tr>
      <w:tr>
        <w:tc>
          <w:tcPr>
            <w:tcW w:type="dxa" w:w="8797"/>
          </w:tcPr>
          <w:p>
            <w:r>
              <w:t>D10 - IaC user documentation: produces user documentation for operating the stack (deploy/update/delete with parameters).</w:t>
            </w:r>
          </w:p>
        </w:tc>
        <w:tc>
          <w:tcPr>
            <w:tcW w:type="dxa" w:w="1943"/>
          </w:tcPr>
          <w:p>
            <w:r>
              <w:t>Yes        No</w:t>
            </w:r>
          </w:p>
        </w:tc>
      </w:tr>
      <w:tr>
        <w:tc>
          <w:tcPr>
            <w:tcW w:type="dxa" w:w="8797"/>
          </w:tcPr>
          <w:p>
            <w:r>
              <w:t>D11 - Feedback and sign-off: confirms/seeks/responds to feedback and obtains final sign-off from the required personnel.</w:t>
            </w:r>
          </w:p>
        </w:tc>
        <w:tc>
          <w:tcPr>
            <w:tcW w:type="dxa" w:w="1943"/>
          </w:tcPr>
          <w:p>
            <w:r>
              <w:t>Yes        No</w:t>
            </w:r>
          </w:p>
        </w:tc>
      </w:tr>
      <w:tr>
        <w:tc>
          <w:tcPr>
            <w:tcW w:type="dxa" w:w="8797"/>
          </w:tcPr>
          <w:p>
            <w:r>
              <w:t>D12 - Knowledge Evidence appendix: written contextual responses, in a Knowledge Evidence appendix, linking the build to the underlying IaC and microservice concepts and the shared cloud foundations.</w:t>
            </w:r>
          </w:p>
        </w:tc>
        <w:tc>
          <w:tcPr>
            <w:tcW w:type="dxa" w:w="1943"/>
          </w:tcPr>
          <w:p>
            <w:r>
              <w:t>Yes        No</w:t>
            </w:r>
          </w:p>
        </w:tc>
      </w:tr>
      <w:tr>
        <w:tc>
          <w:tcPr>
            <w:tcW w:type="dxa" w:w="8797"/>
          </w:tcPr>
          <w:p>
            <w:r>
              <w:t>D13 - Document quality: the Deployment Report uses the YAT template, plain professional English, and is complete with cross-referenced evidence appendices.</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This is the implementation phase of the YAT Website Global Expansion engagement. The design and disaster recovery plan were produced and approved in AT1; in AT2 you build the audit-log microservice from that design - operating a provided data-store template and authoring your own template for the service - in the AWS Academy lab, and document it in a Deployment Report.</w:t>
      </w:r>
    </w:p>
    <w:p>
      <w:pPr>
        <w:pStyle w:val="Assessortext"/>
      </w:pPr>
      <w:r>
        <w:t>You remain an MP Tech Solutions (MTS) consultant reporting to Pat Lin (MTS Senior Consultant), with Sam Walker (YAT ICT Manager) as the accepting authority for the build.</w:t>
      </w:r>
    </w:p>
    <w:p>
      <w:pPr>
        <w:pStyle w:val="Heading2"/>
      </w:pPr>
      <w:r>
        <w:t>The Deployment Report</w:t>
      </w:r>
    </w:p>
    <w:p>
      <w:pPr>
        <w:pStyle w:val="Assessortext"/>
      </w:pPr>
      <w:r>
        <w:t>Using the YAT Deployment Report template (download from the intranet's Templates section), document the build you perform in the lab. Your report must cover four streams:</w:t>
      </w:r>
    </w:p>
    <w:p>
      <w:pPr>
        <w:pStyle w:val="Assessortext"/>
      </w:pPr>
      <w:r>
        <w:t>• Operate the provided data-store template (Appendix A) - review it and deploy it (diagnosing and fixing it first if it does not deploy as supplied), update a setting and redeploy, then delete it.</w:t>
      </w:r>
    </w:p>
    <w:p>
      <w:pPr>
        <w:pStyle w:val="Assessortext"/>
      </w:pPr>
      <w:r>
        <w:t>• Author your own infrastructure-as-code template for the microservice - provision the API, queue and function, parameterise it (e.g. EnvName), wire it to the data-store table, then update/redeploy and remove it.</w:t>
      </w:r>
    </w:p>
    <w:p>
      <w:pPr>
        <w:pStyle w:val="Assessortext"/>
      </w:pPr>
      <w:r>
        <w:t>• Build the microservice (Appendix B) - deploy the supplied code behind the API and queue, and confirm a test event is written to the data-store table.</w:t>
      </w:r>
    </w:p>
    <w:p>
      <w:pPr>
        <w:pStyle w:val="Assessortext"/>
      </w:pPr>
      <w:r>
        <w:t>• Monitor, test, document and hand over - configure a metric and alarm, run and record your tests, produce the infrastructure-as-code user documentation, and obtain sign-off.</w:t>
      </w:r>
    </w:p>
    <w:p>
      <w:pPr>
        <w:pStyle w:val="Assessortext"/>
      </w:pPr>
      <w:r>
        <w:t>Lab environment: the AWS Academy Learner Lab (and the deployment region) will be advised before you start. The AT1 design places the store in India (ap-south-1) for residency; the deployment region is the deploy target (the --region flag), so the same template deploys to the lab region or production - parameterise environment-specific values (e.g. EnvName), not the region.</w:t>
      </w:r>
    </w:p>
    <w:p>
      <w:pPr>
        <w:pStyle w:val="Assessortext"/>
      </w:pPr>
      <w:r>
        <w:t>Knowledge Evidence (required). In a Knowledge Evidence appendix of your Deployment Report, answer the following questions in your own words, about your own build:</w:t>
      </w:r>
    </w:p>
    <w:p>
      <w:pPr>
        <w:pStyle w:val="Assessortext"/>
      </w:pPr>
      <w:r>
        <w:t>• Why did you use infrastructure as code rather than provisioning by hand?</w:t>
      </w:r>
    </w:p>
    <w:p>
      <w:pPr>
        <w:pStyle w:val="Assessortext"/>
      </w:pPr>
      <w:r>
        <w:t>• Which infrastructure-as-code service did you use, what are the main sections of one of your templates, and what tooling deploys it?</w:t>
      </w:r>
    </w:p>
    <w:p>
      <w:pPr>
        <w:pStyle w:val="Assessortext"/>
      </w:pPr>
      <w:r>
        <w:t>• How did you parameterise your template so it can be reused across environments, and how does it connect to the provided data store?</w:t>
      </w:r>
    </w:p>
    <w:p>
      <w:pPr>
        <w:pStyle w:val="Assessortext"/>
      </w:pPr>
      <w:r>
        <w:t>• How did you test and debug your work - both the templates and the microservice?</w:t>
      </w:r>
    </w:p>
    <w:p>
      <w:pPr>
        <w:pStyle w:val="Assessortext"/>
      </w:pPr>
      <w:r>
        <w:t>• Which industry infrastructure-as-code practices did you apply, and what signals or metrics are used to manage templates?</w:t>
      </w:r>
    </w:p>
    <w:p>
      <w:pPr>
        <w:pStyle w:val="Assessortext"/>
      </w:pPr>
      <w:r>
        <w:t>• Which industry standards and standard cloud products does your build rely on, and why is your data-store choice appropriate for an append-only audit log?</w:t>
      </w:r>
    </w:p>
    <w:p>
      <w:pPr>
        <w:pStyle w:val="Assessortext"/>
      </w:pPr>
      <w:r>
        <w:t>Attach your evidence - screenshots, the templates, and the test/troubleshooting evidence - in the appendices.</w:t>
      </w:r>
    </w:p>
    <w:p>
      <w:pPr>
        <w:pStyle w:val="Assessortext"/>
      </w:pPr>
      <w:r>
        <w:t>AT2 is submitted as the populated Deployment Report (.docx) with the templates and evidence appendices completed.</w:t>
      </w:r>
    </w:p>
    <w:p>
      <w:pPr>
        <w:pStyle w:val="Heading2"/>
      </w:pPr>
      <w:r>
        <w:t>Tips for success</w:t>
      </w:r>
    </w:p>
    <w:p>
      <w:pPr>
        <w:pStyle w:val="Assessortext"/>
      </w:pPr>
      <w:r>
        <w:t>Build what AT1 approved. Your report implements the microservice from the AT1 Solution Design - keep it consistent with that design.</w:t>
      </w:r>
    </w:p>
    <w:p>
      <w:pPr>
        <w:pStyle w:val="Assessortext"/>
      </w:pPr>
      <w:r>
        <w:t>Operate the provided template fully. The data-store template (Appendix A) is one you operate, not author - show the whole lifecycle: review, deploy, update, delete - and, if it does not deploy as supplied, the fix too.</w:t>
      </w:r>
    </w:p>
    <w:p>
      <w:pPr>
        <w:pStyle w:val="Assessortext"/>
      </w:pPr>
      <w:r>
        <w:t>Author your own template for the service. The microservice template is yours - parameterise it (e.g. EnvName) and reference the provided table, so it is clearly your own reusable work.</w:t>
      </w:r>
    </w:p>
    <w:p>
      <w:pPr>
        <w:pStyle w:val="Assessortext"/>
      </w:pPr>
      <w:r>
        <w:t>Capture evidence as you go. Screenshot each stack state, the data-store item written by a test event, the test request/response and the alarm - rather than reconstructing them afterwards.</w:t>
      </w:r>
    </w:p>
    <w:p>
      <w:pPr>
        <w:pStyle w:val="Assessortext"/>
      </w:pPr>
      <w:r>
        <w:t>Sign-off is part of the assessment. You cannot achieve Satisfactory without obtaining the manager's sign-off on the build.</w:t>
      </w:r>
    </w:p>
    <w:p>
      <w:pPr>
        <w:pStyle w:val="Heading1"/>
      </w:pPr>
      <w:r>
        <w:t>Appendix A - Provided data-store template</w:t>
      </w:r>
    </w:p>
    <w:p>
      <w:pPr>
        <w:pStyle w:val="Assessortext"/>
      </w:pPr>
      <w:r>
        <w:t>This infrastructure-as-code template is PROVIDED to you. You OPERATE it - you do not author it: review it to see what it creates and its dependencies, deploy it, update a parameter and redeploy, and delete it. It creates the DynamoDB table your microservice writes to.</w:t>
      </w:r>
    </w:p>
    <w:p>
      <w:pPr>
        <w:pStyle w:val="Assessortext"/>
      </w:pPr>
      <w:r>
        <w:t>Note: this template may contain a fault and fail to deploy as supplied. If it does, read the error, diagnose and fix the problem, then redeploy - and record the symptom, cause and fix in your troubleshooting log.</w:t>
      </w:r>
    </w:p>
    <w:p>
      <w:pPr>
        <w:pStyle w:val="Heading2"/>
      </w:pPr>
      <w:r>
        <w:t>datastore.yaml</w:t>
      </w:r>
    </w:p>
    <w:p>
      <w:pPr>
        <w:spacing w:after="0" w:before="0"/>
      </w:pPr>
      <w:r>
        <w:rPr>
          <w:rFonts w:ascii="Consolas" w:hAnsi="Consolas"/>
          <w:sz w:val="17"/>
        </w:rPr>
        <w:t>AWSTemplateFormatVersion: '2010-09-09'</w:t>
      </w:r>
    </w:p>
    <w:p>
      <w:pPr>
        <w:spacing w:after="0" w:before="0"/>
      </w:pPr>
      <w:r>
        <w:rPr>
          <w:rFonts w:ascii="Consolas" w:hAnsi="Consolas"/>
          <w:sz w:val="17"/>
        </w:rPr>
        <w:t xml:space="preserve"> </w:t>
      </w:r>
    </w:p>
    <w:p>
      <w:pPr>
        <w:spacing w:after="0" w:before="0"/>
      </w:pPr>
      <w:r>
        <w:rPr>
          <w:rFonts w:ascii="Consolas" w:hAnsi="Consolas"/>
          <w:sz w:val="17"/>
        </w:rPr>
        <w:t>Description: &gt;-</w:t>
      </w:r>
    </w:p>
    <w:p>
      <w:pPr>
        <w:spacing w:after="0" w:before="0"/>
      </w:pPr>
      <w:r>
        <w:rPr>
          <w:rFonts w:ascii="Consolas" w:hAnsi="Consolas"/>
          <w:sz w:val="17"/>
        </w:rPr>
        <w:t xml:space="preserve">  YAT audit-log data store (PROVIDED - you operate this, you do not author it).</w:t>
      </w:r>
    </w:p>
    <w:p>
      <w:pPr>
        <w:spacing w:after="0" w:before="0"/>
      </w:pPr>
      <w:r>
        <w:rPr>
          <w:rFonts w:ascii="Consolas" w:hAnsi="Consolas"/>
          <w:sz w:val="17"/>
        </w:rPr>
        <w:t xml:space="preserve">  A single DynamoDB table that holds the append-only access-log records your</w:t>
      </w:r>
    </w:p>
    <w:p>
      <w:pPr>
        <w:spacing w:after="0" w:before="0"/>
      </w:pPr>
      <w:r>
        <w:rPr>
          <w:rFonts w:ascii="Consolas" w:hAnsi="Consolas"/>
          <w:sz w:val="17"/>
        </w:rPr>
        <w:t xml:space="preserve">  microservice writes. Operate it: review, deploy, update a parameter, and delete.</w:t>
      </w:r>
    </w:p>
    <w:p>
      <w:pPr>
        <w:spacing w:after="0" w:before="0"/>
      </w:pPr>
      <w:r>
        <w:rPr>
          <w:rFonts w:ascii="Consolas" w:hAnsi="Consolas"/>
          <w:sz w:val="17"/>
        </w:rPr>
        <w:t xml:space="preserve">  It may not deploy as supplied - if so, diagnose the error, fix it, and redeploy.</w:t>
      </w:r>
    </w:p>
    <w:p>
      <w:pPr>
        <w:spacing w:after="0" w:before="0"/>
      </w:pPr>
      <w:r>
        <w:rPr>
          <w:rFonts w:ascii="Consolas" w:hAnsi="Consolas"/>
          <w:sz w:val="17"/>
        </w:rPr>
        <w:t xml:space="preserve"> </w:t>
      </w:r>
    </w:p>
    <w:p>
      <w:pPr>
        <w:spacing w:after="0" w:before="0"/>
      </w:pPr>
      <w:r>
        <w:rPr>
          <w:rFonts w:ascii="Consolas" w:hAnsi="Consolas"/>
          <w:sz w:val="17"/>
        </w:rPr>
        <w:t>Parameters:</w:t>
      </w:r>
    </w:p>
    <w:p>
      <w:pPr>
        <w:spacing w:after="0" w:before="0"/>
      </w:pPr>
      <w:r>
        <w:rPr>
          <w:rFonts w:ascii="Consolas" w:hAnsi="Consolas"/>
          <w:sz w:val="17"/>
        </w:rPr>
        <w:t xml:space="preserve">  EnvName:</w:t>
      </w:r>
    </w:p>
    <w:p>
      <w:pPr>
        <w:spacing w:after="0" w:before="0"/>
      </w:pPr>
      <w:r>
        <w:rPr>
          <w:rFonts w:ascii="Consolas" w:hAnsi="Consolas"/>
          <w:sz w:val="17"/>
        </w:rPr>
        <w:t xml:space="preserve">    Type: String</w:t>
      </w:r>
    </w:p>
    <w:p>
      <w:pPr>
        <w:spacing w:after="0" w:before="0"/>
      </w:pPr>
      <w:r>
        <w:rPr>
          <w:rFonts w:ascii="Consolas" w:hAnsi="Consolas"/>
          <w:sz w:val="17"/>
        </w:rPr>
        <w:t xml:space="preserve">    Default: dev</w:t>
      </w:r>
    </w:p>
    <w:p>
      <w:pPr>
        <w:spacing w:after="0" w:before="0"/>
      </w:pPr>
      <w:r>
        <w:rPr>
          <w:rFonts w:ascii="Consolas" w:hAnsi="Consolas"/>
          <w:sz w:val="17"/>
        </w:rPr>
        <w:t xml:space="preserve">    AllowedValues: [dev, prod]</w:t>
      </w:r>
    </w:p>
    <w:p>
      <w:pPr>
        <w:spacing w:after="0" w:before="0"/>
      </w:pPr>
      <w:r>
        <w:rPr>
          <w:rFonts w:ascii="Consolas" w:hAnsi="Consolas"/>
          <w:sz w:val="17"/>
        </w:rPr>
        <w:t xml:space="preserve">    Description: Environment suffix used in the table name.</w:t>
      </w:r>
    </w:p>
    <w:p>
      <w:pPr>
        <w:spacing w:after="0" w:before="0"/>
      </w:pPr>
      <w:r>
        <w:rPr>
          <w:rFonts w:ascii="Consolas" w:hAnsi="Consolas"/>
          <w:sz w:val="17"/>
        </w:rPr>
        <w:t xml:space="preserve"> </w:t>
      </w:r>
    </w:p>
    <w:p>
      <w:pPr>
        <w:spacing w:after="0" w:before="0"/>
      </w:pPr>
      <w:r>
        <w:rPr>
          <w:rFonts w:ascii="Consolas" w:hAnsi="Consolas"/>
          <w:sz w:val="17"/>
        </w:rPr>
        <w:t>Resources:</w:t>
      </w:r>
    </w:p>
    <w:p>
      <w:pPr>
        <w:spacing w:after="0" w:before="0"/>
      </w:pPr>
      <w:r>
        <w:rPr>
          <w:rFonts w:ascii="Consolas" w:hAnsi="Consolas"/>
          <w:sz w:val="17"/>
        </w:rPr>
        <w:t xml:space="preserve">  AuditTable:</w:t>
      </w:r>
    </w:p>
    <w:p>
      <w:pPr>
        <w:spacing w:after="0" w:before="0"/>
      </w:pPr>
      <w:r>
        <w:rPr>
          <w:rFonts w:ascii="Consolas" w:hAnsi="Consolas"/>
          <w:sz w:val="17"/>
        </w:rPr>
        <w:t xml:space="preserve">    Type: AWS::DynamoDB::Table</w:t>
      </w:r>
    </w:p>
    <w:p>
      <w:pPr>
        <w:spacing w:after="0" w:before="0"/>
      </w:pPr>
      <w:r>
        <w:rPr>
          <w:rFonts w:ascii="Consolas" w:hAnsi="Consolas"/>
          <w:sz w:val="17"/>
        </w:rPr>
        <w:t xml:space="preserve">    Properties:</w:t>
      </w:r>
    </w:p>
    <w:p>
      <w:pPr>
        <w:spacing w:after="0" w:before="0"/>
      </w:pPr>
      <w:r>
        <w:rPr>
          <w:rFonts w:ascii="Consolas" w:hAnsi="Consolas"/>
          <w:sz w:val="17"/>
        </w:rPr>
        <w:t xml:space="preserve">      TableName: !Sub 'yat-audit-${EnvName}'</w:t>
      </w:r>
    </w:p>
    <w:p>
      <w:pPr>
        <w:spacing w:after="0" w:before="0"/>
      </w:pPr>
      <w:r>
        <w:rPr>
          <w:rFonts w:ascii="Consolas" w:hAnsi="Consolas"/>
          <w:sz w:val="17"/>
        </w:rPr>
        <w:t xml:space="preserve">      BillingMode: PAY_PER_REQUEST</w:t>
      </w:r>
    </w:p>
    <w:p>
      <w:pPr>
        <w:spacing w:after="0" w:before="0"/>
      </w:pPr>
      <w:r>
        <w:rPr>
          <w:rFonts w:ascii="Consolas" w:hAnsi="Consolas"/>
          <w:sz w:val="17"/>
        </w:rPr>
        <w:t xml:space="preserve">      AttributeDefinitions:</w:t>
      </w:r>
    </w:p>
    <w:p>
      <w:pPr>
        <w:spacing w:after="0" w:before="0"/>
      </w:pPr>
      <w:r>
        <w:rPr>
          <w:rFonts w:ascii="Consolas" w:hAnsi="Consolas"/>
          <w:sz w:val="17"/>
        </w:rPr>
        <w:t xml:space="preserve">        - { AttributeName: id, AttributeType: S }</w:t>
      </w:r>
    </w:p>
    <w:p>
      <w:pPr>
        <w:spacing w:after="0" w:before="0"/>
      </w:pPr>
      <w:r>
        <w:rPr>
          <w:rFonts w:ascii="Consolas" w:hAnsi="Consolas"/>
          <w:sz w:val="17"/>
        </w:rPr>
        <w:t xml:space="preserve">      KeySchema:</w:t>
      </w:r>
    </w:p>
    <w:p>
      <w:pPr>
        <w:spacing w:after="0" w:before="0"/>
      </w:pPr>
      <w:r>
        <w:rPr>
          <w:rFonts w:ascii="Consolas" w:hAnsi="Consolas"/>
          <w:sz w:val="17"/>
        </w:rPr>
        <w:t xml:space="preserve">        - { AttributeName: event_id, KeyType: HASH }</w:t>
      </w:r>
    </w:p>
    <w:p>
      <w:pPr>
        <w:spacing w:after="0" w:before="0"/>
      </w:pPr>
      <w:r>
        <w:rPr>
          <w:rFonts w:ascii="Consolas" w:hAnsi="Consolas"/>
          <w:sz w:val="17"/>
        </w:rPr>
        <w:t xml:space="preserve">      Tags:</w:t>
      </w:r>
    </w:p>
    <w:p>
      <w:pPr>
        <w:spacing w:after="0" w:before="0"/>
      </w:pPr>
      <w:r>
        <w:rPr>
          <w:rFonts w:ascii="Consolas" w:hAnsi="Consolas"/>
          <w:sz w:val="17"/>
        </w:rPr>
        <w:t xml:space="preserve">        - { Key: Project, Value: YAT-Website }</w:t>
      </w:r>
    </w:p>
    <w:p>
      <w:pPr>
        <w:spacing w:after="0" w:before="0"/>
      </w:pPr>
      <w:r>
        <w:rPr>
          <w:rFonts w:ascii="Consolas" w:hAnsi="Consolas"/>
          <w:sz w:val="17"/>
        </w:rPr>
        <w:t xml:space="preserve">        - { Key: Environment, Value: !Ref EnvName }</w:t>
      </w:r>
    </w:p>
    <w:p>
      <w:pPr>
        <w:spacing w:after="0" w:before="0"/>
      </w:pPr>
      <w:r>
        <w:rPr>
          <w:rFonts w:ascii="Consolas" w:hAnsi="Consolas"/>
          <w:sz w:val="17"/>
        </w:rPr>
        <w:t xml:space="preserve">        - { Key: DataClassification, Value: audit-log }</w:t>
      </w:r>
    </w:p>
    <w:p>
      <w:pPr>
        <w:spacing w:after="0" w:before="0"/>
      </w:pPr>
      <w:r>
        <w:rPr>
          <w:rFonts w:ascii="Consolas" w:hAnsi="Consolas"/>
          <w:sz w:val="17"/>
        </w:rPr>
        <w:t xml:space="preserve"> </w:t>
      </w:r>
    </w:p>
    <w:p>
      <w:pPr>
        <w:spacing w:after="0" w:before="0"/>
      </w:pPr>
      <w:r>
        <w:rPr>
          <w:rFonts w:ascii="Consolas" w:hAnsi="Consolas"/>
          <w:sz w:val="17"/>
        </w:rPr>
        <w:t>Outputs:</w:t>
      </w:r>
    </w:p>
    <w:p>
      <w:pPr>
        <w:spacing w:after="0" w:before="0"/>
      </w:pPr>
      <w:r>
        <w:rPr>
          <w:rFonts w:ascii="Consolas" w:hAnsi="Consolas"/>
          <w:sz w:val="17"/>
        </w:rPr>
        <w:t xml:space="preserve">  AuditTableName:</w:t>
      </w:r>
    </w:p>
    <w:p>
      <w:pPr>
        <w:spacing w:after="0" w:before="0"/>
      </w:pPr>
      <w:r>
        <w:rPr>
          <w:rFonts w:ascii="Consolas" w:hAnsi="Consolas"/>
          <w:sz w:val="17"/>
        </w:rPr>
        <w:t xml:space="preserve">    Description: The audit table name - your microservice stack reads this (import or parameter).</w:t>
      </w:r>
    </w:p>
    <w:p>
      <w:pPr>
        <w:spacing w:after="0" w:before="0"/>
      </w:pPr>
      <w:r>
        <w:rPr>
          <w:rFonts w:ascii="Consolas" w:hAnsi="Consolas"/>
          <w:sz w:val="17"/>
        </w:rPr>
        <w:t xml:space="preserve">    Value: !Ref AuditTable</w:t>
      </w:r>
    </w:p>
    <w:p>
      <w:pPr>
        <w:spacing w:after="0" w:before="0"/>
      </w:pPr>
      <w:r>
        <w:rPr>
          <w:rFonts w:ascii="Consolas" w:hAnsi="Consolas"/>
          <w:sz w:val="17"/>
        </w:rPr>
        <w:t xml:space="preserve">    Export:</w:t>
      </w:r>
    </w:p>
    <w:p>
      <w:pPr>
        <w:spacing w:after="0" w:before="0"/>
      </w:pPr>
      <w:r>
        <w:rPr>
          <w:rFonts w:ascii="Consolas" w:hAnsi="Consolas"/>
          <w:sz w:val="17"/>
        </w:rPr>
        <w:t xml:space="preserve">      Name: !Sub 'yat-audit-table-${EnvName}'</w:t>
      </w:r>
    </w:p>
    <w:p>
      <w:pPr>
        <w:pStyle w:val="Heading2"/>
      </w:pPr>
      <w:r>
        <w:t>How to operate it (the region will be advised - substitute it for &lt;REGION&gt;):</w:t>
      </w:r>
    </w:p>
    <w:p>
      <w:pPr>
        <w:spacing w:after="0" w:before="0"/>
      </w:pPr>
      <w:r>
        <w:rPr>
          <w:rFonts w:ascii="Consolas" w:hAnsi="Consolas"/>
          <w:sz w:val="17"/>
        </w:rPr>
        <w:t># Review it first: open the file and note the resources it creates and any dependencies.</w:t>
      </w:r>
    </w:p>
    <w:p>
      <w:pPr>
        <w:spacing w:after="0" w:before="0"/>
      </w:pPr>
      <w:r>
        <w:rPr>
          <w:rFonts w:ascii="Consolas" w:hAnsi="Consolas"/>
          <w:sz w:val="17"/>
        </w:rPr>
        <w:t xml:space="preserve"> </w:t>
      </w:r>
    </w:p>
    <w:p>
      <w:pPr>
        <w:spacing w:after="0" w:before="0"/>
      </w:pPr>
      <w:r>
        <w:rPr>
          <w:rFonts w:ascii="Consolas" w:hAnsi="Consolas"/>
          <w:sz w:val="17"/>
        </w:rPr>
        <w:t># Deploy:</w:t>
      </w:r>
    </w:p>
    <w:p>
      <w:pPr>
        <w:spacing w:after="0" w:before="0"/>
      </w:pPr>
      <w:r>
        <w:rPr>
          <w:rFonts w:ascii="Consolas" w:hAnsi="Consolas"/>
          <w:sz w:val="17"/>
        </w:rPr>
        <w:t>aws cloudformation deploy --region &lt;REGION&gt; \</w:t>
      </w:r>
    </w:p>
    <w:p>
      <w:pPr>
        <w:spacing w:after="0" w:before="0"/>
      </w:pPr>
      <w:r>
        <w:rPr>
          <w:rFonts w:ascii="Consolas" w:hAnsi="Consolas"/>
          <w:sz w:val="17"/>
        </w:rPr>
        <w:t xml:space="preserve">  --stack-name yat-audit-store --template-file datastore.yaml \</w:t>
      </w:r>
    </w:p>
    <w:p>
      <w:pPr>
        <w:spacing w:after="0" w:before="0"/>
      </w:pPr>
      <w:r>
        <w:rPr>
          <w:rFonts w:ascii="Consolas" w:hAnsi="Consolas"/>
          <w:sz w:val="17"/>
        </w:rPr>
        <w:t xml:space="preserve">  --parameter-overrides EnvName=dev</w:t>
      </w:r>
    </w:p>
    <w:p>
      <w:pPr>
        <w:spacing w:after="0" w:before="0"/>
      </w:pPr>
      <w:r>
        <w:rPr>
          <w:rFonts w:ascii="Consolas" w:hAnsi="Consolas"/>
          <w:sz w:val="17"/>
        </w:rPr>
        <w:t xml:space="preserve"> </w:t>
      </w:r>
    </w:p>
    <w:p>
      <w:pPr>
        <w:spacing w:after="0" w:before="0"/>
      </w:pPr>
      <w:r>
        <w:rPr>
          <w:rFonts w:ascii="Consolas" w:hAnsi="Consolas"/>
          <w:sz w:val="17"/>
        </w:rPr>
        <w:t># Update (change a parameter, e.g. EnvName=prod) and redeploy the same way; observe the change.</w:t>
      </w:r>
    </w:p>
    <w:p>
      <w:pPr>
        <w:spacing w:after="0" w:before="0"/>
      </w:pPr>
      <w:r>
        <w:rPr>
          <w:rFonts w:ascii="Consolas" w:hAnsi="Consolas"/>
          <w:sz w:val="17"/>
        </w:rPr>
        <w:t xml:space="preserve"> </w:t>
      </w:r>
    </w:p>
    <w:p>
      <w:pPr>
        <w:spacing w:after="0" w:before="0"/>
      </w:pPr>
      <w:r>
        <w:rPr>
          <w:rFonts w:ascii="Consolas" w:hAnsi="Consolas"/>
          <w:sz w:val="17"/>
        </w:rPr>
        <w:t># Confirm in the console or with the CLI, then delete (clean teardown):</w:t>
      </w:r>
    </w:p>
    <w:p>
      <w:pPr>
        <w:spacing w:after="0" w:before="0"/>
      </w:pPr>
      <w:r>
        <w:rPr>
          <w:rFonts w:ascii="Consolas" w:hAnsi="Consolas"/>
          <w:sz w:val="17"/>
        </w:rPr>
        <w:t>aws cloudformation delete-stack --region &lt;REGION&gt; --stack-name yat-audit-store</w:t>
      </w:r>
    </w:p>
    <w:p>
      <w:pPr>
        <w:pStyle w:val="Heading1"/>
      </w:pPr>
      <w:r>
        <w:t>Appendix B - Provided microservice code and contract</w:t>
      </w:r>
    </w:p>
    <w:p>
      <w:pPr>
        <w:pStyle w:val="Assessortext"/>
      </w:pPr>
      <w:r>
        <w:t>The microservice CODE is PROVIDED to you (you do not write it). You AUTHOR the infrastructure-as-code template that deploys it - the API, the queue, and this function - and wire it to the data-store table from Appendix A. The flow is: HTTP API -&gt; SQS queue -&gt; this function -&gt; the Appendix-A DynamoDB table.</w:t>
      </w:r>
    </w:p>
    <w:p>
      <w:pPr>
        <w:pStyle w:val="Heading2"/>
      </w:pPr>
      <w:r>
        <w:t>B.1  Writer function (provided) - handler.py</w:t>
      </w:r>
    </w:p>
    <w:p>
      <w:pPr>
        <w:spacing w:after="0" w:before="0"/>
      </w:pPr>
      <w:r>
        <w:rPr>
          <w:rFonts w:ascii="Consolas" w:hAnsi="Consolas"/>
          <w:sz w:val="17"/>
        </w:rPr>
        <w:t>"""YAT audit-log microservice - SQS-triggered writer Lambda.</w:t>
      </w:r>
    </w:p>
    <w:p>
      <w:pPr>
        <w:spacing w:after="0" w:before="0"/>
      </w:pPr>
      <w:r>
        <w:rPr>
          <w:rFonts w:ascii="Consolas" w:hAnsi="Consolas"/>
          <w:sz w:val="17"/>
        </w:rPr>
        <w:t xml:space="preserve"> </w:t>
      </w:r>
    </w:p>
    <w:p>
      <w:pPr>
        <w:spacing w:after="0" w:before="0"/>
      </w:pPr>
      <w:r>
        <w:rPr>
          <w:rFonts w:ascii="Consolas" w:hAnsi="Consolas"/>
          <w:sz w:val="17"/>
        </w:rPr>
        <w:t>Reads access-event messages from the SQS queue and appends each as an immutable</w:t>
      </w:r>
    </w:p>
    <w:p>
      <w:pPr>
        <w:spacing w:after="0" w:before="0"/>
      </w:pPr>
      <w:r>
        <w:rPr>
          <w:rFonts w:ascii="Consolas" w:hAnsi="Consolas"/>
          <w:sz w:val="17"/>
        </w:rPr>
        <w:t>audit record to the DynamoDB table. Idempotent: event_id is the partition key and a</w:t>
      </w:r>
    </w:p>
    <w:p>
      <w:pPr>
        <w:spacing w:after="0" w:before="0"/>
      </w:pPr>
      <w:r>
        <w:rPr>
          <w:rFonts w:ascii="Consolas" w:hAnsi="Consolas"/>
          <w:sz w:val="17"/>
        </w:rPr>
        <w:t>conditional put means a re-delivered message is skipped rather than duplicated.</w:t>
      </w:r>
    </w:p>
    <w:p>
      <w:pPr>
        <w:spacing w:after="0" w:before="0"/>
      </w:pPr>
      <w:r>
        <w:rPr>
          <w:rFonts w:ascii="Consolas" w:hAnsi="Consolas"/>
          <w:sz w:val="17"/>
        </w:rPr>
        <w:t xml:space="preserve"> </w:t>
      </w:r>
    </w:p>
    <w:p>
      <w:pPr>
        <w:spacing w:after="0" w:before="0"/>
      </w:pPr>
      <w:r>
        <w:rPr>
          <w:rFonts w:ascii="Consolas" w:hAnsi="Consolas"/>
          <w:sz w:val="17"/>
        </w:rPr>
        <w:t>Data flow:  HTTP API  -&gt;  SQS  -&gt;  (this Lambda)  -&gt;  DynamoDB</w:t>
      </w:r>
    </w:p>
    <w:p>
      <w:pPr>
        <w:spacing w:after="0" w:before="0"/>
      </w:pPr>
      <w:r>
        <w:rPr>
          <w:rFonts w:ascii="Consolas" w:hAnsi="Consolas"/>
          <w:sz w:val="17"/>
        </w:rPr>
        <w:t xml:space="preserve"> </w:t>
      </w:r>
    </w:p>
    <w:p>
      <w:pPr>
        <w:spacing w:after="0" w:before="0"/>
      </w:pPr>
      <w:r>
        <w:rPr>
          <w:rFonts w:ascii="Consolas" w:hAnsi="Consolas"/>
          <w:sz w:val="17"/>
        </w:rPr>
        <w:t>Runtime: python3.12 (boto3 is provided by the Lambda runtime - no dependencies to package).</w:t>
      </w:r>
    </w:p>
    <w:p>
      <w:pPr>
        <w:spacing w:after="0" w:before="0"/>
      </w:pPr>
      <w:r>
        <w:rPr>
          <w:rFonts w:ascii="Consolas" w:hAnsi="Consolas"/>
          <w:sz w:val="17"/>
        </w:rPr>
        <w:t>Environment:</w:t>
      </w:r>
    </w:p>
    <w:p>
      <w:pPr>
        <w:spacing w:after="0" w:before="0"/>
      </w:pPr>
      <w:r>
        <w:rPr>
          <w:rFonts w:ascii="Consolas" w:hAnsi="Consolas"/>
          <w:sz w:val="17"/>
        </w:rPr>
        <w:t xml:space="preserve">    AUDIT_TABLE   the DynamoDB table name (set by the CloudFormation stack).</w:t>
      </w:r>
    </w:p>
    <w:p>
      <w:pPr>
        <w:spacing w:after="0" w:before="0"/>
      </w:pPr>
      <w:r>
        <w:rPr>
          <w:rFonts w:ascii="Consolas" w:hAnsi="Consolas"/>
          <w:sz w:val="17"/>
        </w:rPr>
        <w:t>"""</w:t>
      </w:r>
    </w:p>
    <w:p>
      <w:pPr>
        <w:spacing w:after="0" w:before="0"/>
      </w:pPr>
      <w:r>
        <w:rPr>
          <w:rFonts w:ascii="Consolas" w:hAnsi="Consolas"/>
          <w:sz w:val="17"/>
        </w:rPr>
        <w:t>import json</w:t>
      </w:r>
    </w:p>
    <w:p>
      <w:pPr>
        <w:spacing w:after="0" w:before="0"/>
      </w:pPr>
      <w:r>
        <w:rPr>
          <w:rFonts w:ascii="Consolas" w:hAnsi="Consolas"/>
          <w:sz w:val="17"/>
        </w:rPr>
        <w:t>import os</w:t>
      </w:r>
    </w:p>
    <w:p>
      <w:pPr>
        <w:spacing w:after="0" w:before="0"/>
      </w:pPr>
      <w:r>
        <w:rPr>
          <w:rFonts w:ascii="Consolas" w:hAnsi="Consolas"/>
          <w:sz w:val="17"/>
        </w:rPr>
        <w:t xml:space="preserve"> </w:t>
      </w:r>
    </w:p>
    <w:p>
      <w:pPr>
        <w:spacing w:after="0" w:before="0"/>
      </w:pPr>
      <w:r>
        <w:rPr>
          <w:rFonts w:ascii="Consolas" w:hAnsi="Consolas"/>
          <w:sz w:val="17"/>
        </w:rPr>
        <w:t>import boto3</w:t>
      </w:r>
    </w:p>
    <w:p>
      <w:pPr>
        <w:spacing w:after="0" w:before="0"/>
      </w:pPr>
      <w:r>
        <w:rPr>
          <w:rFonts w:ascii="Consolas" w:hAnsi="Consolas"/>
          <w:sz w:val="17"/>
        </w:rPr>
        <w:t>from botocore.exceptions import ClientError</w:t>
      </w:r>
    </w:p>
    <w:p>
      <w:pPr>
        <w:spacing w:after="0" w:before="0"/>
      </w:pPr>
      <w:r>
        <w:rPr>
          <w:rFonts w:ascii="Consolas" w:hAnsi="Consolas"/>
          <w:sz w:val="17"/>
        </w:rPr>
        <w:t xml:space="preserve"> </w:t>
      </w:r>
    </w:p>
    <w:p>
      <w:pPr>
        <w:spacing w:after="0" w:before="0"/>
      </w:pPr>
      <w:r>
        <w:rPr>
          <w:rFonts w:ascii="Consolas" w:hAnsi="Consolas"/>
          <w:sz w:val="17"/>
        </w:rPr>
        <w:t>VALID_COHORTS = {"AU", "IN"}</w:t>
      </w:r>
    </w:p>
    <w:p>
      <w:pPr>
        <w:spacing w:after="0" w:before="0"/>
      </w:pPr>
      <w:r>
        <w:rPr>
          <w:rFonts w:ascii="Consolas" w:hAnsi="Consolas"/>
          <w:sz w:val="17"/>
        </w:rPr>
        <w:t>VALID_EVENT_TYPES = {"login", "course_access", "assessment_view"}</w:t>
      </w:r>
    </w:p>
    <w:p>
      <w:pPr>
        <w:spacing w:after="0" w:before="0"/>
      </w:pPr>
      <w:r>
        <w:rPr>
          <w:rFonts w:ascii="Consolas" w:hAnsi="Consolas"/>
          <w:sz w:val="17"/>
        </w:rPr>
        <w:t>REQUIRED_FIELDS = ("event_id", "occurred_at", "user_ref", "cohort", "event_type", "source_ip")</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def _validate(record):</w:t>
      </w:r>
    </w:p>
    <w:p>
      <w:pPr>
        <w:spacing w:after="0" w:before="0"/>
      </w:pPr>
      <w:r>
        <w:rPr>
          <w:rFonts w:ascii="Consolas" w:hAnsi="Consolas"/>
          <w:sz w:val="17"/>
        </w:rPr>
        <w:t xml:space="preserve">    """Return (ok, reason). Rejects anything that isn't a well-formed access event."""</w:t>
      </w:r>
    </w:p>
    <w:p>
      <w:pPr>
        <w:spacing w:after="0" w:before="0"/>
      </w:pPr>
      <w:r>
        <w:rPr>
          <w:rFonts w:ascii="Consolas" w:hAnsi="Consolas"/>
          <w:sz w:val="17"/>
        </w:rPr>
        <w:t xml:space="preserve">    for field in REQUIRED_FIELDS:</w:t>
      </w:r>
    </w:p>
    <w:p>
      <w:pPr>
        <w:spacing w:after="0" w:before="0"/>
      </w:pPr>
      <w:r>
        <w:rPr>
          <w:rFonts w:ascii="Consolas" w:hAnsi="Consolas"/>
          <w:sz w:val="17"/>
        </w:rPr>
        <w:t xml:space="preserve">        if not record.get(field):</w:t>
      </w:r>
    </w:p>
    <w:p>
      <w:pPr>
        <w:spacing w:after="0" w:before="0"/>
      </w:pPr>
      <w:r>
        <w:rPr>
          <w:rFonts w:ascii="Consolas" w:hAnsi="Consolas"/>
          <w:sz w:val="17"/>
        </w:rPr>
        <w:t xml:space="preserve">            return False, f"missing required field: {field}"</w:t>
      </w:r>
    </w:p>
    <w:p>
      <w:pPr>
        <w:spacing w:after="0" w:before="0"/>
      </w:pPr>
      <w:r>
        <w:rPr>
          <w:rFonts w:ascii="Consolas" w:hAnsi="Consolas"/>
          <w:sz w:val="17"/>
        </w:rPr>
        <w:t xml:space="preserve">    if record["cohort"] not in VALID_COHORTS:</w:t>
      </w:r>
    </w:p>
    <w:p>
      <w:pPr>
        <w:spacing w:after="0" w:before="0"/>
      </w:pPr>
      <w:r>
        <w:rPr>
          <w:rFonts w:ascii="Consolas" w:hAnsi="Consolas"/>
          <w:sz w:val="17"/>
        </w:rPr>
        <w:t xml:space="preserve">        return False, f"invalid cohort: {record['cohort']}"</w:t>
      </w:r>
    </w:p>
    <w:p>
      <w:pPr>
        <w:spacing w:after="0" w:before="0"/>
      </w:pPr>
      <w:r>
        <w:rPr>
          <w:rFonts w:ascii="Consolas" w:hAnsi="Consolas"/>
          <w:sz w:val="17"/>
        </w:rPr>
        <w:t xml:space="preserve">    if record["event_type"] not in VALID_EVENT_TYPES:</w:t>
      </w:r>
    </w:p>
    <w:p>
      <w:pPr>
        <w:spacing w:after="0" w:before="0"/>
      </w:pPr>
      <w:r>
        <w:rPr>
          <w:rFonts w:ascii="Consolas" w:hAnsi="Consolas"/>
          <w:sz w:val="17"/>
        </w:rPr>
        <w:t xml:space="preserve">        return False, f"invalid event_type: {record['event_type']}"</w:t>
      </w:r>
    </w:p>
    <w:p>
      <w:pPr>
        <w:spacing w:after="0" w:before="0"/>
      </w:pPr>
      <w:r>
        <w:rPr>
          <w:rFonts w:ascii="Consolas" w:hAnsi="Consolas"/>
          <w:sz w:val="17"/>
        </w:rPr>
        <w:t xml:space="preserve">    return True, ""</w:t>
      </w:r>
    </w:p>
    <w:p>
      <w:pPr>
        <w:spacing w:after="0" w:before="0"/>
      </w:pPr>
      <w:r>
        <w:rPr>
          <w:rFonts w:ascii="Consolas" w:hAnsi="Consolas"/>
          <w:sz w:val="17"/>
        </w:rPr>
        <w:t xml:space="preserve"> </w:t>
      </w:r>
    </w:p>
    <w:p>
      <w:pPr>
        <w:spacing w:after="0" w:before="0"/>
      </w:pPr>
      <w:r>
        <w:rPr>
          <w:rFonts w:ascii="Consolas" w:hAnsi="Consolas"/>
          <w:sz w:val="17"/>
        </w:rPr>
        <w:t xml:space="preserve"> </w:t>
      </w:r>
    </w:p>
    <w:p>
      <w:pPr>
        <w:spacing w:after="0" w:before="0"/>
      </w:pPr>
      <w:r>
        <w:rPr>
          <w:rFonts w:ascii="Consolas" w:hAnsi="Consolas"/>
          <w:sz w:val="17"/>
        </w:rPr>
        <w:t>def handler(event, context=None):</w:t>
      </w:r>
    </w:p>
    <w:p>
      <w:pPr>
        <w:spacing w:after="0" w:before="0"/>
      </w:pPr>
      <w:r>
        <w:rPr>
          <w:rFonts w:ascii="Consolas" w:hAnsi="Consolas"/>
          <w:sz w:val="17"/>
        </w:rPr>
        <w:t xml:space="preserve">    """SQS event handler. Returns a small summary (and logs it) for observability."""</w:t>
      </w:r>
    </w:p>
    <w:p>
      <w:pPr>
        <w:spacing w:after="0" w:before="0"/>
      </w:pPr>
      <w:r>
        <w:rPr>
          <w:rFonts w:ascii="Consolas" w:hAnsi="Consolas"/>
          <w:sz w:val="17"/>
        </w:rPr>
        <w:t xml:space="preserve">    table = boto3.resource("dynamodb").Table(os.environ.get("AUDIT_TABLE", "yat-audit-log"))</w:t>
      </w:r>
    </w:p>
    <w:p>
      <w:pPr>
        <w:spacing w:after="0" w:before="0"/>
      </w:pPr>
      <w:r>
        <w:rPr>
          <w:rFonts w:ascii="Consolas" w:hAnsi="Consolas"/>
          <w:sz w:val="17"/>
        </w:rPr>
        <w:t xml:space="preserve">    processed = skipped = rejected = 0</w:t>
      </w:r>
    </w:p>
    <w:p>
      <w:pPr>
        <w:spacing w:after="0" w:before="0"/>
      </w:pPr>
      <w:r>
        <w:rPr>
          <w:rFonts w:ascii="Consolas" w:hAnsi="Consolas"/>
          <w:sz w:val="17"/>
        </w:rPr>
        <w:t xml:space="preserve"> </w:t>
      </w:r>
    </w:p>
    <w:p>
      <w:pPr>
        <w:spacing w:after="0" w:before="0"/>
      </w:pPr>
      <w:r>
        <w:rPr>
          <w:rFonts w:ascii="Consolas" w:hAnsi="Consolas"/>
          <w:sz w:val="17"/>
        </w:rPr>
        <w:t xml:space="preserve">    for message in event.get("Records", []):</w:t>
      </w:r>
    </w:p>
    <w:p>
      <w:pPr>
        <w:spacing w:after="0" w:before="0"/>
      </w:pPr>
      <w:r>
        <w:rPr>
          <w:rFonts w:ascii="Consolas" w:hAnsi="Consolas"/>
          <w:sz w:val="17"/>
        </w:rPr>
        <w:t xml:space="preserve">        try:</w:t>
      </w:r>
    </w:p>
    <w:p>
      <w:pPr>
        <w:spacing w:after="0" w:before="0"/>
      </w:pPr>
      <w:r>
        <w:rPr>
          <w:rFonts w:ascii="Consolas" w:hAnsi="Consolas"/>
          <w:sz w:val="17"/>
        </w:rPr>
        <w:t xml:space="preserve">            body = json.loads(message["body"])</w:t>
      </w:r>
    </w:p>
    <w:p>
      <w:pPr>
        <w:spacing w:after="0" w:before="0"/>
      </w:pPr>
      <w:r>
        <w:rPr>
          <w:rFonts w:ascii="Consolas" w:hAnsi="Consolas"/>
          <w:sz w:val="17"/>
        </w:rPr>
        <w:t xml:space="preserve">        except (KeyError, json.JSONDecodeError):</w:t>
      </w:r>
    </w:p>
    <w:p>
      <w:pPr>
        <w:spacing w:after="0" w:before="0"/>
      </w:pPr>
      <w:r>
        <w:rPr>
          <w:rFonts w:ascii="Consolas" w:hAnsi="Consolas"/>
          <w:sz w:val="17"/>
        </w:rPr>
        <w:t xml:space="preserve">            rejected += 1</w:t>
      </w:r>
    </w:p>
    <w:p>
      <w:pPr>
        <w:spacing w:after="0" w:before="0"/>
      </w:pPr>
      <w:r>
        <w:rPr>
          <w:rFonts w:ascii="Consolas" w:hAnsi="Consolas"/>
          <w:sz w:val="17"/>
        </w:rPr>
        <w:t xml:space="preserve">            print("reject: message body is not valid JSON")</w:t>
      </w:r>
    </w:p>
    <w:p>
      <w:pPr>
        <w:spacing w:after="0" w:before="0"/>
      </w:pPr>
      <w:r>
        <w:rPr>
          <w:rFonts w:ascii="Consolas" w:hAnsi="Consolas"/>
          <w:sz w:val="17"/>
        </w:rPr>
        <w:t xml:space="preserve">            continue</w:t>
      </w:r>
    </w:p>
    <w:p>
      <w:pPr>
        <w:spacing w:after="0" w:before="0"/>
      </w:pPr>
      <w:r>
        <w:rPr>
          <w:rFonts w:ascii="Consolas" w:hAnsi="Consolas"/>
          <w:sz w:val="17"/>
        </w:rPr>
        <w:t xml:space="preserve"> </w:t>
      </w:r>
    </w:p>
    <w:p>
      <w:pPr>
        <w:spacing w:after="0" w:before="0"/>
      </w:pPr>
      <w:r>
        <w:rPr>
          <w:rFonts w:ascii="Consolas" w:hAnsi="Consolas"/>
          <w:sz w:val="17"/>
        </w:rPr>
        <w:t xml:space="preserve">        ok, reason = _validate(body)</w:t>
      </w:r>
    </w:p>
    <w:p>
      <w:pPr>
        <w:spacing w:after="0" w:before="0"/>
      </w:pPr>
      <w:r>
        <w:rPr>
          <w:rFonts w:ascii="Consolas" w:hAnsi="Consolas"/>
          <w:sz w:val="17"/>
        </w:rPr>
        <w:t xml:space="preserve">        if not ok:</w:t>
      </w:r>
    </w:p>
    <w:p>
      <w:pPr>
        <w:spacing w:after="0" w:before="0"/>
      </w:pPr>
      <w:r>
        <w:rPr>
          <w:rFonts w:ascii="Consolas" w:hAnsi="Consolas"/>
          <w:sz w:val="17"/>
        </w:rPr>
        <w:t xml:space="preserve">            rejected += 1</w:t>
      </w:r>
    </w:p>
    <w:p>
      <w:pPr>
        <w:spacing w:after="0" w:before="0"/>
      </w:pPr>
      <w:r>
        <w:rPr>
          <w:rFonts w:ascii="Consolas" w:hAnsi="Consolas"/>
          <w:sz w:val="17"/>
        </w:rPr>
        <w:t xml:space="preserve">            print(f"reject: {reason}")</w:t>
      </w:r>
    </w:p>
    <w:p>
      <w:pPr>
        <w:spacing w:after="0" w:before="0"/>
      </w:pPr>
      <w:r>
        <w:rPr>
          <w:rFonts w:ascii="Consolas" w:hAnsi="Consolas"/>
          <w:sz w:val="17"/>
        </w:rPr>
        <w:t xml:space="preserve">            continue</w:t>
      </w:r>
    </w:p>
    <w:p>
      <w:pPr>
        <w:spacing w:after="0" w:before="0"/>
      </w:pPr>
      <w:r>
        <w:rPr>
          <w:rFonts w:ascii="Consolas" w:hAnsi="Consolas"/>
          <w:sz w:val="17"/>
        </w:rPr>
        <w:t xml:space="preserve"> </w:t>
      </w:r>
    </w:p>
    <w:p>
      <w:pPr>
        <w:spacing w:after="0" w:before="0"/>
      </w:pPr>
      <w:r>
        <w:rPr>
          <w:rFonts w:ascii="Consolas" w:hAnsi="Consolas"/>
          <w:sz w:val="17"/>
        </w:rPr>
        <w:t xml:space="preserve">        item = {field: body[field] for field in REQUIRED_FIELDS}</w:t>
      </w:r>
    </w:p>
    <w:p>
      <w:pPr>
        <w:spacing w:after="0" w:before="0"/>
      </w:pPr>
      <w:r>
        <w:rPr>
          <w:rFonts w:ascii="Consolas" w:hAnsi="Consolas"/>
          <w:sz w:val="17"/>
        </w:rPr>
        <w:t xml:space="preserve">        try:</w:t>
      </w:r>
    </w:p>
    <w:p>
      <w:pPr>
        <w:spacing w:after="0" w:before="0"/>
      </w:pPr>
      <w:r>
        <w:rPr>
          <w:rFonts w:ascii="Consolas" w:hAnsi="Consolas"/>
          <w:sz w:val="17"/>
        </w:rPr>
        <w:t xml:space="preserve">            table.put_item(Item=item, ConditionExpression="attribute_not_exists(event_id)")</w:t>
      </w:r>
    </w:p>
    <w:p>
      <w:pPr>
        <w:spacing w:after="0" w:before="0"/>
      </w:pPr>
      <w:r>
        <w:rPr>
          <w:rFonts w:ascii="Consolas" w:hAnsi="Consolas"/>
          <w:sz w:val="17"/>
        </w:rPr>
        <w:t xml:space="preserve">            processed += 1</w:t>
      </w:r>
    </w:p>
    <w:p>
      <w:pPr>
        <w:spacing w:after="0" w:before="0"/>
      </w:pPr>
      <w:r>
        <w:rPr>
          <w:rFonts w:ascii="Consolas" w:hAnsi="Consolas"/>
          <w:sz w:val="17"/>
        </w:rPr>
        <w:t xml:space="preserve">        except ClientError as exc:</w:t>
      </w:r>
    </w:p>
    <w:p>
      <w:pPr>
        <w:spacing w:after="0" w:before="0"/>
      </w:pPr>
      <w:r>
        <w:rPr>
          <w:rFonts w:ascii="Consolas" w:hAnsi="Consolas"/>
          <w:sz w:val="17"/>
        </w:rPr>
        <w:t xml:space="preserve">            if exc.response["Error"]["Code"] == "ConditionalCheckFailedException":</w:t>
      </w:r>
    </w:p>
    <w:p>
      <w:pPr>
        <w:spacing w:after="0" w:before="0"/>
      </w:pPr>
      <w:r>
        <w:rPr>
          <w:rFonts w:ascii="Consolas" w:hAnsi="Consolas"/>
          <w:sz w:val="17"/>
        </w:rPr>
        <w:t xml:space="preserve">                skipped += 1  # already written - idempotent re-delivery</w:t>
      </w:r>
    </w:p>
    <w:p>
      <w:pPr>
        <w:spacing w:after="0" w:before="0"/>
      </w:pPr>
      <w:r>
        <w:rPr>
          <w:rFonts w:ascii="Consolas" w:hAnsi="Consolas"/>
          <w:sz w:val="17"/>
        </w:rPr>
        <w:t xml:space="preserve">            else:</w:t>
      </w:r>
    </w:p>
    <w:p>
      <w:pPr>
        <w:spacing w:after="0" w:before="0"/>
      </w:pPr>
      <w:r>
        <w:rPr>
          <w:rFonts w:ascii="Consolas" w:hAnsi="Consolas"/>
          <w:sz w:val="17"/>
        </w:rPr>
        <w:t xml:space="preserve">                raise  # a real failure: let SQS retry / send to the DLQ</w:t>
      </w:r>
    </w:p>
    <w:p>
      <w:pPr>
        <w:spacing w:after="0" w:before="0"/>
      </w:pPr>
      <w:r>
        <w:rPr>
          <w:rFonts w:ascii="Consolas" w:hAnsi="Consolas"/>
          <w:sz w:val="17"/>
        </w:rPr>
        <w:t xml:space="preserve"> </w:t>
      </w:r>
    </w:p>
    <w:p>
      <w:pPr>
        <w:spacing w:after="0" w:before="0"/>
      </w:pPr>
      <w:r>
        <w:rPr>
          <w:rFonts w:ascii="Consolas" w:hAnsi="Consolas"/>
          <w:sz w:val="17"/>
        </w:rPr>
        <w:t xml:space="preserve">    summary = {"processed": processed, "skipped": skipped, "rejected": rejected}</w:t>
      </w:r>
    </w:p>
    <w:p>
      <w:pPr>
        <w:spacing w:after="0" w:before="0"/>
      </w:pPr>
      <w:r>
        <w:rPr>
          <w:rFonts w:ascii="Consolas" w:hAnsi="Consolas"/>
          <w:sz w:val="17"/>
        </w:rPr>
        <w:t xml:space="preserve">    print(json.dumps(summary))</w:t>
      </w:r>
    </w:p>
    <w:p>
      <w:pPr>
        <w:spacing w:after="0" w:before="0"/>
      </w:pPr>
      <w:r>
        <w:rPr>
          <w:rFonts w:ascii="Consolas" w:hAnsi="Consolas"/>
          <w:sz w:val="17"/>
        </w:rPr>
        <w:t xml:space="preserve">    return summary</w:t>
      </w:r>
    </w:p>
    <w:p>
      <w:pPr>
        <w:pStyle w:val="Heading2"/>
      </w:pPr>
      <w:r>
        <w:t>B.2  Webhook contract</w:t>
      </w:r>
    </w:p>
    <w:p>
      <w:pPr>
        <w:pStyle w:val="Assessortext"/>
      </w:pPr>
      <w:r>
        <w:t>The single integration point. The website (the event producer) calls this; your microservice receives it. All six fields are required; a re-sent event with the same event_id is not duplicated.</w:t>
      </w:r>
    </w:p>
    <w:p>
      <w:pPr>
        <w:spacing w:after="0" w:before="0"/>
      </w:pPr>
      <w:r>
        <w:rPr>
          <w:rFonts w:ascii="Consolas" w:hAnsi="Consolas"/>
          <w:sz w:val="17"/>
        </w:rPr>
        <w:t>POST  {ApiEndpoint}              # {ApiEndpoint} is an Output of your deployed stack</w:t>
      </w:r>
    </w:p>
    <w:p>
      <w:pPr>
        <w:spacing w:after="0" w:before="0"/>
      </w:pPr>
      <w:r>
        <w:rPr>
          <w:rFonts w:ascii="Consolas" w:hAnsi="Consolas"/>
          <w:sz w:val="17"/>
        </w:rPr>
        <w:t>Content-Type: application/json</w:t>
      </w:r>
    </w:p>
    <w:p>
      <w:pPr>
        <w:spacing w:after="0" w:before="0"/>
      </w:pPr>
      <w:r>
        <w:rPr>
          <w:rFonts w:ascii="Consolas" w:hAnsi="Consolas"/>
          <w:sz w:val="17"/>
        </w:rPr>
        <w:t xml:space="preserve"> </w:t>
      </w:r>
    </w:p>
    <w:p>
      <w:pPr>
        <w:spacing w:after="0" w:before="0"/>
      </w:pPr>
      <w:r>
        <w:rPr>
          <w:rFonts w:ascii="Consolas" w:hAnsi="Consolas"/>
          <w:sz w:val="17"/>
        </w:rPr>
        <w:t>{</w:t>
      </w:r>
    </w:p>
    <w:p>
      <w:pPr>
        <w:spacing w:after="0" w:before="0"/>
      </w:pPr>
      <w:r>
        <w:rPr>
          <w:rFonts w:ascii="Consolas" w:hAnsi="Consolas"/>
          <w:sz w:val="17"/>
        </w:rPr>
        <w:t xml:space="preserve">  "event_id":    "3f9a1c2e-...",          # unique id (UUID) - the idempotency key</w:t>
      </w:r>
    </w:p>
    <w:p>
      <w:pPr>
        <w:spacing w:after="0" w:before="0"/>
      </w:pPr>
      <w:r>
        <w:rPr>
          <w:rFonts w:ascii="Consolas" w:hAnsi="Consolas"/>
          <w:sz w:val="17"/>
        </w:rPr>
        <w:t xml:space="preserve">  "occurred_at": "2026-06-07T01:23:45Z",   # ISO-8601 UTC timestamp</w:t>
      </w:r>
    </w:p>
    <w:p>
      <w:pPr>
        <w:spacing w:after="0" w:before="0"/>
      </w:pPr>
      <w:r>
        <w:rPr>
          <w:rFonts w:ascii="Consolas" w:hAnsi="Consolas"/>
          <w:sz w:val="17"/>
        </w:rPr>
        <w:t xml:space="preserve">  "user_ref":    "u-48217",                # opaque user reference (not the user's name)</w:t>
      </w:r>
    </w:p>
    <w:p>
      <w:pPr>
        <w:spacing w:after="0" w:before="0"/>
      </w:pPr>
      <w:r>
        <w:rPr>
          <w:rFonts w:ascii="Consolas" w:hAnsi="Consolas"/>
          <w:sz w:val="17"/>
        </w:rPr>
        <w:t xml:space="preserve">  "cohort":      "IN",                     # "AU" or "IN"  (IN = the India cohort)</w:t>
      </w:r>
    </w:p>
    <w:p>
      <w:pPr>
        <w:spacing w:after="0" w:before="0"/>
      </w:pPr>
      <w:r>
        <w:rPr>
          <w:rFonts w:ascii="Consolas" w:hAnsi="Consolas"/>
          <w:sz w:val="17"/>
        </w:rPr>
        <w:t xml:space="preserve">  "event_type":  "login",                  # "login" | "course_access" | "assessment_view"</w:t>
      </w:r>
    </w:p>
    <w:p>
      <w:pPr>
        <w:spacing w:after="0" w:before="0"/>
      </w:pPr>
      <w:r>
        <w:rPr>
          <w:rFonts w:ascii="Consolas" w:hAnsi="Consolas"/>
          <w:sz w:val="17"/>
        </w:rPr>
        <w:t xml:space="preserve">  "source_ip":   "203.0.113.7"             # the client IP the event came from</w:t>
      </w:r>
    </w:p>
    <w:p>
      <w:pPr>
        <w:spacing w:after="0" w:before="0"/>
      </w:pPr>
      <w:r>
        <w:rPr>
          <w:rFonts w:ascii="Consolas" w:hAnsi="Consolas"/>
          <w:sz w:val="17"/>
        </w:rPr>
        <w:t>}</w:t>
      </w:r>
    </w:p>
    <w:p>
      <w:pPr>
        <w:spacing w:after="0" w:before="0"/>
      </w:pPr>
      <w:r>
        <w:rPr>
          <w:rFonts w:ascii="Consolas" w:hAnsi="Consolas"/>
          <w:sz w:val="17"/>
        </w:rPr>
        <w:t xml:space="preserve"> </w:t>
      </w:r>
    </w:p>
    <w:p>
      <w:pPr>
        <w:spacing w:after="0" w:before="0"/>
      </w:pPr>
      <w:r>
        <w:rPr>
          <w:rFonts w:ascii="Consolas" w:hAnsi="Consolas"/>
          <w:sz w:val="17"/>
        </w:rPr>
        <w:t>Responses:   200 = accepted and queued for writing      400 = malformed request</w:t>
      </w:r>
    </w:p>
    <w:p>
      <w:pPr>
        <w:pStyle w:val="Heading2"/>
      </w:pPr>
      <w:r>
        <w:t>How to use it:</w:t>
      </w:r>
    </w:p>
    <w:p>
      <w:pPr>
        <w:pStyle w:val="Assessortext"/>
      </w:pPr>
      <w:r>
        <w:t>• Author a CloudFormation template that provisions the API (HTTP API), an SQS queue, and a Lambda function running this handler, plus the permissions to read the queue and write the table.</w:t>
      </w:r>
    </w:p>
    <w:p>
      <w:pPr>
        <w:pStyle w:val="Assessortext"/>
      </w:pPr>
      <w:r>
        <w:t>• Set the function's AUDIT_TABLE environment variable to the table from Appendix A (import the exported value, or pass the table name as a parameter).</w:t>
      </w:r>
    </w:p>
    <w:p>
      <w:pPr>
        <w:pStyle w:val="Assessortext"/>
      </w:pPr>
      <w:r>
        <w:t>• Deploy your template, then POST a sample event (per the contract) and confirm the record appears in the data-store table.</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