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Source Sans 3" w:hAnsi="Source Sans 3"/>
          <w:b/>
          <w:color w:val="1F5A5C"/>
          <w:sz w:val="68"/>
        </w:rPr>
        <w:t>YAT</w:t>
      </w:r>
      <w:r>
        <w:rPr>
          <w:b/>
          <w:color w:val="C5613B"/>
          <w:sz w:val="32"/>
        </w:rPr>
        <w:t xml:space="preserve">  COLLEGE</w:t>
      </w:r>
    </w:p>
    <w:p>
      <w:r>
        <w:rPr>
          <w:color w:val="6B6660"/>
          <w:sz w:val="18"/>
        </w:rPr>
        <w:t>YAT College  ·  175 Cremorne St, Cremorne VIC 3121</w:t>
      </w:r>
    </w:p>
    <w:p>
      <w:pPr>
        <w:pBdr>
          <w:bottom w:val="single" w:sz="12" w:space="4" w:color="1F5A5C"/>
        </w:pBdr>
      </w:pPr>
    </w:p>
    <w:p/>
    <w:p/>
    <w:p/>
    <w:p>
      <w:pPr>
        <w:pStyle w:val="Title"/>
      </w:pPr>
      <w:r>
        <w:t>Practice — Design &amp; DR Plan</w:t>
      </w:r>
    </w:p>
    <w:p>
      <w:r>
        <w:rPr>
          <w:i/>
          <w:color w:val="6B6660"/>
          <w:sz w:val="30"/>
        </w:rPr>
        <w:t>LMS Global Expansion — design, recovery plan and approval</w:t>
      </w:r>
    </w:p>
    <w:p>
      <w:pPr>
        <w:sectPr>
          <w:headerReference w:type="default" r:id="rId9"/>
          <w:footerReference w:type="default" r:id="rId10"/>
          <w:pgSz w:w="11906" w:h="16838"/>
          <w:pgMar w:top="1474" w:right="1247" w:bottom="1247" w:left="1247" w:header="567" w:footer="567" w:gutter="0"/>
          <w:cols w:space="720"/>
          <w:docGrid w:linePitch="360"/>
        </w:sectPr>
      </w:pPr>
    </w:p>
    <w:p>
      <w:pPr>
        <w:pStyle w:val="Heading1"/>
      </w:pPr>
      <w:r>
        <w:t>The engagement</w:t>
      </w:r>
    </w:p>
    <w:p>
      <w:pPr>
        <w:spacing w:after="160"/>
      </w:pPr>
      <w:r>
        <w:rPr>
          <w:b w:val="0"/>
          <w:i w:val="0"/>
          <w:sz w:val="21"/>
        </w:rPr>
        <w:t>YAT College is opening an offshore campus in India. The students there will use the same learning management system as everyone else — DOODLE, the LMS you already know — reaching it from the other side of the Indian Ocean.</w:t>
      </w:r>
    </w:p>
    <w:p>
      <w:pPr>
        <w:spacing w:after="160"/>
      </w:pPr>
      <w:r>
        <w:rPr>
          <w:b w:val="0"/>
          <w:i w:val="0"/>
          <w:sz w:val="21"/>
        </w:rPr>
        <w:t>You are an MTS Consultant on the LMS Global Expansion engagement, reporting to Pat Lin (MTS Senior Consultant), with Sam Walker (YAT ICT Manager) as your YAT-side stakeholder. The LMS runs in Sydney, hardened across two availability zones by the previous engagement.</w:t>
      </w:r>
    </w:p>
    <w:p>
      <w:pPr>
        <w:spacing w:after="160"/>
      </w:pPr>
      <w:r>
        <w:rPr>
          <w:b w:val="0"/>
          <w:i w:val="0"/>
          <w:sz w:val="21"/>
        </w:rPr>
        <w:t>This is practice. Nothing here is assessed and nothing is submitted. It is the same work the assessment will ask for, on a different system — so do it properly, because the moves are the point, not the answers.</w:t>
      </w:r>
    </w:p>
    <w:p>
      <w:pPr>
        <w:pStyle w:val="Heading1"/>
      </w:pPr>
      <w:r>
        <w:t>How to work through this</w:t>
      </w:r>
    </w:p>
    <w:p>
      <w:pPr>
        <w:spacing w:after="160"/>
      </w:pPr>
      <w:r>
        <w:rPr>
          <w:b w:val="0"/>
          <w:i w:val="0"/>
          <w:sz w:val="21"/>
        </w:rPr>
        <w:t>Work the tasks in order — each one builds on the answer before it. Each is presented the way the assessment presents it, and then adds a Things to consider block underneath.</w:t>
      </w:r>
    </w:p>
    <w:p>
      <w:pPr>
        <w:spacing w:after="160"/>
      </w:pPr>
      <w:r>
        <w:rPr>
          <w:b w:val="0"/>
          <w:i w:val="0"/>
          <w:sz w:val="21"/>
        </w:rPr>
        <w:t>Those considerations are leading questions, not answers. If you work through them honestly you will arrive at the answer yourself — which is the only version of it that will still be there in the assessment.</w:t>
      </w:r>
    </w:p>
    <w:p>
      <w:pPr>
        <w:spacing w:after="160"/>
      </w:pPr>
      <w:r>
        <w:rPr>
          <w:b w:val="0"/>
          <w:i w:val="0"/>
          <w:sz w:val="21"/>
        </w:rPr>
        <w:t>Where a table has a worked first row, that row is an example of the SHAPE of an answer. It is never one of the answers the task is asking you for. Yours go underneath it.</w:t>
      </w:r>
    </w:p>
    <w:p>
      <w:pPr>
        <w:spacing w:after="160"/>
      </w:pPr>
      <w:r>
        <w:rPr>
          <w:b w:val="0"/>
          <w:i w:val="0"/>
          <w:sz w:val="21"/>
        </w:rPr>
        <w:t>Tasks 1 to 14 are the web-scale design. Tasks 15 to 19 are the audit-log microservice. This is design only — nothing is deployed, and where a task asks for a region, name the region the design calls for.</w:t>
      </w:r>
    </w:p>
    <w:p>
      <w:pPr>
        <w:pStyle w:val="Heading1"/>
      </w:pPr>
      <w:r>
        <w:t>Part A — Design</w:t>
      </w:r>
    </w:p>
    <w:p>
      <w:pPr>
        <w:pStyle w:val="Heading2"/>
      </w:pPr>
      <w:r>
        <w:rPr>
          <w:color w:val="1F5A5C"/>
        </w:rPr>
        <w:t>The environment you are extending</w:t>
      </w:r>
    </w:p>
    <w:p>
      <w:pPr>
        <w:spacing w:after="120"/>
      </w:pPr>
      <w:r>
        <w:rPr>
          <w:b w:val="0"/>
          <w:i w:val="0"/>
          <w:sz w:val="21"/>
        </w:rPr>
        <w:t>This is the environment you are extending. It is what the previous phase built and handed over — Multi-AZ, in one region, and working. Read it before you answer anything: several tasks below turn on noticing what is already there and not redesigning it.</w:t>
      </w:r>
    </w:p>
    <w:tbl>
      <w:tblPr>
        <w:tblW w:type="auto" w:w="0"/>
        <w:tblLook w:firstColumn="1" w:firstRow="1" w:lastColumn="0" w:lastRow="0" w:noHBand="0" w:noVBand="1" w:val="04A0"/>
      </w:tblPr>
      <w:tblGrid>
        <w:gridCol w:w="4706"/>
        <w:gridCol w:w="4706"/>
      </w:tblGrid>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Region</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ap-southeast-2 (Sydney). This is a design exercise — no build, so the region is the one the design calls for.</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Workload</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the YAT LMS (DOODLE) — course resources, assessment submission, gradebook, attendance and teacher notes. Every user signs in: there are no anonymous visitors, and nothing is served to anyone who has not authenticated.</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Network</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VPC 10.0.0.0/16 across two zones  ·  public-web-a / -b (load balancer + NAT)  ·  private-app-a / -b (application tier)  ·  private-data-a / -b (database)</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Campus link</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Site-to-Site VPN from the campus edge — carries AD-LDAP authentication and ICT management traffic. End-user traffic does not use it.</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Load balancing</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internet-facing Application Load Balancer across both public subnets, HTTP :80 to the LMS target group. TLS is not terminated here — the hostname and its certificate are YAT ICT's.</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Compute</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Auto Scaling group across private-app-a and -b, min 2 / desired 2 / max 4, target tracking on CPU at 70%; burstable general-purpose instances running Windows Server with DOODLE installed</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Database</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Amazon RDS for MySQL, Multi-AZ — primary in private-data-a, synchronous standby in private-data-b, automatic failover typically under two minutes, encrypted, 7-day backup retention</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Storage</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block storage only. Course materials, uploaded submissions and the database all sit on EBS volumes attached to the instances and to RDS. There is no object storage in use for the LMS at all.</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Internet</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an internet gateway, and a NAT gateway in each zone so an availability-zone outage does not remove outbound access for the surviving zone</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Availability posture</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tolerates an instance failure and a single-zone failure without intervention; meets the 99.9% target. Recovery from the loss of the whole Sydney region is not provided for.</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What is NOT in place</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anything outside this one region. No edge delivery, no presence in India, no cross-region recovery, and no audit-log service.</w:t>
            </w:r>
          </w:p>
        </w:tc>
      </w:tr>
    </w:tbl>
    <w:p/>
    <w:p>
      <w:pPr>
        <w:spacing w:after="80"/>
      </w:pPr>
      <w:r>
        <w:rPr>
          <w:sz w:val="21"/>
        </w:rPr>
        <w:t xml:space="preserve">•  </w:t>
      </w:r>
      <w:hyperlink r:id="rId13">
        <w:r>
          <w:rPr>
            <w:sz w:val="21"/>
            <w:color w:val="0563C1"/>
            <w:u w:val="single"/>
          </w:rPr>
          <w:t>Network Diagram (HA-hardened) — the environment drawn out, including the campus VPN the LMS depends on</w:t>
        </w:r>
      </w:hyperlink>
    </w:p>
    <w:p>
      <w:pPr>
        <w:spacing w:after="200"/>
      </w:pPr>
      <w:r>
        <w:rPr>
          <w:b w:val="0"/>
          <w:i/>
          <w:color w:val="6B6660"/>
          <w:sz w:val="19"/>
        </w:rPr>
        <w:t>Your work is the AWS infrastructure. DOODLE itself, the course content and the campus network are not yours to change — the requirements are explicit that no operating system or application version changes as part of this engagement.</w:t>
      </w:r>
    </w:p>
    <w:p>
      <w:pPr>
        <w:spacing w:before="200" w:after="0"/>
      </w:pPr>
      <w:r>
        <w:rPr>
          <w:b/>
          <w:color w:val="1F5A5C"/>
          <w:sz w:val="16"/>
        </w:rPr>
        <w:t>TASK 1</w:t>
      </w:r>
    </w:p>
    <w:p>
      <w:pPr>
        <w:pStyle w:val="Heading2"/>
      </w:pPr>
      <w:r>
        <w:rPr>
          <w:color w:val="1F5A5C"/>
        </w:rPr>
        <w:t>The scaling needs this design has to meet</w:t>
      </w:r>
    </w:p>
    <w:p>
      <w:pPr>
        <w:spacing w:after="120"/>
      </w:pPr>
      <w:r>
        <w:rPr>
          <w:b w:val="0"/>
          <w:i w:val="0"/>
          <w:sz w:val="21"/>
        </w:rPr>
        <w:t>Before you design anything, establish what the design is held to. Read the requirements and the application specification, and record the scaling and performance needs this expansion must meet. Name the document each one came from — a target you cannot attribute is one you have assumed.</w:t>
      </w:r>
    </w:p>
    <w:p>
      <w:pPr>
        <w:spacing w:after="60"/>
      </w:pPr>
      <w:r>
        <w:rPr>
          <w:b/>
          <w:i w:val="0"/>
          <w:sz w:val="19"/>
        </w:rPr>
        <w:t>Related resources</w:t>
      </w:r>
    </w:p>
    <w:p>
      <w:pPr>
        <w:spacing w:after="60"/>
        <w:ind w:left="340"/>
      </w:pPr>
      <w:r>
        <w:rPr>
          <w:sz w:val="19"/>
        </w:rPr>
        <w:t xml:space="preserve">•  </w:t>
      </w:r>
      <w:hyperlink r:id="rId14">
        <w:r>
          <w:rPr>
            <w:sz w:val="19"/>
            <w:color w:val="0563C1"/>
            <w:u w:val="single"/>
          </w:rPr>
          <w:t>LMS Global Expansion — Functional &amp; Non-Functional Requirements — the targets YAT signed off on. The figures you need are here</w:t>
        </w:r>
      </w:hyperlink>
    </w:p>
    <w:p>
      <w:pPr>
        <w:spacing w:after="60"/>
        <w:ind w:left="340"/>
      </w:pPr>
      <w:r>
        <w:rPr>
          <w:sz w:val="19"/>
        </w:rPr>
        <w:t xml:space="preserve">•  </w:t>
      </w:r>
      <w:hyperlink r:id="rId15">
        <w:r>
          <w:rPr>
            <w:sz w:val="19"/>
            <w:color w:val="0563C1"/>
            <w:u w:val="single"/>
          </w:rPr>
          <w:t>LMS Application Specification — the workload those targets are set against: who uses it, how many at once, and when</w:t>
        </w:r>
      </w:hyperlink>
    </w:p>
    <w:p/>
    <w:p>
      <w:pPr>
        <w:spacing w:after="60"/>
      </w:pPr>
      <w:r>
        <w:rPr>
          <w:b w:val="0"/>
          <w:i/>
          <w:color w:val="6B6660"/>
          <w:sz w:val="18"/>
        </w:rPr>
        <w:t>The first row is filled in as an example — yours go underneath.</w:t>
      </w:r>
    </w:p>
    <w:tbl>
      <w:tblPr>
        <w:tblW w:type="auto" w:w="0"/>
        <w:tblLook w:firstColumn="1" w:firstRow="1" w:lastColumn="0" w:lastRow="0" w:noHBand="0" w:noVBand="1" w:val="04A0"/>
      </w:tblPr>
      <w:tblGrid>
        <w:gridCol w:w="3137"/>
        <w:gridCol w:w="3137"/>
        <w:gridCol w:w="3137"/>
      </w:tblGrid>
      <w:tr>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Need</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What the requirement says</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Where it came from</w:t>
            </w:r>
          </w:p>
        </w:tc>
      </w:tr>
      <w:tr>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Preserve the operating system and application stack</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no change to the LMS operating system or DOODLE version as part of this engagement — whatever you design has to sit around the existing platform rather than replace any of it</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Functional &amp; Non-Functional Requirements — non-functional requirements</w:t>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Serve the India cohort with acceptable latency</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Scale up and down with demand</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Availability must not be degraded</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Read-heavy traffic profile</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Cost-effectiveness</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19"/>
        </w:rPr>
        <w:t>Things to consider</w:t>
      </w:r>
    </w:p>
    <w:p>
      <w:pPr>
        <w:spacing w:after="60"/>
        <w:ind w:left="340"/>
      </w:pPr>
      <w:r>
        <w:rPr>
          <w:sz w:val="19"/>
        </w:rPr>
        <w:t xml:space="preserve">•  </w:t>
      </w:r>
      <w:r>
        <w:rPr>
          <w:i/>
          <w:color w:val="1F5A5C"/>
          <w:sz w:val="19"/>
        </w:rPr>
        <w:t>A target you cannot quote a source for is a target you invented. Where would a figure like '99.9% availability' actually be written down for the LMS?</w:t>
      </w:r>
    </w:p>
    <w:p>
      <w:pPr>
        <w:spacing w:after="60"/>
        <w:ind w:left="340"/>
      </w:pPr>
      <w:r>
        <w:rPr>
          <w:sz w:val="19"/>
        </w:rPr>
        <w:t xml:space="preserve">•  </w:t>
      </w:r>
      <w:r>
        <w:rPr>
          <w:i/>
          <w:color w:val="1F5A5C"/>
          <w:sz w:val="19"/>
        </w:rPr>
        <w:t>The requirements say the load varies across the academic calendar. By how much, when, and which document puts a number on it?</w:t>
      </w:r>
    </w:p>
    <w:p>
      <w:pPr>
        <w:spacing w:after="60"/>
        <w:ind w:left="340"/>
      </w:pPr>
      <w:r>
        <w:rPr>
          <w:sz w:val="19"/>
        </w:rPr>
        <w:t xml:space="preserve">•  </w:t>
      </w:r>
      <w:r>
        <w:rPr>
          <w:i/>
          <w:color w:val="1F5A5C"/>
          <w:sz w:val="19"/>
        </w:rPr>
        <w:t>'Read-heavy' means something specific for an LMS. What is being read all day, and what is comparatively rare?</w:t>
      </w:r>
    </w:p>
    <w:p>
      <w:pPr>
        <w:spacing w:after="60"/>
        <w:ind w:left="340"/>
      </w:pPr>
      <w:r>
        <w:rPr>
          <w:sz w:val="19"/>
        </w:rPr>
        <w:t xml:space="preserve">•  </w:t>
      </w:r>
      <w:r>
        <w:rPr>
          <w:i/>
          <w:color w:val="1F5A5C"/>
          <w:sz w:val="19"/>
        </w:rPr>
        <w:t>The India cohort is additional load, not replacement load. Does that change any of the numbers you have just written down?</w:t>
      </w:r>
    </w:p>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2</w:t>
      </w:r>
    </w:p>
    <w:p>
      <w:pPr>
        <w:pStyle w:val="Heading2"/>
      </w:pPr>
      <w:r>
        <w:rPr>
          <w:color w:val="1F5A5C"/>
        </w:rPr>
        <w:t>Review the current architecture against those needs</w:t>
      </w:r>
    </w:p>
    <w:p>
      <w:pPr>
        <w:spacing w:after="120"/>
      </w:pPr>
      <w:r>
        <w:rPr>
          <w:b w:val="0"/>
          <w:i w:val="0"/>
          <w:sz w:val="21"/>
        </w:rPr>
        <w:t>Go through the current architecture layer by layer. For each, say whether it meets the needs you recorded in task 1, and if it does not, why not. Work from what is described above and in the infrastructure specifications — not from what you would expect a cloud LMS to look like.</w:t>
      </w:r>
    </w:p>
    <w:p>
      <w:pPr>
        <w:spacing w:after="60"/>
      </w:pPr>
      <w:r>
        <w:rPr>
          <w:b/>
          <w:i w:val="0"/>
          <w:sz w:val="19"/>
        </w:rPr>
        <w:t>Related resources</w:t>
      </w:r>
    </w:p>
    <w:p>
      <w:pPr>
        <w:spacing w:after="60"/>
        <w:ind w:left="340"/>
      </w:pPr>
      <w:r>
        <w:rPr>
          <w:sz w:val="19"/>
        </w:rPr>
        <w:t xml:space="preserve">•  </w:t>
      </w:r>
      <w:hyperlink r:id="rId16">
        <w:r>
          <w:rPr>
            <w:sz w:val="19"/>
            <w:color w:val="0563C1"/>
            <w:u w:val="single"/>
          </w:rPr>
          <w:t>LMS Infrastructure Specifications — the HA-hardened environment as it stands today, tier by tier</w:t>
        </w:r>
      </w:hyperlink>
    </w:p>
    <w:p>
      <w:pPr>
        <w:spacing w:after="60"/>
        <w:ind w:left="340"/>
      </w:pPr>
      <w:r>
        <w:rPr>
          <w:sz w:val="19"/>
        </w:rPr>
        <w:t xml:space="preserve">•  </w:t>
      </w:r>
      <w:hyperlink r:id="rId13">
        <w:r>
          <w:rPr>
            <w:sz w:val="19"/>
            <w:color w:val="0563C1"/>
            <w:u w:val="single"/>
          </w:rPr>
          <w:t>Network Diagram (HA-hardened) — the same environment drawn out</w:t>
        </w:r>
      </w:hyperlink>
    </w:p>
    <w:p/>
    <w:p>
      <w:pPr>
        <w:spacing w:after="60"/>
      </w:pPr>
      <w:r>
        <w:rPr>
          <w:b w:val="0"/>
          <w:i/>
          <w:color w:val="6B6660"/>
          <w:sz w:val="18"/>
        </w:rPr>
        <w:t>The first row is filled in as an example — yours go underneath.</w:t>
      </w:r>
    </w:p>
    <w:tbl>
      <w:tblPr>
        <w:tblW w:type="auto" w:w="0"/>
        <w:tblLook w:firstColumn="1" w:firstRow="1" w:lastColumn="0" w:lastRow="0" w:noHBand="0" w:noVBand="1" w:val="04A0"/>
      </w:tblPr>
      <w:tblGrid>
        <w:gridCol w:w="3137"/>
        <w:gridCol w:w="3137"/>
        <w:gridCol w:w="3137"/>
      </w:tblGrid>
      <w:tr>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Layer</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Meets the needs?</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Why / why not</w:t>
            </w:r>
          </w:p>
        </w:tc>
      </w:tr>
      <w:tr>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Load balancing</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Yes</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The ALB already spans both availability zones and scales with the tier behind it. Nothing about adding a distant audience changes what it does. Notice that this row says yes — several layers here are already adequate, and finding them matters as much as finding the gaps.</w:t>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Compute</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Database</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Storage</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Content delivery</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India presence</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Campus VPN dependency</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19"/>
        </w:rPr>
        <w:t>Things to consider</w:t>
      </w:r>
    </w:p>
    <w:p>
      <w:pPr>
        <w:spacing w:after="60"/>
        <w:ind w:left="340"/>
      </w:pPr>
      <w:r>
        <w:rPr>
          <w:sz w:val="19"/>
        </w:rPr>
        <w:t xml:space="preserve">•  </w:t>
      </w:r>
      <w:r>
        <w:rPr>
          <w:i/>
          <w:color w:val="1F5A5C"/>
          <w:sz w:val="19"/>
        </w:rPr>
        <w:t>Read the Storage row of the architecture table again. Where do course materials and uploaded submissions actually live? What does that mean for serving them to someone in India?</w:t>
      </w:r>
    </w:p>
    <w:p>
      <w:pPr>
        <w:spacing w:after="60"/>
        <w:ind w:left="340"/>
      </w:pPr>
      <w:r>
        <w:rPr>
          <w:sz w:val="19"/>
        </w:rPr>
        <w:t xml:space="preserve">•  </w:t>
      </w:r>
      <w:r>
        <w:rPr>
          <w:i/>
          <w:color w:val="1F5A5C"/>
          <w:sz w:val="19"/>
        </w:rPr>
        <w:t>The Auto Scaling group is min 2 / max 4 on CPU at 70%. Is the problem with the India cohort a capacity problem, a distance problem, or both?</w:t>
      </w:r>
    </w:p>
    <w:p>
      <w:pPr>
        <w:spacing w:after="60"/>
        <w:ind w:left="340"/>
      </w:pPr>
      <w:r>
        <w:rPr>
          <w:sz w:val="19"/>
        </w:rPr>
        <w:t xml:space="preserve">•  </w:t>
      </w:r>
      <w:r>
        <w:rPr>
          <w:i/>
          <w:color w:val="1F5A5C"/>
          <w:sz w:val="19"/>
        </w:rPr>
        <w:t>The database is Multi-AZ in Sydney. For a student in India, how far does a page request travel before anything is read?</w:t>
      </w:r>
    </w:p>
    <w:p>
      <w:pPr>
        <w:spacing w:after="60"/>
        <w:ind w:left="340"/>
      </w:pPr>
      <w:r>
        <w:rPr>
          <w:sz w:val="19"/>
        </w:rPr>
        <w:t xml:space="preserve">•  </w:t>
      </w:r>
      <w:r>
        <w:rPr>
          <w:i/>
          <w:color w:val="1F5A5C"/>
          <w:sz w:val="19"/>
        </w:rPr>
        <w:t>Which layers here already meet their needs? A review that recommends rebuilding something that already works has misread the task.</w:t>
      </w:r>
    </w:p>
    <w:p>
      <w:pPr>
        <w:spacing w:after="60"/>
        <w:ind w:left="340"/>
      </w:pPr>
      <w:r>
        <w:rPr>
          <w:sz w:val="19"/>
        </w:rPr>
        <w:t xml:space="preserve">•  </w:t>
      </w:r>
      <w:r>
        <w:rPr>
          <w:i/>
          <w:color w:val="1F5A5C"/>
          <w:sz w:val="19"/>
        </w:rPr>
        <w:t>The campus VPN carries AD-LDAP authentication. Every user signs in. Is that a layer worth a row?</w:t>
      </w:r>
    </w:p>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3</w:t>
      </w:r>
    </w:p>
    <w:p>
      <w:pPr>
        <w:pStyle w:val="Heading2"/>
      </w:pPr>
      <w:r>
        <w:rPr>
          <w:color w:val="1F5A5C"/>
        </w:rPr>
        <w:t>The residency obligation, as a design input</w:t>
      </w:r>
    </w:p>
    <w:p>
      <w:pPr>
        <w:spacing w:after="120"/>
      </w:pPr>
      <w:r>
        <w:rPr>
          <w:b w:val="0"/>
          <w:i w:val="0"/>
          <w:sz w:val="21"/>
        </w:rPr>
        <w:t>Read the Data Residency &amp; Sovereignty Requirements and record what they oblige this design to do. Be precise about the boundary: note what must be held in India and what may remain in Australia. This is an input that shapes your design — you are not writing a compliance plan, and you are not interpreting the law.</w:t>
      </w:r>
    </w:p>
    <w:p>
      <w:pPr>
        <w:spacing w:after="60"/>
      </w:pPr>
      <w:r>
        <w:rPr>
          <w:b/>
          <w:i w:val="0"/>
          <w:sz w:val="19"/>
        </w:rPr>
        <w:t>Related resources</w:t>
      </w:r>
    </w:p>
    <w:p>
      <w:pPr>
        <w:spacing w:after="60"/>
        <w:ind w:left="340"/>
      </w:pPr>
      <w:r>
        <w:rPr>
          <w:sz w:val="19"/>
        </w:rPr>
        <w:t xml:space="preserve">•  </w:t>
      </w:r>
      <w:hyperlink r:id="rId17">
        <w:r>
          <w:rPr>
            <w:sz w:val="19"/>
            <w:color w:val="0563C1"/>
            <w:u w:val="single"/>
          </w:rPr>
          <w:t>Data Residency &amp; Sovereignty Requirements — the India obligations, and what they do and do not require</w:t>
        </w:r>
      </w:hyperlink>
    </w:p>
    <w:p/>
    <w:p>
      <w:pPr>
        <w:spacing w:after="60"/>
      </w:pPr>
      <w:r>
        <w:rPr>
          <w:b w:val="0"/>
          <w:i/>
          <w:color w:val="6B6660"/>
          <w:sz w:val="18"/>
        </w:rPr>
        <w:t>The first row is filled in as an example — yours go underneath.</w:t>
      </w:r>
    </w:p>
    <w:tbl>
      <w:tblPr>
        <w:tblW w:type="auto" w:w="0"/>
        <w:tblLook w:firstColumn="1" w:firstRow="1" w:lastColumn="0" w:lastRow="0" w:noHBand="0" w:noVBand="1" w:val="04A0"/>
      </w:tblPr>
      <w:tblGrid>
        <w:gridCol w:w="3137"/>
        <w:gridCol w:w="3137"/>
        <w:gridCol w:w="3137"/>
      </w:tblGrid>
      <w:tr>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Reference</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What the design must do</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What it does not require</w:t>
            </w:r>
          </w:p>
        </w:tc>
      </w:tr>
      <w:tr>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DR-R5</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keep the handling of India-cohort personal data consistent with YAT's Privacy / Data Handling and Security and Incident Response policies</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it does not ask for a separate compliance deliverable — this one is a constraint on how you design, not a thing you build</w:t>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DR-R1</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DR-R2</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DR-R3</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DR-R4</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19"/>
        </w:rPr>
        <w:t>Things to consider</w:t>
      </w:r>
    </w:p>
    <w:p>
      <w:pPr>
        <w:spacing w:after="60"/>
        <w:ind w:left="340"/>
      </w:pPr>
      <w:r>
        <w:rPr>
          <w:sz w:val="19"/>
        </w:rPr>
        <w:t xml:space="preserve">•  </w:t>
      </w:r>
      <w:r>
        <w:rPr>
          <w:i/>
          <w:color w:val="1F5A5C"/>
          <w:sz w:val="19"/>
        </w:rPr>
        <w:t>DR-R1 and DR-R3 pull in opposite directions on purpose. One says something must be in India; the other says something may stay in Australia. Exactly which data is each one talking about?</w:t>
      </w:r>
    </w:p>
    <w:p>
      <w:pPr>
        <w:spacing w:after="60"/>
        <w:ind w:left="340"/>
      </w:pPr>
      <w:r>
        <w:rPr>
          <w:sz w:val="19"/>
        </w:rPr>
        <w:t xml:space="preserve">•  </w:t>
      </w:r>
      <w:r>
        <w:rPr>
          <w:i/>
          <w:color w:val="1F5A5C"/>
          <w:sz w:val="19"/>
        </w:rPr>
        <w:t>If you read this and conclude the whole LMS has to move to India, every task after this one will over-build. Is that what DR-R3 says?</w:t>
      </w:r>
    </w:p>
    <w:p>
      <w:pPr>
        <w:spacing w:after="60"/>
        <w:ind w:left="340"/>
      </w:pPr>
      <w:r>
        <w:rPr>
          <w:sz w:val="19"/>
        </w:rPr>
        <w:t xml:space="preserve">•  </w:t>
      </w:r>
      <w:r>
        <w:rPr>
          <w:i/>
          <w:color w:val="1F5A5C"/>
          <w:sz w:val="19"/>
        </w:rPr>
        <w:t>DR-R2 sets a six-hour clock. Six hours from what, and what does that imply about how the logs are stored — not just where?</w:t>
      </w:r>
    </w:p>
    <w:p>
      <w:pPr>
        <w:spacing w:after="60"/>
        <w:ind w:left="340"/>
      </w:pPr>
      <w:r>
        <w:rPr>
          <w:sz w:val="19"/>
        </w:rPr>
        <w:t xml:space="preserve">•  </w:t>
      </w:r>
      <w:r>
        <w:rPr>
          <w:i/>
          <w:color w:val="1F5A5C"/>
          <w:sz w:val="19"/>
        </w:rPr>
        <w:t>DR-R4 is about the future, not now. What would you have to do differently TODAY so that a later change is a deployment rather than a redesign?</w:t>
      </w:r>
    </w:p>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4</w:t>
      </w:r>
    </w:p>
    <w:p>
      <w:pPr>
        <w:pStyle w:val="Heading2"/>
      </w:pPr>
      <w:r>
        <w:rPr>
          <w:color w:val="1F5A5C"/>
        </w:rPr>
        <w:t>The cloud services this design needs</w:t>
      </w:r>
    </w:p>
    <w:p>
      <w:pPr>
        <w:spacing w:after="120"/>
      </w:pPr>
      <w:r>
        <w:rPr>
          <w:b w:val="0"/>
          <w:i w:val="0"/>
          <w:sz w:val="21"/>
        </w:rPr>
        <w:t>Name the cloud services you will use to close the gaps you found in task 2, and say what each one does for you. One row per service. You are identifying the toolkit here; the design decisions come in the tasks after this one.</w:t>
      </w:r>
    </w:p>
    <w:p>
      <w:pPr>
        <w:spacing w:after="60"/>
      </w:pPr>
      <w:r>
        <w:rPr>
          <w:b/>
          <w:i w:val="0"/>
          <w:sz w:val="19"/>
        </w:rPr>
        <w:t>Related resources</w:t>
      </w:r>
    </w:p>
    <w:p>
      <w:pPr>
        <w:spacing w:after="60"/>
        <w:ind w:left="340"/>
      </w:pPr>
      <w:r>
        <w:rPr>
          <w:sz w:val="19"/>
        </w:rPr>
        <w:t xml:space="preserve">•  </w:t>
      </w:r>
      <w:hyperlink r:id="rId18">
        <w:r>
          <w:rPr>
            <w:sz w:val="19"/>
            <w:color w:val="0563C1"/>
            <w:u w:val="single"/>
          </w:rPr>
          <w:t>Reference Architectures — the service patterns YAT's architects work from</w:t>
        </w:r>
      </w:hyperlink>
    </w:p>
    <w:p/>
    <w:p>
      <w:pPr>
        <w:spacing w:after="60"/>
      </w:pPr>
      <w:r>
        <w:rPr>
          <w:b w:val="0"/>
          <w:i/>
          <w:color w:val="6B6660"/>
          <w:sz w:val="18"/>
        </w:rPr>
        <w:t>The first row is filled in as an example — yours go underneath.</w:t>
      </w:r>
    </w:p>
    <w:tbl>
      <w:tblPr>
        <w:tblW w:type="auto" w:w="0"/>
        <w:tblLook w:firstColumn="1" w:firstRow="1" w:lastColumn="0" w:lastRow="0" w:noHBand="0" w:noVBand="1" w:val="04A0"/>
      </w:tblPr>
      <w:tblGrid>
        <w:gridCol w:w="3137"/>
        <w:gridCol w:w="3137"/>
        <w:gridCol w:w="3137"/>
      </w:tblGrid>
      <w:tr>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Gap it closes</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Service</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What it does here</w:t>
            </w:r>
          </w:p>
        </w:tc>
      </w:tr>
      <w:tr>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Repeatable Indian footprint</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Infrastructure as code (CloudFormation)</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lets the India-side resources be defined once and stood up by parameter, so a second region is a deployment rather than a rebuild. This one is here because DR-R4 asks for it, not because code is tidier than clicking.</w:t>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19"/>
        </w:rPr>
        <w:t>Things to consider</w:t>
      </w:r>
    </w:p>
    <w:p>
      <w:pPr>
        <w:spacing w:after="60"/>
        <w:ind w:left="340"/>
      </w:pPr>
      <w:r>
        <w:rPr>
          <w:sz w:val="19"/>
        </w:rPr>
        <w:t xml:space="preserve">•  </w:t>
      </w:r>
      <w:r>
        <w:rPr>
          <w:i/>
          <w:color w:val="1F5A5C"/>
          <w:sz w:val="19"/>
        </w:rPr>
        <w:t>Go back to your task 2 gaps. Every service you name here should close one of them — if you cannot say which, it does not belong in the table.</w:t>
      </w:r>
    </w:p>
    <w:p>
      <w:pPr>
        <w:spacing w:after="60"/>
        <w:ind w:left="340"/>
      </w:pPr>
      <w:r>
        <w:rPr>
          <w:sz w:val="19"/>
        </w:rPr>
        <w:t xml:space="preserve">•  </w:t>
      </w:r>
      <w:r>
        <w:rPr>
          <w:i/>
          <w:color w:val="1F5A5C"/>
          <w:sz w:val="19"/>
        </w:rPr>
        <w:t>Two gaps need something in front of the LMS and something inside India. What kind of service does each of those?</w:t>
      </w:r>
    </w:p>
    <w:p>
      <w:pPr>
        <w:spacing w:after="60"/>
        <w:ind w:left="340"/>
      </w:pPr>
      <w:r>
        <w:rPr>
          <w:sz w:val="19"/>
        </w:rPr>
        <w:t xml:space="preserve">•  </w:t>
      </w:r>
      <w:r>
        <w:rPr>
          <w:i/>
          <w:color w:val="1F5A5C"/>
          <w:sz w:val="19"/>
        </w:rPr>
        <w:t>The log store holds append-only records with one key, read by time window. What kind of database is that, and is it the same kind the LMS already uses?</w:t>
      </w:r>
    </w:p>
    <w:p>
      <w:pPr>
        <w:spacing w:after="60"/>
        <w:ind w:left="340"/>
      </w:pPr>
      <w:r>
        <w:rPr>
          <w:sz w:val="19"/>
        </w:rPr>
        <w:t xml:space="preserve">•  </w:t>
      </w:r>
      <w:r>
        <w:rPr>
          <w:i/>
          <w:color w:val="1F5A5C"/>
          <w:sz w:val="19"/>
        </w:rPr>
        <w:t>Something has to receive events from the LMS, hold them if the writer is busy, process them and store them. That is more than one service.</w:t>
      </w:r>
    </w:p>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5</w:t>
      </w:r>
    </w:p>
    <w:p>
      <w:pPr>
        <w:pStyle w:val="Heading2"/>
      </w:pPr>
      <w:r>
        <w:rPr>
          <w:color w:val="1F5A5C"/>
        </w:rPr>
        <w:t>Design — the network and entry point</w:t>
      </w:r>
    </w:p>
    <w:p>
      <w:pPr>
        <w:spacing w:after="120"/>
      </w:pPr>
      <w:r>
        <w:rPr>
          <w:b w:val="0"/>
          <w:i w:val="0"/>
          <w:sz w:val="21"/>
        </w:rPr>
        <w:t>Design how a user's request reaches the LMS once the expansion is in place. Say what sits in front of the load balancer, how a user in India is routed, and what changes inside the VPC. Remember the load balancer, subnets and security groups already exist — say where you leave them alone.</w:t>
      </w:r>
    </w:p>
    <w:p>
      <w:pPr>
        <w:spacing w:after="60"/>
      </w:pPr>
      <w:r>
        <w:rPr>
          <w:b w:val="0"/>
          <w:i/>
          <w:color w:val="6B6660"/>
          <w:sz w:val="18"/>
        </w:rPr>
        <w:t>The first row is filled in as an example — yours go underneath.</w:t>
      </w:r>
    </w:p>
    <w:tbl>
      <w:tblPr>
        <w:tblW w:type="auto" w:w="0"/>
        <w:tblLook w:firstColumn="1" w:firstRow="1" w:lastColumn="0" w:lastRow="0" w:noHBand="0" w:noVBand="1" w:val="04A0"/>
      </w:tblPr>
      <w:tblGrid>
        <w:gridCol w:w="3137"/>
        <w:gridCol w:w="3137"/>
        <w:gridCol w:w="3137"/>
      </w:tblGrid>
      <w:tr>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Element</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Your design</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Why</w:t>
            </w:r>
          </w:p>
        </w:tc>
      </w:tr>
      <w:tr>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Subnets and routing</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unchanged</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Nothing about serving a distant audience requires a different VPC layout. Saying so explicitly is part of the answer — the task is about designing CHANGES, and 'no change, and here is why' is a design decision.</w:t>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Public entry point</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DNS</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Load balancer</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Campus VPN</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19"/>
        </w:rPr>
        <w:t>Things to consider</w:t>
      </w:r>
    </w:p>
    <w:p>
      <w:pPr>
        <w:spacing w:after="60"/>
        <w:ind w:left="340"/>
      </w:pPr>
      <w:r>
        <w:rPr>
          <w:sz w:val="19"/>
        </w:rPr>
        <w:t xml:space="preserve">•  </w:t>
      </w:r>
      <w:r>
        <w:rPr>
          <w:i/>
          <w:color w:val="1F5A5C"/>
          <w:sz w:val="19"/>
        </w:rPr>
        <w:t>If you put something in front of the load balancer, what does the load balancer become to it?</w:t>
      </w:r>
    </w:p>
    <w:p>
      <w:pPr>
        <w:spacing w:after="60"/>
        <w:ind w:left="340"/>
      </w:pPr>
      <w:r>
        <w:rPr>
          <w:sz w:val="19"/>
        </w:rPr>
        <w:t xml:space="preserve">•  </w:t>
      </w:r>
      <w:r>
        <w:rPr>
          <w:i/>
          <w:color w:val="1F5A5C"/>
          <w:sz w:val="19"/>
        </w:rPr>
        <w:t>The LMS has one hostname today. Does a user in India get a different one, or the same one resolved differently? What would each choice cost you?</w:t>
      </w:r>
    </w:p>
    <w:p>
      <w:pPr>
        <w:spacing w:after="60"/>
        <w:ind w:left="340"/>
      </w:pPr>
      <w:r>
        <w:rPr>
          <w:sz w:val="19"/>
        </w:rPr>
        <w:t xml:space="preserve">•  </w:t>
      </w:r>
      <w:r>
        <w:rPr>
          <w:i/>
          <w:color w:val="1F5A5C"/>
          <w:sz w:val="19"/>
        </w:rPr>
        <w:t>The ALB is internet-facing. Once there is an edge layer, can someone still reach the ALB directly — and does that matter?</w:t>
      </w:r>
    </w:p>
    <w:p>
      <w:pPr>
        <w:spacing w:after="60"/>
        <w:ind w:left="340"/>
      </w:pPr>
      <w:r>
        <w:rPr>
          <w:sz w:val="19"/>
        </w:rPr>
        <w:t xml:space="preserve">•  </w:t>
      </w:r>
      <w:r>
        <w:rPr>
          <w:i/>
          <w:color w:val="1F5A5C"/>
          <w:sz w:val="19"/>
        </w:rPr>
        <w:t>The campus VPN carries authentication traffic. Does anything you are adding sit in that path?</w:t>
      </w:r>
    </w:p>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6</w:t>
      </w:r>
    </w:p>
    <w:p>
      <w:pPr>
        <w:pStyle w:val="Heading2"/>
      </w:pPr>
      <w:r>
        <w:rPr>
          <w:color w:val="1F5A5C"/>
        </w:rPr>
        <w:t>Design — the compute tier</w:t>
      </w:r>
    </w:p>
    <w:p>
      <w:pPr>
        <w:spacing w:after="120"/>
      </w:pPr>
      <w:r>
        <w:rPr>
          <w:b w:val="0"/>
          <w:i w:val="0"/>
          <w:sz w:val="21"/>
        </w:rPr>
        <w:t>Say what happens to the application tier under the expansion. Consider the end-of-term assessment peak with the India cohort added to it, and what an edge layer does — and does not do — to the volume of requests that actually reach an instance.</w:t>
      </w:r>
    </w:p>
    <w:p>
      <w:pPr>
        <w:spacing w:after="60"/>
      </w:pPr>
      <w:r>
        <w:rPr>
          <w:b w:val="0"/>
          <w:i/>
          <w:color w:val="6B6660"/>
          <w:sz w:val="18"/>
        </w:rPr>
        <w:t>The first row is filled in as an example — yours go underneath.</w:t>
      </w:r>
    </w:p>
    <w:tbl>
      <w:tblPr>
        <w:tblW w:type="auto" w:w="0"/>
        <w:tblLook w:firstColumn="1" w:firstRow="1" w:lastColumn="0" w:lastRow="0" w:noHBand="0" w:noVBand="1" w:val="04A0"/>
      </w:tblPr>
      <w:tblGrid>
        <w:gridCol w:w="3137"/>
        <w:gridCol w:w="3137"/>
        <w:gridCol w:w="3137"/>
      </w:tblGrid>
      <w:tr>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Element</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Your design</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Why</w:t>
            </w:r>
          </w:p>
        </w:tc>
      </w:tr>
      <w:tr>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Scaling signal</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keep target tracking, and reconsider what it tracks</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The tier scales on CPU at 70% today. Whether that is still the right signal depends on what reaches an instance after you have designed the edge layer — so this row cannot be settled until task 8 is.</w:t>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Auto Scaling group</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Minimum capacity</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Maximum capacity</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Effect of the edge</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19"/>
        </w:rPr>
        <w:t>Things to consider</w:t>
      </w:r>
    </w:p>
    <w:p>
      <w:pPr>
        <w:spacing w:after="60"/>
        <w:ind w:left="340"/>
      </w:pPr>
      <w:r>
        <w:rPr>
          <w:sz w:val="19"/>
        </w:rPr>
        <w:t xml:space="preserve">•  </w:t>
      </w:r>
      <w:r>
        <w:rPr>
          <w:i/>
          <w:color w:val="1F5A5C"/>
          <w:sz w:val="19"/>
        </w:rPr>
        <w:t>The minimum is 2 — one instance per zone. What is that number actually holding up, and what happens to availability if you lower it?</w:t>
      </w:r>
    </w:p>
    <w:p>
      <w:pPr>
        <w:spacing w:after="60"/>
        <w:ind w:left="340"/>
      </w:pPr>
      <w:r>
        <w:rPr>
          <w:sz w:val="19"/>
        </w:rPr>
        <w:t xml:space="preserve">•  </w:t>
      </w:r>
      <w:r>
        <w:rPr>
          <w:i/>
          <w:color w:val="1F5A5C"/>
          <w:sz w:val="19"/>
        </w:rPr>
        <w:t>The maximum is 4 and the peak is about 3x normal load. Add a cohort to that. Does 4 still hold?</w:t>
      </w:r>
    </w:p>
    <w:p>
      <w:pPr>
        <w:spacing w:after="60"/>
        <w:ind w:left="340"/>
      </w:pPr>
      <w:r>
        <w:rPr>
          <w:sz w:val="19"/>
        </w:rPr>
        <w:t xml:space="preserve">•  </w:t>
      </w:r>
      <w:r>
        <w:rPr>
          <w:i/>
          <w:color w:val="1F5A5C"/>
          <w:sz w:val="19"/>
        </w:rPr>
        <w:t>Here is the one that matters: the LMS is authenticated. How much of what a signed-in student requests can be served without reaching an instance at all? Be honest — the answer is not 'most of it'.</w:t>
      </w:r>
    </w:p>
    <w:p>
      <w:pPr>
        <w:spacing w:after="60"/>
        <w:ind w:left="340"/>
      </w:pPr>
      <w:r>
        <w:rPr>
          <w:sz w:val="19"/>
        </w:rPr>
        <w:t xml:space="preserve">•  </w:t>
      </w:r>
      <w:r>
        <w:rPr>
          <w:i/>
          <w:color w:val="1F5A5C"/>
          <w:sz w:val="19"/>
        </w:rPr>
        <w:t>The instances run Windows Server with DOODLE pre-installed and the requirements forbid changing either. Does that constrain how you scale?</w:t>
      </w:r>
    </w:p>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7</w:t>
      </w:r>
    </w:p>
    <w:p>
      <w:pPr>
        <w:pStyle w:val="Heading2"/>
      </w:pPr>
      <w:r>
        <w:rPr>
          <w:color w:val="1F5A5C"/>
        </w:rPr>
        <w:t>Design — the database and storage tier</w:t>
      </w:r>
    </w:p>
    <w:p>
      <w:pPr>
        <w:spacing w:after="120"/>
      </w:pPr>
      <w:r>
        <w:rPr>
          <w:b w:val="0"/>
          <w:i w:val="0"/>
          <w:sz w:val="21"/>
        </w:rPr>
        <w:t>Say what happens to the database and to file storage. Both already exist and both already work — the question is what the global audience and the read-heavy profile change about them, if anything. Look carefully at where LMS files actually live before you answer.</w:t>
      </w:r>
    </w:p>
    <w:p>
      <w:pPr>
        <w:spacing w:after="60"/>
      </w:pPr>
      <w:r>
        <w:rPr>
          <w:b w:val="0"/>
          <w:i/>
          <w:color w:val="6B6660"/>
          <w:sz w:val="18"/>
        </w:rPr>
        <w:t>The first row is filled in as an example — yours go underneath.</w:t>
      </w:r>
    </w:p>
    <w:tbl>
      <w:tblPr>
        <w:tblW w:type="auto" w:w="0"/>
        <w:tblLook w:firstColumn="1" w:firstRow="1" w:lastColumn="0" w:lastRow="0" w:noHBand="0" w:noVBand="1" w:val="04A0"/>
      </w:tblPr>
      <w:tblGrid>
        <w:gridCol w:w="3137"/>
        <w:gridCol w:w="3137"/>
        <w:gridCol w:w="3137"/>
      </w:tblGrid>
      <w:tr>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Element</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Your design</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Why</w:t>
            </w:r>
          </w:p>
        </w:tc>
      </w:tr>
      <w:tr>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Backups</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unchanged here</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Backups are the recovery plan's business, not the scaling design's. Naming a row and deliberately deferring it is a legitimate design move — what is not legitimate is quietly leaving it out.</w:t>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Primary database</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Read scaling</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Course materials and submissions</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Where those files live today</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19"/>
        </w:rPr>
        <w:t>Things to consider</w:t>
      </w:r>
    </w:p>
    <w:p>
      <w:pPr>
        <w:spacing w:after="60"/>
        <w:ind w:left="340"/>
      </w:pPr>
      <w:r>
        <w:rPr>
          <w:sz w:val="19"/>
        </w:rPr>
        <w:t xml:space="preserve">•  </w:t>
      </w:r>
      <w:r>
        <w:rPr>
          <w:i/>
          <w:color w:val="1F5A5C"/>
          <w:sz w:val="19"/>
        </w:rPr>
        <w:t>The website engagement has its media in object storage already. The LMS does not — course materials and submissions are on EBS volumes attached to instances. What does that mean for serving a 40 MB lecture recording to someone in India?</w:t>
      </w:r>
    </w:p>
    <w:p>
      <w:pPr>
        <w:spacing w:after="60"/>
        <w:ind w:left="340"/>
      </w:pPr>
      <w:r>
        <w:rPr>
          <w:sz w:val="19"/>
        </w:rPr>
        <w:t xml:space="preserve">•  </w:t>
      </w:r>
      <w:r>
        <w:rPr>
          <w:i/>
          <w:color w:val="1F5A5C"/>
          <w:sz w:val="19"/>
        </w:rPr>
        <w:t>If files live on an instance's own disk, what happens when the Auto Scaling group launches a second instance? Is that already a problem today, or only once you add distance?</w:t>
      </w:r>
    </w:p>
    <w:p>
      <w:pPr>
        <w:spacing w:after="60"/>
        <w:ind w:left="340"/>
      </w:pPr>
      <w:r>
        <w:rPr>
          <w:sz w:val="19"/>
        </w:rPr>
        <w:t xml:space="preserve">•  </w:t>
      </w:r>
      <w:r>
        <w:rPr>
          <w:i/>
          <w:color w:val="1F5A5C"/>
          <w:sz w:val="19"/>
        </w:rPr>
        <w:t>The requirements forbid changing the operating system or the DOODLE version. Do they forbid changing where the files sit?</w:t>
      </w:r>
    </w:p>
    <w:p>
      <w:pPr>
        <w:spacing w:after="60"/>
        <w:ind w:left="340"/>
      </w:pPr>
      <w:r>
        <w:rPr>
          <w:sz w:val="19"/>
        </w:rPr>
        <w:t xml:space="preserve">•  </w:t>
      </w:r>
      <w:r>
        <w:rPr>
          <w:i/>
          <w:color w:val="1F5A5C"/>
          <w:sz w:val="19"/>
        </w:rPr>
        <w:t>The catalogue-equivalent for an LMS is course content: read constantly, changed rarely. What does that suggest about read scaling?</w:t>
      </w:r>
    </w:p>
    <w:p>
      <w:pPr>
        <w:spacing w:after="60"/>
        <w:ind w:left="340"/>
      </w:pPr>
      <w:r>
        <w:rPr>
          <w:sz w:val="19"/>
        </w:rPr>
        <w:t xml:space="preserve">•  </w:t>
      </w:r>
      <w:r>
        <w:rPr>
          <w:i/>
          <w:color w:val="1F5A5C"/>
          <w:sz w:val="19"/>
        </w:rPr>
        <w:t>Submissions are writes, and they arrive in a spike at the end of term. Which part of the database tier does that land on?</w:t>
      </w:r>
    </w:p>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8</w:t>
      </w:r>
    </w:p>
    <w:p>
      <w:pPr>
        <w:pStyle w:val="Heading2"/>
      </w:pPr>
      <w:r>
        <w:rPr>
          <w:color w:val="1F5A5C"/>
        </w:rPr>
        <w:t>Design — serving a global audience</w:t>
      </w:r>
    </w:p>
    <w:p>
      <w:pPr>
        <w:spacing w:after="120"/>
      </w:pPr>
      <w:r>
        <w:rPr>
          <w:b w:val="0"/>
          <w:i w:val="0"/>
          <w:sz w:val="21"/>
        </w:rPr>
        <w:t>This is the task the whole expansion turns on. Set out how the architecture serves the India cohort: what is cached, where, for how long, and what cannot be cached. Every user of this system is signed in — say what that does to your answer, and how a user in Australia and a user in India each reach content.</w:t>
      </w:r>
    </w:p>
    <w:p>
      <w:pPr>
        <w:spacing w:after="60"/>
      </w:pPr>
      <w:r>
        <w:rPr>
          <w:b/>
          <w:i w:val="0"/>
          <w:sz w:val="19"/>
        </w:rPr>
        <w:t>Related resources</w:t>
      </w:r>
    </w:p>
    <w:p>
      <w:pPr>
        <w:spacing w:after="60"/>
        <w:ind w:left="340"/>
      </w:pPr>
      <w:r>
        <w:rPr>
          <w:sz w:val="19"/>
        </w:rPr>
        <w:t xml:space="preserve">•  </w:t>
      </w:r>
      <w:hyperlink r:id="rId14">
        <w:r>
          <w:rPr>
            <w:sz w:val="19"/>
            <w:color w:val="0563C1"/>
            <w:u w:val="single"/>
          </w:rPr>
          <w:t>LMS Global Expansion — Functional &amp; Non-Functional Requirements — the global serving requirement</w:t>
        </w:r>
      </w:hyperlink>
    </w:p>
    <w:p/>
    <w:p>
      <w:pPr>
        <w:spacing w:after="60"/>
      </w:pPr>
      <w:r>
        <w:rPr>
          <w:b w:val="0"/>
          <w:i/>
          <w:color w:val="6B6660"/>
          <w:sz w:val="18"/>
        </w:rPr>
        <w:t>The first row is filled in as an example — yours go underneath.</w:t>
      </w:r>
    </w:p>
    <w:tbl>
      <w:tblPr>
        <w:tblW w:type="auto" w:w="0"/>
        <w:tblLook w:firstColumn="1" w:firstRow="1" w:lastColumn="0" w:lastRow="0" w:noHBand="0" w:noVBand="1" w:val="04A0"/>
      </w:tblPr>
      <w:tblGrid>
        <w:gridCol w:w="2353"/>
        <w:gridCol w:w="2353"/>
        <w:gridCol w:w="2353"/>
        <w:gridCol w:w="2353"/>
      </w:tblGrid>
      <w:tr>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Content</w:t>
            </w:r>
          </w:p>
        </w:tc>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Cached where</w:t>
            </w:r>
          </w:p>
        </w:tc>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Policy</w:t>
            </w:r>
          </w:p>
        </w:tc>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Why</w:t>
            </w:r>
          </w:p>
        </w:tc>
      </w:tr>
      <w:tr>
        <w:tc>
          <w:tcPr>
            <w:tcW w:type="dxa" w:w="2353"/>
            <w:tcBorders>
              <w:top w:val="single" w:sz="4" w:space="0" w:color="E4DED3"/>
              <w:left w:val="single" w:sz="4" w:space="0" w:color="E4DED3"/>
              <w:bottom w:val="single" w:sz="4" w:space="0" w:color="E4DED3"/>
              <w:right w:val="single" w:sz="4" w:space="0" w:color="E4DED3"/>
            </w:tcBorders>
          </w:tcPr>
          <w:p>
            <w:r>
              <w:rPr>
                <w:i/>
                <w:color w:val="1F5A5C"/>
                <w:sz w:val="18"/>
              </w:rPr>
              <w:t>The sign-in page itself</w:t>
            </w:r>
          </w:p>
        </w:tc>
        <w:tc>
          <w:tcPr>
            <w:tcW w:type="dxa" w:w="2353"/>
            <w:tcBorders>
              <w:top w:val="single" w:sz="4" w:space="0" w:color="E4DED3"/>
              <w:left w:val="single" w:sz="4" w:space="0" w:color="E4DED3"/>
              <w:bottom w:val="single" w:sz="4" w:space="0" w:color="E4DED3"/>
              <w:right w:val="single" w:sz="4" w:space="0" w:color="E4DED3"/>
            </w:tcBorders>
          </w:tcPr>
          <w:p>
            <w:r>
              <w:rPr>
                <w:i/>
                <w:color w:val="1F5A5C"/>
                <w:sz w:val="18"/>
              </w:rPr>
              <w:t>edge</w:t>
            </w:r>
          </w:p>
        </w:tc>
        <w:tc>
          <w:tcPr>
            <w:tcW w:type="dxa" w:w="2353"/>
            <w:tcBorders>
              <w:top w:val="single" w:sz="4" w:space="0" w:color="E4DED3"/>
              <w:left w:val="single" w:sz="4" w:space="0" w:color="E4DED3"/>
              <w:bottom w:val="single" w:sz="4" w:space="0" w:color="E4DED3"/>
              <w:right w:val="single" w:sz="4" w:space="0" w:color="E4DED3"/>
            </w:tcBorders>
          </w:tcPr>
          <w:p>
            <w:r>
              <w:rPr>
                <w:i/>
                <w:color w:val="1F5A5C"/>
                <w:sz w:val="18"/>
              </w:rPr>
              <w:t>cached, short TTL</w:t>
            </w:r>
          </w:p>
        </w:tc>
        <w:tc>
          <w:tcPr>
            <w:tcW w:type="dxa" w:w="2353"/>
            <w:tcBorders>
              <w:top w:val="single" w:sz="4" w:space="0" w:color="E4DED3"/>
              <w:left w:val="single" w:sz="4" w:space="0" w:color="E4DED3"/>
              <w:bottom w:val="single" w:sz="4" w:space="0" w:color="E4DED3"/>
              <w:right w:val="single" w:sz="4" w:space="0" w:color="E4DED3"/>
            </w:tcBorders>
          </w:tcPr>
          <w:p>
            <w:r>
              <w:rPr>
                <w:i/>
                <w:color w:val="1F5A5C"/>
                <w:sz w:val="18"/>
              </w:rPr>
              <w:t>It is the same for everybody and it is the first thing anyone in India requests. It is also about the only whole page that is — which is the point this table has to work out.</w:t>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t>Static assets (stylesheets, scripts, icons)</w:t>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t>Course materials (documents, slides, recordings)</w:t>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t>A student's own dashboard or gradebook</w:t>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t>Assessment submission</w:t>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t>Teacher marking and attendance</w:t>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19"/>
        </w:rPr>
        <w:t>Things to consider</w:t>
      </w:r>
    </w:p>
    <w:p>
      <w:pPr>
        <w:spacing w:after="60"/>
        <w:ind w:left="340"/>
      </w:pPr>
      <w:r>
        <w:rPr>
          <w:sz w:val="19"/>
        </w:rPr>
        <w:t xml:space="preserve">•  </w:t>
      </w:r>
      <w:r>
        <w:rPr>
          <w:i/>
          <w:color w:val="1F5A5C"/>
          <w:sz w:val="19"/>
        </w:rPr>
        <w:t>Caching a page at the edge means one copy is served to many people. Which parts of an LMS are the same for many people, and which are the same for exactly one?</w:t>
      </w:r>
    </w:p>
    <w:p>
      <w:pPr>
        <w:spacing w:after="60"/>
        <w:ind w:left="340"/>
      </w:pPr>
      <w:r>
        <w:rPr>
          <w:sz w:val="19"/>
        </w:rPr>
        <w:t xml:space="preserve">•  </w:t>
      </w:r>
      <w:r>
        <w:rPr>
          <w:i/>
          <w:color w:val="1F5A5C"/>
          <w:sz w:val="19"/>
        </w:rPr>
        <w:t>If you cached a student's gradebook at the edge, what would the next student see? That failure mode is the reason this task exists.</w:t>
      </w:r>
    </w:p>
    <w:p>
      <w:pPr>
        <w:spacing w:after="60"/>
        <w:ind w:left="340"/>
      </w:pPr>
      <w:r>
        <w:rPr>
          <w:sz w:val="19"/>
        </w:rPr>
        <w:t xml:space="preserve">•  </w:t>
      </w:r>
      <w:r>
        <w:rPr>
          <w:i/>
          <w:color w:val="1F5A5C"/>
          <w:sz w:val="19"/>
        </w:rPr>
        <w:t>A content delivery network does two things: it caches, and it carries traffic over the provider's own network instead of the open internet. Which of those helps a request that CANNOT be cached?</w:t>
      </w:r>
    </w:p>
    <w:p>
      <w:pPr>
        <w:spacing w:after="60"/>
        <w:ind w:left="340"/>
      </w:pPr>
      <w:r>
        <w:rPr>
          <w:sz w:val="19"/>
        </w:rPr>
        <w:t xml:space="preserve">•  </w:t>
      </w:r>
      <w:r>
        <w:rPr>
          <w:i/>
          <w:color w:val="1F5A5C"/>
          <w:sz w:val="19"/>
        </w:rPr>
        <w:t>Course materials are large, they change rarely, and every student in a class wants the same file. But they are behind a login. Is there a way to serve them from the edge without serving them to the wrong person?</w:t>
      </w:r>
    </w:p>
    <w:p>
      <w:pPr>
        <w:spacing w:after="60"/>
        <w:ind w:left="340"/>
      </w:pPr>
      <w:r>
        <w:rPr>
          <w:sz w:val="19"/>
        </w:rPr>
        <w:t xml:space="preserve">•  </w:t>
      </w:r>
      <w:r>
        <w:rPr>
          <w:i/>
          <w:color w:val="1F5A5C"/>
          <w:sz w:val="19"/>
        </w:rPr>
        <w:t>Authentication goes over the campus VPN to AD-LDAP. Does a user in India sign in any faster because of anything you have designed?</w:t>
      </w:r>
    </w:p>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9</w:t>
      </w:r>
    </w:p>
    <w:p>
      <w:pPr>
        <w:pStyle w:val="Heading2"/>
      </w:pPr>
      <w:r>
        <w:rPr>
          <w:color w:val="1F5A5C"/>
        </w:rPr>
        <w:t>Design — the caching decision</w:t>
      </w:r>
    </w:p>
    <w:p>
      <w:pPr>
        <w:spacing w:after="120"/>
      </w:pPr>
      <w:r>
        <w:rPr>
          <w:b w:val="0"/>
          <w:i w:val="0"/>
          <w:sz w:val="21"/>
        </w:rPr>
        <w:t>Task 8 put content at the edge. There is a second, different caching question inside the architecture: repeated database reads. Choose between a content delivery network and an in-memory data store for this problem — or say where you use each — and explain the choice against your workload. Name the option you did not choose as well as the one you did.</w:t>
      </w:r>
    </w:p>
    <w:p>
      <w:pPr>
        <w:spacing w:after="60"/>
      </w:pPr>
      <w:r>
        <w:rPr>
          <w:b w:val="0"/>
          <w:i/>
          <w:color w:val="6B6660"/>
          <w:sz w:val="18"/>
        </w:rPr>
        <w:t>The first row is filled in as an example — yours go underneath.</w:t>
      </w:r>
    </w:p>
    <w:tbl>
      <w:tblPr>
        <w:tblW w:type="auto" w:w="0"/>
        <w:tblLook w:firstColumn="1" w:firstRow="1" w:lastColumn="0" w:lastRow="0" w:noHBand="0" w:noVBand="1" w:val="04A0"/>
      </w:tblPr>
      <w:tblGrid>
        <w:gridCol w:w="3137"/>
        <w:gridCol w:w="3137"/>
        <w:gridCol w:w="3137"/>
      </w:tblGrid>
      <w:tr>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Option</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Where you would use it</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What it does not solve</w:t>
            </w:r>
          </w:p>
        </w:tc>
      </w:tr>
      <w:tr>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Neither, for assessment submissions</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nowhere in that path</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A submission is a write. Caching does nothing for it in either place — worth stating, because the end-of-term spike is a write spike and no caching decision will help it.</w:t>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Content delivery network</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In-memory data store</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Your decision</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19"/>
        </w:rPr>
        <w:t>Things to consider</w:t>
      </w:r>
    </w:p>
    <w:p>
      <w:pPr>
        <w:spacing w:after="60"/>
        <w:ind w:left="340"/>
      </w:pPr>
      <w:r>
        <w:rPr>
          <w:sz w:val="19"/>
        </w:rPr>
        <w:t xml:space="preserve">•  </w:t>
      </w:r>
      <w:r>
        <w:rPr>
          <w:i/>
          <w:color w:val="1F5A5C"/>
          <w:sz w:val="19"/>
        </w:rPr>
        <w:t>These two are not competing answers to one question. Where does each one physically sit — how far from the user, and how far from the database?</w:t>
      </w:r>
    </w:p>
    <w:p>
      <w:pPr>
        <w:spacing w:after="60"/>
        <w:ind w:left="340"/>
      </w:pPr>
      <w:r>
        <w:rPr>
          <w:sz w:val="19"/>
        </w:rPr>
        <w:t xml:space="preserve">•  </w:t>
      </w:r>
      <w:r>
        <w:rPr>
          <w:i/>
          <w:color w:val="1F5A5C"/>
          <w:sz w:val="19"/>
        </w:rPr>
        <w:t>The edge removes distance. What does an in-memory cache remove?</w:t>
      </w:r>
    </w:p>
    <w:p>
      <w:pPr>
        <w:spacing w:after="60"/>
        <w:ind w:left="340"/>
      </w:pPr>
      <w:r>
        <w:rPr>
          <w:sz w:val="19"/>
        </w:rPr>
        <w:t xml:space="preserve">•  </w:t>
      </w:r>
      <w:r>
        <w:rPr>
          <w:i/>
          <w:color w:val="1F5A5C"/>
          <w:sz w:val="19"/>
        </w:rPr>
        <w:t>A course page runs the same handful of queries for every student in the class, every time. Which of the two helps that, and where is it?</w:t>
      </w:r>
    </w:p>
    <w:p>
      <w:pPr>
        <w:spacing w:after="60"/>
        <w:ind w:left="340"/>
      </w:pPr>
      <w:r>
        <w:rPr>
          <w:sz w:val="19"/>
        </w:rPr>
        <w:t xml:space="preserve">•  </w:t>
      </w:r>
      <w:r>
        <w:rPr>
          <w:i/>
          <w:color w:val="1F5A5C"/>
          <w:sz w:val="19"/>
        </w:rPr>
        <w:t>If you use both, say where the boundary is. If you use one, say what you are accepting by not using the other.</w:t>
      </w:r>
    </w:p>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10</w:t>
      </w:r>
    </w:p>
    <w:p>
      <w:pPr>
        <w:pStyle w:val="Heading2"/>
      </w:pPr>
      <w:r>
        <w:rPr>
          <w:color w:val="1F5A5C"/>
        </w:rPr>
        <w:t>Check the design scales as utilisation increases</w:t>
      </w:r>
    </w:p>
    <w:p>
      <w:pPr>
        <w:spacing w:after="120"/>
      </w:pPr>
      <w:r>
        <w:rPr>
          <w:b w:val="0"/>
          <w:i w:val="0"/>
          <w:sz w:val="21"/>
        </w:rPr>
        <w:t>Walk your design through a load increase. Take the end-of-term assessment peak with the India cohort added, and say what each layer does as demand rises — and what would run out first. A design that only works at today's volume has not met the requirement.</w:t>
      </w:r>
    </w:p>
    <w:p>
      <w:pPr>
        <w:spacing w:after="60"/>
      </w:pPr>
      <w:r>
        <w:rPr>
          <w:b w:val="0"/>
          <w:i/>
          <w:color w:val="6B6660"/>
          <w:sz w:val="18"/>
        </w:rPr>
        <w:t>The first row is filled in as an example — yours go underneath.</w:t>
      </w:r>
    </w:p>
    <w:tbl>
      <w:tblPr>
        <w:tblW w:type="auto" w:w="0"/>
        <w:tblLook w:firstColumn="1" w:firstRow="1" w:lastColumn="0" w:lastRow="0" w:noHBand="0" w:noVBand="1" w:val="04A0"/>
      </w:tblPr>
      <w:tblGrid>
        <w:gridCol w:w="3137"/>
        <w:gridCol w:w="3137"/>
        <w:gridCol w:w="3137"/>
      </w:tblGrid>
      <w:tr>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Layer</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What happens as load rises</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What runs out first</w:t>
            </w:r>
          </w:p>
        </w:tc>
      </w:tr>
      <w:tr>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Network / edge</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the edge layer absorbs it — edge capacity is elastic</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Nothing practical at YAT's scale. Not every row will be this comfortable, which is what makes the rest of the table worth doing.</w:t>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Compute</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Database — reads</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Database — writes</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Storage</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19"/>
        </w:rPr>
        <w:t>Things to consider</w:t>
      </w:r>
    </w:p>
    <w:p>
      <w:pPr>
        <w:spacing w:after="60"/>
        <w:ind w:left="340"/>
      </w:pPr>
      <w:r>
        <w:rPr>
          <w:sz w:val="19"/>
        </w:rPr>
        <w:t xml:space="preserve">•  </w:t>
      </w:r>
      <w:r>
        <w:rPr>
          <w:i/>
          <w:color w:val="1F5A5C"/>
          <w:sz w:val="19"/>
        </w:rPr>
        <w:t>This task asks you to find where the design STOPS. If nothing in your table runs out, you have not looked hard enough.</w:t>
      </w:r>
    </w:p>
    <w:p>
      <w:pPr>
        <w:spacing w:after="60"/>
        <w:ind w:left="340"/>
      </w:pPr>
      <w:r>
        <w:rPr>
          <w:sz w:val="19"/>
        </w:rPr>
        <w:t xml:space="preserve">•  </w:t>
      </w:r>
      <w:r>
        <w:rPr>
          <w:i/>
          <w:color w:val="1F5A5C"/>
          <w:sz w:val="19"/>
        </w:rPr>
        <w:t>The Auto Scaling group has a configured maximum. What happens at that number, and who finds out first?</w:t>
      </w:r>
    </w:p>
    <w:p>
      <w:pPr>
        <w:spacing w:after="60"/>
        <w:ind w:left="340"/>
      </w:pPr>
      <w:r>
        <w:rPr>
          <w:sz w:val="19"/>
        </w:rPr>
        <w:t xml:space="preserve">•  </w:t>
      </w:r>
      <w:r>
        <w:rPr>
          <w:i/>
          <w:color w:val="1F5A5C"/>
          <w:sz w:val="19"/>
        </w:rPr>
        <w:t>How many writers does the database have? Can you add another one? What is the only way to make that component bigger?</w:t>
      </w:r>
    </w:p>
    <w:p>
      <w:pPr>
        <w:spacing w:after="60"/>
        <w:ind w:left="340"/>
      </w:pPr>
      <w:r>
        <w:rPr>
          <w:sz w:val="19"/>
        </w:rPr>
        <w:t xml:space="preserve">•  </w:t>
      </w:r>
      <w:r>
        <w:rPr>
          <w:i/>
          <w:color w:val="1F5A5C"/>
          <w:sz w:val="19"/>
        </w:rPr>
        <w:t>End of term is a submission spike — writes and file uploads at once. Trace that particular load through every layer and see where it piles up.</w:t>
      </w:r>
    </w:p>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11</w:t>
      </w:r>
    </w:p>
    <w:p>
      <w:pPr>
        <w:pStyle w:val="Heading2"/>
      </w:pPr>
      <w:r>
        <w:rPr>
          <w:color w:val="1F5A5C"/>
        </w:rPr>
        <w:t>Check availability and security are maintained</w:t>
      </w:r>
    </w:p>
    <w:p>
      <w:pPr>
        <w:spacing w:after="120"/>
      </w:pPr>
      <w:r>
        <w:rPr>
          <w:b w:val="0"/>
          <w:i w:val="0"/>
          <w:sz w:val="21"/>
        </w:rPr>
        <w:t>Your changes must not cost the LMS the availability it already has, and they must not open it up. Go through what you have added and say, for each, what it does to availability and what it does to the attack surface.</w:t>
      </w:r>
    </w:p>
    <w:p>
      <w:pPr>
        <w:spacing w:after="60"/>
      </w:pPr>
      <w:r>
        <w:rPr>
          <w:b/>
          <w:i w:val="0"/>
          <w:sz w:val="19"/>
        </w:rPr>
        <w:t>Related resources</w:t>
      </w:r>
    </w:p>
    <w:p>
      <w:pPr>
        <w:spacing w:after="60"/>
        <w:ind w:left="340"/>
      </w:pPr>
      <w:r>
        <w:rPr>
          <w:sz w:val="19"/>
        </w:rPr>
        <w:t xml:space="preserve">•  </w:t>
      </w:r>
      <w:hyperlink r:id="rId19">
        <w:r>
          <w:rPr>
            <w:sz w:val="19"/>
            <w:color w:val="0563C1"/>
            <w:u w:val="single"/>
          </w:rPr>
          <w:t>Privacy / Data Handling Policy — YAT's obligations for the personal information the LMS holds</w:t>
        </w:r>
      </w:hyperlink>
    </w:p>
    <w:p/>
    <w:p>
      <w:pPr>
        <w:spacing w:after="60"/>
      </w:pPr>
      <w:r>
        <w:rPr>
          <w:b w:val="0"/>
          <w:i/>
          <w:color w:val="6B6660"/>
          <w:sz w:val="18"/>
        </w:rPr>
        <w:t>The first row is filled in as an example — yours go underneath.</w:t>
      </w:r>
    </w:p>
    <w:tbl>
      <w:tblPr>
        <w:tblW w:type="auto" w:w="0"/>
        <w:tblLook w:firstColumn="1" w:firstRow="1" w:lastColumn="0" w:lastRow="0" w:noHBand="0" w:noVBand="1" w:val="04A0"/>
      </w:tblPr>
      <w:tblGrid>
        <w:gridCol w:w="3137"/>
        <w:gridCol w:w="3137"/>
        <w:gridCol w:w="3137"/>
      </w:tblGrid>
      <w:tr>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 added</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Effect on availability</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Effect on security</w:t>
            </w:r>
          </w:p>
        </w:tc>
      </w:tr>
      <w:tr>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Nothing — the existing Multi-AZ platform</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unchanged, and that is the point</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The baseline is not a thing you added, but starting the table here forces the comparison the task wants: everything below this row is new, and new things have effects in both columns.</w:t>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19"/>
        </w:rPr>
        <w:t>Things to consider</w:t>
      </w:r>
    </w:p>
    <w:p>
      <w:pPr>
        <w:spacing w:after="60"/>
        <w:ind w:left="340"/>
      </w:pPr>
      <w:r>
        <w:rPr>
          <w:sz w:val="19"/>
        </w:rPr>
        <w:t xml:space="preserve">•  </w:t>
      </w:r>
      <w:r>
        <w:rPr>
          <w:i/>
          <w:color w:val="1F5A5C"/>
          <w:sz w:val="19"/>
        </w:rPr>
        <w:t>An edge layer improves availability by serving cached content when the origin is stressed. What does it do to availability when the edge layer itself has a problem? You have just added something to the request path.</w:t>
      </w:r>
    </w:p>
    <w:p>
      <w:pPr>
        <w:spacing w:after="60"/>
        <w:ind w:left="340"/>
      </w:pPr>
      <w:r>
        <w:rPr>
          <w:sz w:val="19"/>
        </w:rPr>
        <w:t xml:space="preserve">•  </w:t>
      </w:r>
      <w:r>
        <w:rPr>
          <w:i/>
          <w:color w:val="1F5A5C"/>
          <w:sz w:val="19"/>
        </w:rPr>
        <w:t>The LMS holds student submissions, grades and attendance — personal information under the Privacy Policy. Does anything you designed move a copy of that anywhere new?</w:t>
      </w:r>
    </w:p>
    <w:p>
      <w:pPr>
        <w:spacing w:after="60"/>
        <w:ind w:left="340"/>
      </w:pPr>
      <w:r>
        <w:rPr>
          <w:sz w:val="19"/>
        </w:rPr>
        <w:t xml:space="preserve">•  </w:t>
      </w:r>
      <w:r>
        <w:rPr>
          <w:i/>
          <w:color w:val="1F5A5C"/>
          <w:sz w:val="19"/>
        </w:rPr>
        <w:t>If content is cached at the edge, who can retrieve it? Is 'anyone with the URL' an acceptable answer for a course recording?</w:t>
      </w:r>
    </w:p>
    <w:p>
      <w:pPr>
        <w:spacing w:after="60"/>
        <w:ind w:left="340"/>
      </w:pPr>
      <w:r>
        <w:rPr>
          <w:sz w:val="19"/>
        </w:rPr>
        <w:t xml:space="preserve">•  </w:t>
      </w:r>
      <w:r>
        <w:rPr>
          <w:i/>
          <w:color w:val="1F5A5C"/>
          <w:sz w:val="19"/>
        </w:rPr>
        <w:t>The audit-log service holds a record of who did what. What is the security posture of the thing you are about to design in tasks 15 to 19?</w:t>
      </w:r>
    </w:p>
    <w:p>
      <w:pPr>
        <w:spacing w:after="60"/>
        <w:ind w:left="340"/>
      </w:pPr>
      <w:r>
        <w:rPr>
          <w:sz w:val="19"/>
        </w:rPr>
        <w:t xml:space="preserve">•  </w:t>
      </w:r>
      <w:r>
        <w:rPr>
          <w:i/>
          <w:color w:val="1F5A5C"/>
          <w:sz w:val="19"/>
        </w:rPr>
        <w:t>'It is still Multi-AZ so availability is maintained' is not an answer. What did you actually check?</w:t>
      </w:r>
    </w:p>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12</w:t>
      </w:r>
    </w:p>
    <w:p>
      <w:pPr>
        <w:pStyle w:val="Heading2"/>
      </w:pPr>
      <w:r>
        <w:rPr>
          <w:color w:val="1F5A5C"/>
        </w:rPr>
        <w:t>Review your design and revise it</w:t>
      </w:r>
    </w:p>
    <w:p>
      <w:pPr>
        <w:spacing w:after="120"/>
      </w:pPr>
      <w:r>
        <w:rPr>
          <w:b w:val="0"/>
          <w:i w:val="0"/>
          <w:sz w:val="21"/>
        </w:rPr>
        <w:t>Go back over tasks 5 to 11 as a whole. Does the design meet every need you recorded in task 1? Where it does not, or where two decisions you made pull against each other, say what you would change. If you change nothing, say what you checked and why you are satisfied — 'no changes' is an acceptable answer only if it is an argued one.</w:t>
      </w:r>
    </w:p>
    <w:p>
      <w:pPr>
        <w:spacing w:after="60"/>
      </w:pPr>
      <w:r>
        <w:rPr>
          <w:b w:val="0"/>
          <w:i/>
          <w:color w:val="6B6660"/>
          <w:sz w:val="18"/>
        </w:rPr>
        <w:t>The first row is filled in as an example — yours go underneath.</w:t>
      </w:r>
    </w:p>
    <w:tbl>
      <w:tblPr>
        <w:tblW w:type="auto" w:w="0"/>
        <w:tblLook w:firstColumn="1" w:firstRow="1" w:lastColumn="0" w:lastRow="0" w:noHBand="0" w:noVBand="1" w:val="04A0"/>
      </w:tblPr>
      <w:tblGrid>
        <w:gridCol w:w="3137"/>
        <w:gridCol w:w="3137"/>
        <w:gridCol w:w="3137"/>
      </w:tblGrid>
      <w:tr>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Need from task 1</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Met?</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Change you would make</w:t>
            </w:r>
          </w:p>
        </w:tc>
      </w:tr>
      <w:tr>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Preserve the OS and application stack</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Yes</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Nothing in the design touches Windows Server or DOODLE — the changes sit in front of the platform and beside it. Worth checking rather than assuming: it is the requirement a keen design is most likely to have broken.</w:t>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19"/>
        </w:rPr>
        <w:t>Things to consider</w:t>
      </w:r>
    </w:p>
    <w:p>
      <w:pPr>
        <w:spacing w:after="60"/>
        <w:ind w:left="340"/>
      </w:pPr>
      <w:r>
        <w:rPr>
          <w:sz w:val="19"/>
        </w:rPr>
        <w:t xml:space="preserve">•  </w:t>
      </w:r>
      <w:r>
        <w:rPr>
          <w:i/>
          <w:color w:val="1F5A5C"/>
          <w:sz w:val="19"/>
        </w:rPr>
        <w:t>Copy your task 1 needs down the first column. Every one of them gets a row — that is what makes this a review rather than a summary.</w:t>
      </w:r>
    </w:p>
    <w:p>
      <w:pPr>
        <w:spacing w:after="60"/>
        <w:ind w:left="340"/>
      </w:pPr>
      <w:r>
        <w:rPr>
          <w:sz w:val="19"/>
        </w:rPr>
        <w:t xml:space="preserve">•  </w:t>
      </w:r>
      <w:r>
        <w:rPr>
          <w:i/>
          <w:color w:val="1F5A5C"/>
          <w:sz w:val="19"/>
        </w:rPr>
        <w:t>Look for a decision that pulls against another. A long cache lifetime serves India well and publishes a corrected assessment brief slowly. Which do you choose, and did you say so anywhere?</w:t>
      </w:r>
    </w:p>
    <w:p>
      <w:pPr>
        <w:spacing w:after="60"/>
        <w:ind w:left="340"/>
      </w:pPr>
      <w:r>
        <w:rPr>
          <w:sz w:val="19"/>
        </w:rPr>
        <w:t xml:space="preserve">•  </w:t>
      </w:r>
      <w:r>
        <w:rPr>
          <w:i/>
          <w:color w:val="1F5A5C"/>
          <w:sz w:val="19"/>
        </w:rPr>
        <w:t>Cost-effectiveness was one of your needs. Is there anything in your design you added because it is good practice rather than because a need asked for it?</w:t>
      </w:r>
    </w:p>
    <w:p>
      <w:pPr>
        <w:spacing w:after="60"/>
        <w:ind w:left="340"/>
      </w:pPr>
      <w:r>
        <w:rPr>
          <w:sz w:val="19"/>
        </w:rPr>
        <w:t xml:space="preserve">•  </w:t>
      </w:r>
      <w:r>
        <w:rPr>
          <w:i/>
          <w:color w:val="1F5A5C"/>
          <w:sz w:val="19"/>
        </w:rPr>
        <w:t>If you genuinely would change nothing, write down what you checked. An unargued 'no changes' and a lazy 'no changes' look identical on the page.</w:t>
      </w:r>
    </w:p>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13</w:t>
      </w:r>
    </w:p>
    <w:p>
      <w:pPr>
        <w:pStyle w:val="Heading2"/>
      </w:pPr>
      <w:r>
        <w:rPr>
          <w:color w:val="1F5A5C"/>
        </w:rPr>
        <w:t>Draw the web-scale architecture</w:t>
      </w:r>
    </w:p>
    <w:p>
      <w:pPr>
        <w:spacing w:after="120"/>
      </w:pPr>
      <w:r>
        <w:rPr>
          <w:b w:val="0"/>
          <w:i w:val="0"/>
          <w:sz w:val="21"/>
        </w:rPr>
        <w:t>Draw the extended architecture as a diagram: the path a request takes from India and from Australia, everything you added, and everything you kept. Label the regions. A reader who has not seen your tables should be able to follow how the LMS now serves a global cohort.</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SKETCH OR PASTE YOUR DIAGRAM HERE ]</w:t>
            </w:r>
          </w:p>
          <w:p>
            <w:pPr>
              <w:jc w:val="left"/>
            </w:pPr>
            <w:r>
              <w:rPr>
                <w:b w:val="0"/>
                <w:i/>
                <w:color w:val="6B6660"/>
                <w:sz w:val="19"/>
              </w:rPr>
              <w:t>the extended LMS architecture — edge, region, tiers, the campus VPN, and the request path from both cohorts</w:t>
            </w:r>
          </w:p>
        </w:tc>
      </w:tr>
    </w:tbl>
    <w:p/>
    <w:p>
      <w:pPr>
        <w:spacing w:after="60"/>
      </w:pPr>
      <w:r>
        <w:rPr>
          <w:b/>
          <w:i w:val="0"/>
          <w:sz w:val="19"/>
        </w:rPr>
        <w:t>Things to consider</w:t>
      </w:r>
    </w:p>
    <w:p>
      <w:pPr>
        <w:spacing w:after="60"/>
        <w:ind w:left="340"/>
      </w:pPr>
      <w:r>
        <w:rPr>
          <w:sz w:val="19"/>
        </w:rPr>
        <w:t xml:space="preserve">•  </w:t>
      </w:r>
      <w:r>
        <w:rPr>
          <w:i/>
          <w:color w:val="1F5A5C"/>
          <w:sz w:val="19"/>
        </w:rPr>
        <w:t>Draw the request path first and hang the components off it. A diagram of boxes with no path through them does not show how anything is served.</w:t>
      </w:r>
    </w:p>
    <w:p>
      <w:pPr>
        <w:spacing w:after="60"/>
        <w:ind w:left="340"/>
      </w:pPr>
      <w:r>
        <w:rPr>
          <w:sz w:val="19"/>
        </w:rPr>
        <w:t xml:space="preserve">•  </w:t>
      </w:r>
      <w:r>
        <w:rPr>
          <w:i/>
          <w:color w:val="1F5A5C"/>
          <w:sz w:val="19"/>
        </w:rPr>
        <w:t>Two users, two starting points, one system. Does your diagram let a reader trace both?</w:t>
      </w:r>
    </w:p>
    <w:p>
      <w:pPr>
        <w:spacing w:after="60"/>
        <w:ind w:left="340"/>
      </w:pPr>
      <w:r>
        <w:rPr>
          <w:sz w:val="19"/>
        </w:rPr>
        <w:t xml:space="preserve">•  </w:t>
      </w:r>
      <w:r>
        <w:rPr>
          <w:i/>
          <w:color w:val="1F5A5C"/>
          <w:sz w:val="19"/>
        </w:rPr>
        <w:t>Everything in tasks 5 to 8 should appear. Anything in your diagram that is in none of those tables is something you have not justified.</w:t>
      </w:r>
    </w:p>
    <w:p>
      <w:pPr>
        <w:spacing w:after="60"/>
        <w:ind w:left="340"/>
      </w:pPr>
      <w:r>
        <w:rPr>
          <w:sz w:val="19"/>
        </w:rPr>
        <w:t xml:space="preserve">•  </w:t>
      </w:r>
      <w:r>
        <w:rPr>
          <w:i/>
          <w:color w:val="1F5A5C"/>
          <w:sz w:val="19"/>
        </w:rPr>
        <w:t>Mark the region boundary. It is about to matter a great deal in task 17.</w:t>
      </w:r>
    </w:p>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14</w:t>
      </w:r>
    </w:p>
    <w:p>
      <w:pPr>
        <w:pStyle w:val="Heading2"/>
      </w:pPr>
      <w:r>
        <w:rPr>
          <w:color w:val="1F5A5C"/>
        </w:rPr>
        <w:t>Justify the web-scale design</w:t>
      </w:r>
    </w:p>
    <w:p>
      <w:pPr>
        <w:spacing w:after="120"/>
      </w:pPr>
      <w:r>
        <w:rPr>
          <w:b w:val="0"/>
          <w:i w:val="0"/>
          <w:sz w:val="21"/>
        </w:rPr>
        <w:t>Justify the architecture you have documented in tasks 5 to 13. For each significant choice, say which of the scaling needs from task 1 it answers, and why you chose it over the alternative you considered. This is a written answer, not a table — and it is where your design reasoning goes, not your design.</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WRITE YOUR ANSWER HERE ]</w:t>
            </w:r>
          </w:p>
        </w:tc>
      </w:tr>
    </w:tbl>
    <w:p/>
    <w:p>
      <w:pPr>
        <w:spacing w:after="60"/>
      </w:pPr>
      <w:r>
        <w:rPr>
          <w:b/>
          <w:i w:val="0"/>
          <w:sz w:val="19"/>
        </w:rPr>
        <w:t>Things to consider</w:t>
      </w:r>
    </w:p>
    <w:p>
      <w:pPr>
        <w:spacing w:after="60"/>
        <w:ind w:left="340"/>
      </w:pPr>
      <w:r>
        <w:rPr>
          <w:sz w:val="19"/>
        </w:rPr>
        <w:t xml:space="preserve">•  </w:t>
      </w:r>
      <w:r>
        <w:rPr>
          <w:i/>
          <w:color w:val="1F5A5C"/>
          <w:sz w:val="19"/>
        </w:rPr>
        <w:t>A justification is not a description. If a sentence would still be true written by someone who had not made the choice, it is a description.</w:t>
      </w:r>
    </w:p>
    <w:p>
      <w:pPr>
        <w:spacing w:after="60"/>
        <w:ind w:left="340"/>
      </w:pPr>
      <w:r>
        <w:rPr>
          <w:sz w:val="19"/>
        </w:rPr>
        <w:t xml:space="preserve">•  </w:t>
      </w:r>
      <w:r>
        <w:rPr>
          <w:i/>
          <w:color w:val="1F5A5C"/>
          <w:sz w:val="19"/>
        </w:rPr>
        <w:t>'CloudFront is fast and scalable' justifies nothing. What did YOUR system need, and what did this answer about it?</w:t>
      </w:r>
    </w:p>
    <w:p>
      <w:pPr>
        <w:spacing w:after="60"/>
        <w:ind w:left="340"/>
      </w:pPr>
      <w:r>
        <w:rPr>
          <w:sz w:val="19"/>
        </w:rPr>
        <w:t xml:space="preserve">•  </w:t>
      </w:r>
      <w:r>
        <w:rPr>
          <w:i/>
          <w:color w:val="1F5A5C"/>
          <w:sz w:val="19"/>
        </w:rPr>
        <w:t>Name something you rejected. A design with no rejected alternatives was not chosen, it was assumed.</w:t>
      </w:r>
    </w:p>
    <w:p>
      <w:pPr>
        <w:spacing w:after="60"/>
        <w:ind w:left="340"/>
      </w:pPr>
      <w:r>
        <w:rPr>
          <w:sz w:val="19"/>
        </w:rPr>
        <w:t xml:space="preserve">•  </w:t>
      </w:r>
      <w:r>
        <w:rPr>
          <w:i/>
          <w:color w:val="1F5A5C"/>
          <w:sz w:val="19"/>
        </w:rPr>
        <w:t>The website engagement can cache almost everything. You cannot. Say so — the constraint you worked around is the most interesting thing in your design.</w:t>
      </w:r>
    </w:p>
    <w:p>
      <w:pPr>
        <w:spacing w:after="60"/>
        <w:ind w:left="340"/>
      </w:pPr>
      <w:r>
        <w:rPr>
          <w:sz w:val="19"/>
        </w:rPr>
        <w:t xml:space="preserve">•  </w:t>
      </w:r>
      <w:r>
        <w:rPr>
          <w:i/>
          <w:color w:val="1F5A5C"/>
          <w:sz w:val="19"/>
        </w:rPr>
        <w:t>Would Sam Walker, reading this, be able to disagree with you? If not, you have not said anything he could act on.</w:t>
      </w:r>
    </w:p>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15</w:t>
      </w:r>
    </w:p>
    <w:p>
      <w:pPr>
        <w:pStyle w:val="Heading2"/>
      </w:pPr>
      <w:r>
        <w:rPr>
          <w:color w:val="1F5A5C"/>
        </w:rPr>
        <w:t>The microservice and the data it handles</w:t>
      </w:r>
    </w:p>
    <w:p>
      <w:pPr>
        <w:spacing w:after="120"/>
      </w:pPr>
      <w:r>
        <w:rPr>
          <w:b w:val="0"/>
          <w:i w:val="0"/>
          <w:sz w:val="21"/>
        </w:rPr>
        <w:t>The residency obligation you recorded in task 3 is met by a dedicated service, not by changing the LMS. Identify what that service does: the events it receives, the data each event carries, and where the data comes to rest. One row per data transaction.</w:t>
      </w:r>
    </w:p>
    <w:p>
      <w:pPr>
        <w:spacing w:after="60"/>
      </w:pPr>
      <w:r>
        <w:rPr>
          <w:b/>
          <w:i w:val="0"/>
          <w:sz w:val="19"/>
        </w:rPr>
        <w:t>Related resources</w:t>
      </w:r>
    </w:p>
    <w:p>
      <w:pPr>
        <w:spacing w:after="60"/>
        <w:ind w:left="340"/>
      </w:pPr>
      <w:r>
        <w:rPr>
          <w:sz w:val="19"/>
        </w:rPr>
        <w:t xml:space="preserve">•  </w:t>
      </w:r>
      <w:hyperlink r:id="rId14">
        <w:r>
          <w:rPr>
            <w:sz w:val="19"/>
            <w:color w:val="0563C1"/>
            <w:u w:val="single"/>
          </w:rPr>
          <w:t>LMS Global Expansion — Functional &amp; Non-Functional Requirements — the audit / access log requirement and why it is a separate service</w:t>
        </w:r>
      </w:hyperlink>
    </w:p>
    <w:p>
      <w:pPr>
        <w:spacing w:after="60"/>
        <w:ind w:left="340"/>
      </w:pPr>
      <w:r>
        <w:rPr>
          <w:sz w:val="19"/>
        </w:rPr>
        <w:t xml:space="preserve">•  </w:t>
      </w:r>
      <w:hyperlink r:id="rId17">
        <w:r>
          <w:rPr>
            <w:sz w:val="19"/>
            <w:color w:val="0563C1"/>
            <w:u w:val="single"/>
          </w:rPr>
          <w:t>Data Residency &amp; Sovereignty Requirements — what has to be captured and held in India</w:t>
        </w:r>
      </w:hyperlink>
    </w:p>
    <w:p/>
    <w:p>
      <w:pPr>
        <w:spacing w:after="60"/>
      </w:pPr>
      <w:r>
        <w:rPr>
          <w:b w:val="0"/>
          <w:i/>
          <w:color w:val="6B6660"/>
          <w:sz w:val="18"/>
        </w:rPr>
        <w:t>The first row is filled in as an example — yours go underneath.</w:t>
      </w:r>
    </w:p>
    <w:tbl>
      <w:tblPr>
        <w:tblW w:type="auto" w:w="0"/>
        <w:tblLook w:firstColumn="1" w:firstRow="1" w:lastColumn="0" w:lastRow="0" w:noHBand="0" w:noVBand="1" w:val="04A0"/>
      </w:tblPr>
      <w:tblGrid>
        <w:gridCol w:w="3137"/>
        <w:gridCol w:w="3137"/>
        <w:gridCol w:w="3137"/>
      </w:tblGrid>
      <w:tr>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Transaction</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What it carries</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Where it comes to rest</w:t>
            </w:r>
          </w:p>
        </w:tc>
      </w:tr>
      <w:tr>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Retrieval for incident reporting</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a query over the retained records for a time window</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read from the India-region store, inside the six-hour obligation. This row is the one people forget: a store nobody can query in time does not satisfy DR-R2, however well it is written to.</w:t>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Sign-in event from the LMS</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Course-access event</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Assessment-submission event</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19"/>
        </w:rPr>
        <w:t>Things to consider</w:t>
      </w:r>
    </w:p>
    <w:p>
      <w:pPr>
        <w:spacing w:after="60"/>
        <w:ind w:left="340"/>
      </w:pPr>
      <w:r>
        <w:rPr>
          <w:sz w:val="19"/>
        </w:rPr>
        <w:t xml:space="preserve">•  </w:t>
      </w:r>
      <w:r>
        <w:rPr>
          <w:i/>
          <w:color w:val="1F5A5C"/>
          <w:sz w:val="19"/>
        </w:rPr>
        <w:t>An access log has to answer four questions about an event: who, what, when, and from where. What field carries each?</w:t>
      </w:r>
    </w:p>
    <w:p>
      <w:pPr>
        <w:spacing w:after="60"/>
        <w:ind w:left="340"/>
      </w:pPr>
      <w:r>
        <w:rPr>
          <w:sz w:val="19"/>
        </w:rPr>
        <w:t xml:space="preserve">•  </w:t>
      </w:r>
      <w:r>
        <w:rPr>
          <w:i/>
          <w:color w:val="1F5A5C"/>
          <w:sz w:val="19"/>
        </w:rPr>
        <w:t>'Who' is a problem. The obligation needs the record to be useful, and the Privacy Policy would rather you did not copy student names into another country. Is there a middle answer?</w:t>
      </w:r>
    </w:p>
    <w:p>
      <w:pPr>
        <w:spacing w:after="60"/>
        <w:ind w:left="340"/>
      </w:pPr>
      <w:r>
        <w:rPr>
          <w:sz w:val="19"/>
        </w:rPr>
        <w:t xml:space="preserve">•  </w:t>
      </w:r>
      <w:r>
        <w:rPr>
          <w:i/>
          <w:color w:val="1F5A5C"/>
          <w:sz w:val="19"/>
        </w:rPr>
        <w:t>A submission event and the submission itself are different things. Which of them goes to India, and which stays in Sydney? DR-R3 has the answer.</w:t>
      </w:r>
    </w:p>
    <w:p>
      <w:pPr>
        <w:spacing w:after="60"/>
        <w:ind w:left="340"/>
      </w:pPr>
      <w:r>
        <w:rPr>
          <w:sz w:val="19"/>
        </w:rPr>
        <w:t xml:space="preserve">•  </w:t>
      </w:r>
      <w:r>
        <w:rPr>
          <w:i/>
          <w:color w:val="1F5A5C"/>
          <w:sz w:val="19"/>
        </w:rPr>
        <w:t>If you wrote these records into the existing MySQL database in Sydney, which requirement would you have failed?</w:t>
      </w:r>
    </w:p>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16</w:t>
      </w:r>
    </w:p>
    <w:p>
      <w:pPr>
        <w:pStyle w:val="Heading2"/>
      </w:pPr>
      <w:r>
        <w:rPr>
          <w:color w:val="1F5A5C"/>
        </w:rPr>
        <w:t>The cloud services that support it</w:t>
      </w:r>
    </w:p>
    <w:p>
      <w:pPr>
        <w:spacing w:after="120"/>
      </w:pPr>
      <w:r>
        <w:rPr>
          <w:b w:val="0"/>
          <w:i w:val="0"/>
          <w:sz w:val="21"/>
        </w:rPr>
        <w:t>Name the services your microservice is built from, and say what each contributes. The service has to receive events from the LMS, hold them safely if it is busy or briefly unavailable, process them, and store them — say which service does each of those, and why that kind of service suits the job.</w:t>
      </w:r>
    </w:p>
    <w:p>
      <w:pPr>
        <w:spacing w:after="60"/>
      </w:pPr>
      <w:r>
        <w:rPr>
          <w:b w:val="0"/>
          <w:i/>
          <w:color w:val="6B6660"/>
          <w:sz w:val="18"/>
        </w:rPr>
        <w:t>The first row is filled in as an example — yours go underneath.</w:t>
      </w:r>
    </w:p>
    <w:tbl>
      <w:tblPr>
        <w:tblW w:type="auto" w:w="0"/>
        <w:tblLook w:firstColumn="1" w:firstRow="1" w:lastColumn="0" w:lastRow="0" w:noHBand="0" w:noVBand="1" w:val="04A0"/>
      </w:tblPr>
      <w:tblGrid>
        <w:gridCol w:w="3137"/>
        <w:gridCol w:w="3137"/>
        <w:gridCol w:w="3137"/>
      </w:tblGrid>
      <w:tr>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Role</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Service</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Why this kind of service</w:t>
            </w:r>
          </w:p>
        </w:tc>
      </w:tr>
      <w:tr>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Provision</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infrastructure as code, parameterised by region</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Not a runtime component at all, but it belongs in the table: it is what makes the Indian footprint reproducible, which is the whole of DR-R4.</w:t>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Receive events</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Decouple and buffer</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Process</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Store</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19"/>
        </w:rPr>
        <w:t>Things to consider</w:t>
      </w:r>
    </w:p>
    <w:p>
      <w:pPr>
        <w:spacing w:after="60"/>
        <w:ind w:left="340"/>
      </w:pPr>
      <w:r>
        <w:rPr>
          <w:sz w:val="19"/>
        </w:rPr>
        <w:t xml:space="preserve">•  </w:t>
      </w:r>
      <w:r>
        <w:rPr>
          <w:i/>
          <w:color w:val="1F5A5C"/>
          <w:sz w:val="19"/>
        </w:rPr>
        <w:t>Why not have the LMS write straight to the store? Work out what breaks the first time the store is slow — and remember the requirement says this service must not affect LMS availability.</w:t>
      </w:r>
    </w:p>
    <w:p>
      <w:pPr>
        <w:spacing w:after="60"/>
        <w:ind w:left="340"/>
      </w:pPr>
      <w:r>
        <w:rPr>
          <w:sz w:val="19"/>
        </w:rPr>
        <w:t xml:space="preserve">•  </w:t>
      </w:r>
      <w:r>
        <w:rPr>
          <w:i/>
          <w:color w:val="1F5A5C"/>
          <w:sz w:val="19"/>
        </w:rPr>
        <w:t>The thing between the producer and the writer has a name and a specific job. What does it protect against?</w:t>
      </w:r>
    </w:p>
    <w:p>
      <w:pPr>
        <w:spacing w:after="60"/>
        <w:ind w:left="340"/>
      </w:pPr>
      <w:r>
        <w:rPr>
          <w:sz w:val="19"/>
        </w:rPr>
        <w:t xml:space="preserve">•  </w:t>
      </w:r>
      <w:r>
        <w:rPr>
          <w:i/>
          <w:color w:val="1F5A5C"/>
          <w:sz w:val="19"/>
        </w:rPr>
        <w:t>The event rate is bursty and low most of the time. What kind of compute costs nothing while nothing is happening?</w:t>
      </w:r>
    </w:p>
    <w:p>
      <w:pPr>
        <w:spacing w:after="60"/>
        <w:ind w:left="340"/>
      </w:pPr>
      <w:r>
        <w:rPr>
          <w:sz w:val="19"/>
        </w:rPr>
        <w:t xml:space="preserve">•  </w:t>
      </w:r>
      <w:r>
        <w:rPr>
          <w:i/>
          <w:color w:val="1F5A5C"/>
          <w:sz w:val="19"/>
        </w:rPr>
        <w:t>The store holds append-only records, one key, retained 180 days. Is that the same kind of database as the LMS's MySQL? Why not?</w:t>
      </w:r>
    </w:p>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17</w:t>
      </w:r>
    </w:p>
    <w:p>
      <w:pPr>
        <w:pStyle w:val="Heading2"/>
      </w:pPr>
      <w:r>
        <w:rPr>
          <w:color w:val="1F5A5C"/>
        </w:rPr>
        <w:t>Draw the microservice architecture</w:t>
      </w:r>
    </w:p>
    <w:p>
      <w:pPr>
        <w:spacing w:after="120"/>
      </w:pPr>
      <w:r>
        <w:rPr>
          <w:b w:val="0"/>
          <w:i w:val="0"/>
          <w:sz w:val="21"/>
        </w:rPr>
        <w:t>Draw the microservice: the LMS as the event producer, each component of your service, the direction events travel, and the region boundary between Australia and India. Show where the LMS's responsibility ends and the service's begins.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SKETCH OR PASTE YOUR DIAGRAM HERE ]</w:t>
            </w:r>
          </w:p>
          <w:p>
            <w:pPr>
              <w:jc w:val="left"/>
            </w:pPr>
            <w:r>
              <w:rPr>
                <w:b w:val="0"/>
                <w:i/>
                <w:color w:val="6B6660"/>
                <w:sz w:val="19"/>
              </w:rPr>
              <w:t>the activity-audit microservice — producer, endpoint, queue, processor, store, and the Australia / India region boundary</w:t>
            </w:r>
          </w:p>
        </w:tc>
      </w:tr>
    </w:tbl>
    <w:p/>
    <w:p>
      <w:pPr>
        <w:spacing w:after="60"/>
      </w:pPr>
      <w:r>
        <w:rPr>
          <w:b/>
          <w:i w:val="0"/>
          <w:sz w:val="19"/>
        </w:rPr>
        <w:t>Things to consider</w:t>
      </w:r>
    </w:p>
    <w:p>
      <w:pPr>
        <w:spacing w:after="60"/>
        <w:ind w:left="340"/>
      </w:pPr>
      <w:r>
        <w:rPr>
          <w:sz w:val="19"/>
        </w:rPr>
        <w:t xml:space="preserve">•  </w:t>
      </w:r>
      <w:r>
        <w:rPr>
          <w:i/>
          <w:color w:val="1F5A5C"/>
          <w:sz w:val="19"/>
        </w:rPr>
        <w:t>Events go one way. Does your diagram show that, or does it have arrows in both directions between the LMS and the service?</w:t>
      </w:r>
    </w:p>
    <w:p>
      <w:pPr>
        <w:spacing w:after="60"/>
        <w:ind w:left="340"/>
      </w:pPr>
      <w:r>
        <w:rPr>
          <w:sz w:val="19"/>
        </w:rPr>
        <w:t xml:space="preserve">•  </w:t>
      </w:r>
      <w:r>
        <w:rPr>
          <w:i/>
          <w:color w:val="1F5A5C"/>
          <w:sz w:val="19"/>
        </w:rPr>
        <w:t>Draw the region boundary as an actual line and put each component on the correct side of it. Which components are in India?</w:t>
      </w:r>
    </w:p>
    <w:p>
      <w:pPr>
        <w:spacing w:after="60"/>
        <w:ind w:left="340"/>
      </w:pPr>
      <w:r>
        <w:rPr>
          <w:sz w:val="19"/>
        </w:rPr>
        <w:t xml:space="preserve">•  </w:t>
      </w:r>
      <w:r>
        <w:rPr>
          <w:i/>
          <w:color w:val="1F5A5C"/>
          <w:sz w:val="19"/>
        </w:rPr>
        <w:t>Where exactly does the LMS's responsibility stop? There should be one place the two systems touch — mark it.</w:t>
      </w:r>
    </w:p>
    <w:p>
      <w:pPr>
        <w:spacing w:after="60"/>
        <w:ind w:left="340"/>
      </w:pPr>
      <w:r>
        <w:rPr>
          <w:sz w:val="19"/>
        </w:rPr>
        <w:t xml:space="preserve">•  </w:t>
      </w:r>
      <w:r>
        <w:rPr>
          <w:i/>
          <w:color w:val="1F5A5C"/>
          <w:sz w:val="19"/>
        </w:rPr>
        <w:t>If your diagram shows the LMS writing directly to the store, you have drawn the coupling back in that task 16 designed out.</w:t>
      </w:r>
    </w:p>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18</w:t>
      </w:r>
    </w:p>
    <w:p>
      <w:pPr>
        <w:pStyle w:val="Heading2"/>
      </w:pPr>
      <w:r>
        <w:rPr>
          <w:color w:val="1F5A5C"/>
        </w:rPr>
        <w:t>The interface contract</w:t>
      </w:r>
    </w:p>
    <w:p>
      <w:pPr>
        <w:spacing w:after="120"/>
      </w:pPr>
      <w:r>
        <w:rPr>
          <w:b w:val="0"/>
          <w:i w:val="0"/>
          <w:sz w:val="21"/>
        </w:rPr>
        <w:t>Define the contract between the LMS and your service — the one place they touch. Say what the LMS sends, what it gets back, and what happens if the same event arrives twice. Someone building either side from your contract alone should not have to ask you a question.</w:t>
      </w:r>
    </w:p>
    <w:p>
      <w:pPr>
        <w:spacing w:after="60"/>
      </w:pPr>
      <w:r>
        <w:rPr>
          <w:b w:val="0"/>
          <w:i/>
          <w:color w:val="6B6660"/>
          <w:sz w:val="18"/>
        </w:rPr>
        <w:t>The first row is filled in as an example — yours go underneath.</w:t>
      </w:r>
    </w:p>
    <w:tbl>
      <w:tblPr>
        <w:tblW w:type="auto" w:w="0"/>
        <w:tblLook w:firstColumn="1" w:firstRow="1" w:lastColumn="0" w:lastRow="0" w:noHBand="0" w:noVBand="1" w:val="04A0"/>
      </w:tblPr>
      <w:tblGrid>
        <w:gridCol w:w="3137"/>
        <w:gridCol w:w="3137"/>
        <w:gridCol w:w="3137"/>
      </w:tblGrid>
      <w:tr>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Element of the contract</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Your definition</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Why</w:t>
            </w:r>
          </w:p>
        </w:tc>
      </w:tr>
      <w:tr>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Direction</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LMS → service, one way</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The LMS does not read its own audit log. Stating the direction first is what makes the rest of the contract answerable — everything below is about one call going one way.</w:t>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Call</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Payload</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Success response</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Failure response</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Duplicates</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19"/>
        </w:rPr>
        <w:t>Things to consider</w:t>
      </w:r>
    </w:p>
    <w:p>
      <w:pPr>
        <w:spacing w:after="60"/>
        <w:ind w:left="340"/>
      </w:pPr>
      <w:r>
        <w:rPr>
          <w:sz w:val="19"/>
        </w:rPr>
        <w:t xml:space="preserve">•  </w:t>
      </w:r>
      <w:r>
        <w:rPr>
          <w:i/>
          <w:color w:val="1F5A5C"/>
          <w:sz w:val="19"/>
        </w:rPr>
        <w:t>What does the service tell the LMS on success — that the event was STORED, or that it was RECEIVED? Those are different promises, and only one of them keeps the decoupling you designed.</w:t>
      </w:r>
    </w:p>
    <w:p>
      <w:pPr>
        <w:spacing w:after="60"/>
        <w:ind w:left="340"/>
      </w:pPr>
      <w:r>
        <w:rPr>
          <w:sz w:val="19"/>
        </w:rPr>
        <w:t xml:space="preserve">•  </w:t>
      </w:r>
      <w:r>
        <w:rPr>
          <w:i/>
          <w:color w:val="1F5A5C"/>
          <w:sz w:val="19"/>
        </w:rPr>
        <w:t>Networks redeliver. If the same event arrives twice, what stops a second record being written? Which field makes that possible?</w:t>
      </w:r>
    </w:p>
    <w:p>
      <w:pPr>
        <w:spacing w:after="60"/>
        <w:ind w:left="340"/>
      </w:pPr>
      <w:r>
        <w:rPr>
          <w:sz w:val="19"/>
        </w:rPr>
        <w:t xml:space="preserve">•  </w:t>
      </w:r>
      <w:r>
        <w:rPr>
          <w:i/>
          <w:color w:val="1F5A5C"/>
          <w:sz w:val="19"/>
        </w:rPr>
        <w:t>A contract someone can build against names types, not just fields. What type is the timestamp, and in which time zone?</w:t>
      </w:r>
    </w:p>
    <w:p>
      <w:pPr>
        <w:spacing w:after="60"/>
        <w:ind w:left="340"/>
      </w:pPr>
      <w:r>
        <w:rPr>
          <w:sz w:val="19"/>
        </w:rPr>
        <w:t xml:space="preserve">•  </w:t>
      </w:r>
      <w:r>
        <w:rPr>
          <w:i/>
          <w:color w:val="1F5A5C"/>
          <w:sz w:val="19"/>
        </w:rPr>
        <w:t>What happens to a malformed request? 'It fails' is not a contract.</w:t>
      </w:r>
    </w:p>
    <w:p>
      <w:pPr>
        <w:spacing w:after="60"/>
        <w:ind w:left="340"/>
      </w:pPr>
      <w:r>
        <w:rPr>
          <w:sz w:val="19"/>
        </w:rPr>
        <w:t xml:space="preserve">•  </w:t>
      </w:r>
      <w:r>
        <w:rPr>
          <w:i/>
          <w:color w:val="1F5A5C"/>
          <w:sz w:val="19"/>
        </w:rPr>
        <w:t>Read your contract back and ask: does the LMS need to know anything about the queue, the function or the store? If it does, the coupling is not as loose as you think.</w:t>
      </w:r>
    </w:p>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19</w:t>
      </w:r>
    </w:p>
    <w:p>
      <w:pPr>
        <w:pStyle w:val="Heading2"/>
      </w:pPr>
      <w:r>
        <w:rPr>
          <w:color w:val="1F5A5C"/>
        </w:rPr>
        <w:t>Justify the microservice design</w:t>
      </w:r>
    </w:p>
    <w:p>
      <w:pPr>
        <w:spacing w:after="120"/>
      </w:pPr>
      <w:r>
        <w:rPr>
          <w:b w:val="0"/>
          <w:i w:val="0"/>
          <w:sz w:val="21"/>
        </w:rPr>
        <w:t>Justify the microservice you have documented in tasks 15 to 18. Say why a separate service rather than a change to the LMS, why each component is there, and what your design would cost you if the service were unavailable for an hour. As with task 14, this is a written answer.</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WRITE YOUR ANSWER HERE ]</w:t>
            </w:r>
          </w:p>
        </w:tc>
      </w:tr>
    </w:tbl>
    <w:p/>
    <w:p>
      <w:pPr>
        <w:spacing w:after="60"/>
      </w:pPr>
      <w:r>
        <w:rPr>
          <w:b/>
          <w:i w:val="0"/>
          <w:sz w:val="19"/>
        </w:rPr>
        <w:t>Things to consider</w:t>
      </w:r>
    </w:p>
    <w:p>
      <w:pPr>
        <w:spacing w:after="60"/>
        <w:ind w:left="340"/>
      </w:pPr>
      <w:r>
        <w:rPr>
          <w:sz w:val="19"/>
        </w:rPr>
        <w:t xml:space="preserve">•  </w:t>
      </w:r>
      <w:r>
        <w:rPr>
          <w:i/>
          <w:color w:val="1F5A5C"/>
          <w:sz w:val="19"/>
        </w:rPr>
        <w:t>Why is this a separate service? There is a requirement that says so almost in those words. Quote it rather than reaching for 'best practice'.</w:t>
      </w:r>
    </w:p>
    <w:p>
      <w:pPr>
        <w:spacing w:after="60"/>
        <w:ind w:left="340"/>
      </w:pPr>
      <w:r>
        <w:rPr>
          <w:sz w:val="19"/>
        </w:rPr>
        <w:t xml:space="preserve">•  </w:t>
      </w:r>
      <w:r>
        <w:rPr>
          <w:i/>
          <w:color w:val="1F5A5C"/>
          <w:sz w:val="19"/>
        </w:rPr>
        <w:t>The engagement forbids changing DOODLE. Does that make the separation easier to justify, or is it a separate argument?</w:t>
      </w:r>
    </w:p>
    <w:p>
      <w:pPr>
        <w:spacing w:after="60"/>
        <w:ind w:left="340"/>
      </w:pPr>
      <w:r>
        <w:rPr>
          <w:sz w:val="19"/>
        </w:rPr>
        <w:t xml:space="preserve">•  </w:t>
      </w:r>
      <w:r>
        <w:rPr>
          <w:i/>
          <w:color w:val="1F5A5C"/>
          <w:sz w:val="19"/>
        </w:rPr>
        <w:t>The hour-of-downtime question is the honest one. Are events lost, delayed, or queued — and for how long before that stops being true?</w:t>
      </w:r>
    </w:p>
    <w:p>
      <w:pPr>
        <w:spacing w:after="60"/>
        <w:ind w:left="340"/>
      </w:pPr>
      <w:r>
        <w:rPr>
          <w:sz w:val="19"/>
        </w:rPr>
        <w:t xml:space="preserve">•  </w:t>
      </w:r>
      <w:r>
        <w:rPr>
          <w:i/>
          <w:color w:val="1F5A5C"/>
          <w:sz w:val="19"/>
        </w:rPr>
        <w:t>You chose a store. Say what the alternative was and what would have made you choose it instead.</w:t>
      </w:r>
    </w:p>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pStyle w:val="Heading1"/>
      </w:pPr>
      <w:r>
        <w:t>Part B — Disaster Recovery Plan</w:t>
      </w:r>
    </w:p>
    <w:p>
      <w:pPr>
        <w:spacing w:after="160"/>
      </w:pPr>
      <w:r>
        <w:rPr>
          <w:b w:val="0"/>
          <w:i w:val="0"/>
          <w:sz w:val="21"/>
        </w:rPr>
        <w:t>Part A designed the extended LMS. This part plans its recovery: what could take it down, what that would cost YAT, how you would get it back, and how long that would take.</w:t>
      </w:r>
    </w:p>
    <w:p>
      <w:pPr>
        <w:spacing w:after="160"/>
      </w:pPr>
      <w:r>
        <w:rPr>
          <w:b w:val="0"/>
          <w:i w:val="0"/>
          <w:sz w:val="21"/>
        </w:rPr>
        <w:t>You are writing for two readers. One is Sam Walker, who approves the plan. The other is whoever is on call at 3am when the Sydney region is unavailable and this is the document they open. Write for the second one.</w:t>
      </w:r>
    </w:p>
    <w:p>
      <w:pPr>
        <w:spacing w:after="160"/>
      </w:pPr>
      <w:r>
        <w:rPr>
          <w:b w:val="0"/>
          <w:i w:val="0"/>
          <w:sz w:val="21"/>
        </w:rPr>
        <w:t>Work the tasks in order. They follow the sections of the YAT Disaster Recovery Plan template, so when you reach the last task the plan assembles from what you have already written — which is exactly how the assessment works, so it is worth feeling how that goes.</w:t>
      </w:r>
    </w:p>
    <w:p>
      <w:pPr>
        <w:spacing w:after="60"/>
      </w:pPr>
      <w:r>
        <w:rPr>
          <w:b/>
          <w:i w:val="0"/>
          <w:sz w:val="19"/>
        </w:rPr>
        <w:t>Related resources</w:t>
      </w:r>
    </w:p>
    <w:p>
      <w:pPr>
        <w:spacing w:after="60"/>
        <w:ind w:left="340"/>
      </w:pPr>
      <w:r>
        <w:rPr>
          <w:sz w:val="19"/>
        </w:rPr>
        <w:t xml:space="preserve">•  </w:t>
      </w:r>
      <w:hyperlink r:id="rId14">
        <w:r>
          <w:rPr>
            <w:sz w:val="19"/>
            <w:color w:val="0563C1"/>
            <w:u w:val="single"/>
          </w:rPr>
          <w:t>LMS Global Expansion — Functional &amp; Non-Functional Requirements — the recovery objectives YAT signed off on</w:t>
        </w:r>
      </w:hyperlink>
    </w:p>
    <w:p>
      <w:pPr>
        <w:spacing w:after="60"/>
        <w:ind w:left="340"/>
      </w:pPr>
      <w:r>
        <w:rPr>
          <w:sz w:val="19"/>
        </w:rPr>
        <w:t xml:space="preserve">•  </w:t>
      </w:r>
      <w:hyperlink r:id="rId16">
        <w:r>
          <w:rPr>
            <w:sz w:val="19"/>
            <w:color w:val="0563C1"/>
            <w:u w:val="single"/>
          </w:rPr>
          <w:t>LMS Infrastructure Specifications — the environment, and the backup arrangements currently in place</w:t>
        </w:r>
      </w:hyperlink>
    </w:p>
    <w:p>
      <w:pPr>
        <w:spacing w:after="60"/>
        <w:ind w:left="340"/>
      </w:pPr>
      <w:r>
        <w:rPr>
          <w:sz w:val="19"/>
        </w:rPr>
        <w:t xml:space="preserve">•  </w:t>
      </w:r>
      <w:hyperlink r:id="rId20">
        <w:r>
          <w:rPr>
            <w:sz w:val="19"/>
            <w:color w:val="0563C1"/>
            <w:u w:val="single"/>
          </w:rPr>
          <w:t>Deprecated on-premises DR Plan — superseded by the move to the cloud. Context for what an organisational plan looks like, not a model to copy</w:t>
        </w:r>
      </w:hyperlink>
    </w:p>
    <w:p>
      <w:pPr>
        <w:spacing w:after="60"/>
        <w:ind w:left="340"/>
      </w:pPr>
      <w:r>
        <w:rPr>
          <w:sz w:val="19"/>
        </w:rPr>
        <w:t xml:space="preserve">•  </w:t>
      </w:r>
      <w:hyperlink r:id="rId21">
        <w:r>
          <w:rPr>
            <w:sz w:val="19"/>
            <w:color w:val="0563C1"/>
            <w:u w:val="single"/>
          </w:rPr>
          <w:t>Backup &amp; Retention Policy — YAT's standing backup and retention obligations</w:t>
        </w:r>
      </w:hyperlink>
    </w:p>
    <w:p>
      <w:pPr>
        <w:spacing w:after="60"/>
        <w:ind w:left="340"/>
      </w:pPr>
      <w:r>
        <w:rPr>
          <w:sz w:val="19"/>
        </w:rPr>
        <w:t xml:space="preserve">•  </w:t>
      </w:r>
      <w:hyperlink r:id="rId22">
        <w:r>
          <w:rPr>
            <w:sz w:val="19"/>
            <w:color w:val="0563C1"/>
            <w:u w:val="single"/>
          </w:rPr>
          <w:t>Industry Standards — the information-security and continuity standards YAT works to</w:t>
        </w:r>
      </w:hyperlink>
    </w:p>
    <w:p>
      <w:pPr>
        <w:spacing w:after="60"/>
        <w:ind w:left="340"/>
      </w:pPr>
      <w:r>
        <w:rPr>
          <w:sz w:val="19"/>
        </w:rPr>
        <w:t xml:space="preserve">•  </w:t>
      </w:r>
      <w:hyperlink r:id="rId23">
        <w:r>
          <w:rPr>
            <w:sz w:val="19"/>
            <w:color w:val="0563C1"/>
            <w:u w:val="single"/>
          </w:rPr>
          <w:t>Records Management Policy — where a completed engagement document has to be lodged</w:t>
        </w:r>
      </w:hyperlink>
    </w:p>
    <w:p/>
    <w:p>
      <w:pPr>
        <w:spacing w:after="200"/>
      </w:pPr>
      <w:r>
        <w:rPr>
          <w:b w:val="0"/>
          <w:i/>
          <w:color w:val="6B6660"/>
          <w:sz w:val="19"/>
        </w:rPr>
        <w:t>You will need the YAT Disaster Recovery Plan template — the same one the assessment uses. Download it from the intranet's Templates section. You do not need it until the last task, but read its section headings before you start so you can see where your answers land.</w:t>
      </w:r>
    </w:p>
    <w:p>
      <w:pPr>
        <w:spacing w:before="200" w:after="0"/>
      </w:pPr>
      <w:r>
        <w:rPr>
          <w:b/>
          <w:color w:val="1F5A5C"/>
          <w:sz w:val="16"/>
        </w:rPr>
        <w:t>TASK 20</w:t>
      </w:r>
    </w:p>
    <w:p>
      <w:pPr>
        <w:pStyle w:val="Heading2"/>
      </w:pPr>
      <w:r>
        <w:rPr>
          <w:color w:val="1F5A5C"/>
        </w:rPr>
        <w:t>The recovery requirements this plan has to meet</w:t>
      </w:r>
    </w:p>
    <w:p>
      <w:pPr>
        <w:spacing w:after="120"/>
      </w:pPr>
      <w:r>
        <w:rPr>
          <w:b w:val="0"/>
          <w:i w:val="0"/>
          <w:sz w:val="21"/>
        </w:rPr>
        <w:t>Establish what the plan is held to before you write any of it. Record the recovery requirements YAT has set, what business need each one comes from, and where you read it. A requirement you cannot attribute is one you have assumed.</w:t>
      </w:r>
    </w:p>
    <w:p>
      <w:pPr>
        <w:spacing w:after="60"/>
      </w:pPr>
      <w:r>
        <w:rPr>
          <w:b/>
          <w:i w:val="0"/>
          <w:sz w:val="19"/>
        </w:rPr>
        <w:t>Related resources</w:t>
      </w:r>
    </w:p>
    <w:p>
      <w:pPr>
        <w:spacing w:after="60"/>
        <w:ind w:left="340"/>
      </w:pPr>
      <w:r>
        <w:rPr>
          <w:sz w:val="19"/>
        </w:rPr>
        <w:t xml:space="preserve">•  </w:t>
      </w:r>
      <w:hyperlink r:id="rId14">
        <w:r>
          <w:rPr>
            <w:sz w:val="19"/>
            <w:color w:val="0563C1"/>
            <w:u w:val="single"/>
          </w:rPr>
          <w:t>LMS Global Expansion — Functional &amp; Non-Functional Requirements — the recovery objectives and the availability floor</w:t>
        </w:r>
      </w:hyperlink>
    </w:p>
    <w:p>
      <w:pPr>
        <w:spacing w:after="60"/>
        <w:ind w:left="340"/>
      </w:pPr>
      <w:r>
        <w:rPr>
          <w:sz w:val="19"/>
        </w:rPr>
        <w:t xml:space="preserve">•  </w:t>
      </w:r>
      <w:hyperlink r:id="rId24">
        <w:r>
          <w:rPr>
            <w:sz w:val="19"/>
            <w:color w:val="0563C1"/>
            <w:u w:val="single"/>
          </w:rPr>
          <w:t>Engagement Role Brief — what MTS is engaged to deliver and what is out of scope</w:t>
        </w:r>
      </w:hyperlink>
    </w:p>
    <w:p/>
    <w:p>
      <w:pPr>
        <w:spacing w:after="60"/>
      </w:pPr>
      <w:r>
        <w:rPr>
          <w:b w:val="0"/>
          <w:i/>
          <w:color w:val="6B6660"/>
          <w:sz w:val="18"/>
        </w:rPr>
        <w:t>The first row is filled in as an example — yours go underneath.</w:t>
      </w:r>
    </w:p>
    <w:tbl>
      <w:tblPr>
        <w:tblW w:type="auto" w:w="0"/>
        <w:tblLook w:firstColumn="1" w:firstRow="1" w:lastColumn="0" w:lastRow="0" w:noHBand="0" w:noVBand="1" w:val="04A0"/>
      </w:tblPr>
      <w:tblGrid>
        <w:gridCol w:w="3137"/>
        <w:gridCol w:w="3137"/>
        <w:gridCol w:w="3137"/>
      </w:tblGrid>
      <w:tr>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Requirement</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What it is</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The business need behind it</w:t>
            </w:r>
          </w:p>
        </w:tc>
      </w:tr>
      <w:tr>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Scope</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cloud infrastructure only — the DOODLE application, the India-cohort data and end-user support stay with YAT</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The role brief draws the line, and it belongs in the plan: a recovery plan that quietly assumes someone else's team will do something has not planned for it. Every other row in this table is a target; this one is a boundary.</w:t>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Recovery time objective</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Recovery point objective</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Availability floor</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Recovery independent of the primary region</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19"/>
        </w:rPr>
        <w:t>Things to consider</w:t>
      </w:r>
    </w:p>
    <w:p>
      <w:pPr>
        <w:spacing w:after="60"/>
        <w:ind w:left="340"/>
      </w:pPr>
      <w:r>
        <w:rPr>
          <w:sz w:val="19"/>
        </w:rPr>
        <w:t xml:space="preserve">•  </w:t>
      </w:r>
      <w:r>
        <w:rPr>
          <w:i/>
          <w:color w:val="1F5A5C"/>
          <w:sz w:val="19"/>
        </w:rPr>
        <w:t>RTO and RPO are both in the requirements document. Which is 'how long until it is back' and which is 'how much work is lost'?</w:t>
      </w:r>
    </w:p>
    <w:p>
      <w:pPr>
        <w:spacing w:after="60"/>
        <w:ind w:left="340"/>
      </w:pPr>
      <w:r>
        <w:rPr>
          <w:sz w:val="19"/>
        </w:rPr>
        <w:t xml:space="preserve">•  </w:t>
      </w:r>
      <w:r>
        <w:rPr>
          <w:i/>
          <w:color w:val="1F5A5C"/>
          <w:sz w:val="19"/>
        </w:rPr>
        <w:t>PC 1.1 in the real assessment says 'according to business needs'. For each target, what is the sentence that starts 'because otherwise…'?</w:t>
      </w:r>
    </w:p>
    <w:p>
      <w:pPr>
        <w:spacing w:after="60"/>
        <w:ind w:left="340"/>
      </w:pPr>
      <w:r>
        <w:rPr>
          <w:sz w:val="19"/>
        </w:rPr>
        <w:t xml:space="preserve">•  </w:t>
      </w:r>
      <w:r>
        <w:rPr>
          <w:i/>
          <w:color w:val="1F5A5C"/>
          <w:sz w:val="19"/>
        </w:rPr>
        <w:t>What does an LMS outage actually cost YAT? Think about which week of term it happens in before you answer.</w:t>
      </w:r>
    </w:p>
    <w:p>
      <w:pPr>
        <w:spacing w:after="60"/>
        <w:ind w:left="340"/>
      </w:pPr>
      <w:r>
        <w:rPr>
          <w:sz w:val="19"/>
        </w:rPr>
        <w:t xml:space="preserve">•  </w:t>
      </w:r>
      <w:r>
        <w:rPr>
          <w:i/>
          <w:color w:val="1F5A5C"/>
          <w:sz w:val="19"/>
        </w:rPr>
        <w:t>One of the requirements says recovery must not depend on the primary region. That sounds obvious. What in the current environment quietly depends on it?</w:t>
      </w:r>
    </w:p>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21</w:t>
      </w:r>
    </w:p>
    <w:p>
      <w:pPr>
        <w:pStyle w:val="Heading2"/>
      </w:pPr>
      <w:r>
        <w:rPr>
          <w:color w:val="1F5A5C"/>
        </w:rPr>
        <w:t>Existing recovery arrangements</w:t>
      </w:r>
    </w:p>
    <w:p>
      <w:pPr>
        <w:spacing w:after="120"/>
      </w:pPr>
      <w:r>
        <w:rPr>
          <w:b w:val="0"/>
          <w:i w:val="0"/>
          <w:sz w:val="21"/>
        </w:rPr>
        <w:t>Determine what recovery arrangements already exist. Go through what is actually in place today and say what each one would and would not get you back. Be honest about the difference between a backup and a recovery plan.</w:t>
      </w:r>
    </w:p>
    <w:p>
      <w:pPr>
        <w:spacing w:after="60"/>
      </w:pPr>
      <w:r>
        <w:rPr>
          <w:b/>
          <w:i w:val="0"/>
          <w:sz w:val="19"/>
        </w:rPr>
        <w:t>Related resources</w:t>
      </w:r>
    </w:p>
    <w:p>
      <w:pPr>
        <w:spacing w:after="60"/>
        <w:ind w:left="340"/>
      </w:pPr>
      <w:r>
        <w:rPr>
          <w:sz w:val="19"/>
        </w:rPr>
        <w:t xml:space="preserve">•  </w:t>
      </w:r>
      <w:hyperlink r:id="rId16">
        <w:r>
          <w:rPr>
            <w:sz w:val="19"/>
            <w:color w:val="0563C1"/>
            <w:u w:val="single"/>
          </w:rPr>
          <w:t>LMS Infrastructure Specifications — the backup arrangements in place today</w:t>
        </w:r>
      </w:hyperlink>
    </w:p>
    <w:p>
      <w:pPr>
        <w:spacing w:after="60"/>
        <w:ind w:left="340"/>
      </w:pPr>
      <w:r>
        <w:rPr>
          <w:sz w:val="19"/>
        </w:rPr>
        <w:t xml:space="preserve">•  </w:t>
      </w:r>
      <w:hyperlink r:id="rId21">
        <w:r>
          <w:rPr>
            <w:sz w:val="19"/>
            <w:color w:val="0563C1"/>
            <w:u w:val="single"/>
          </w:rPr>
          <w:t>Backup &amp; Retention Policy — YAT's standing obligations</w:t>
        </w:r>
      </w:hyperlink>
    </w:p>
    <w:p>
      <w:pPr>
        <w:spacing w:after="60"/>
        <w:ind w:left="340"/>
      </w:pPr>
      <w:r>
        <w:rPr>
          <w:sz w:val="19"/>
        </w:rPr>
        <w:t xml:space="preserve">•  </w:t>
      </w:r>
      <w:hyperlink r:id="rId20">
        <w:r>
          <w:rPr>
            <w:sz w:val="19"/>
            <w:color w:val="0563C1"/>
            <w:u w:val="single"/>
          </w:rPr>
          <w:t>Deprecated on-premises DR Plan — the plan the cloud migration superseded. Context only — do not copy it</w:t>
        </w:r>
      </w:hyperlink>
    </w:p>
    <w:p/>
    <w:p>
      <w:pPr>
        <w:spacing w:after="60"/>
      </w:pPr>
      <w:r>
        <w:rPr>
          <w:b w:val="0"/>
          <w:i/>
          <w:color w:val="6B6660"/>
          <w:sz w:val="18"/>
        </w:rPr>
        <w:t>The first row is filled in as an example — yours go underneath.</w:t>
      </w:r>
    </w:p>
    <w:tbl>
      <w:tblPr>
        <w:tblW w:type="auto" w:w="0"/>
        <w:tblLook w:firstColumn="1" w:firstRow="1" w:lastColumn="0" w:lastRow="0" w:noHBand="0" w:noVBand="1" w:val="04A0"/>
      </w:tblPr>
      <w:tblGrid>
        <w:gridCol w:w="3137"/>
        <w:gridCol w:w="3137"/>
        <w:gridCol w:w="3137"/>
      </w:tblGrid>
      <w:tr>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Existing arrangement</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What it protects against</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What it does not cover</w:t>
            </w:r>
          </w:p>
        </w:tc>
      </w:tr>
      <w:tr>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The deprecated on-premises DR plan</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nothing current — it was written for the on-premises LMS that no longer exists</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It is in the resources list precisely so you can rule it out. Reading a superseded document and saying why it does not apply is part of determining what exists; skipping it and assuming is not.</w:t>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Multi-AZ database with automatic failover</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Automated database backups, 7-day retention</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Auto Scaling across two zones</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EBS volumes holding course materials and submissions</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19"/>
        </w:rPr>
        <w:t>Things to consider</w:t>
      </w:r>
    </w:p>
    <w:p>
      <w:pPr>
        <w:spacing w:after="60"/>
        <w:ind w:left="340"/>
      </w:pPr>
      <w:r>
        <w:rPr>
          <w:sz w:val="19"/>
        </w:rPr>
        <w:t xml:space="preserve">•  </w:t>
      </w:r>
      <w:r>
        <w:rPr>
          <w:i/>
          <w:color w:val="1F5A5C"/>
          <w:sz w:val="19"/>
        </w:rPr>
        <w:t>Every arrangement in that list is inside ap-southeast-2. Write the third column for each one and watch the same answer appear five times.</w:t>
      </w:r>
    </w:p>
    <w:p>
      <w:pPr>
        <w:spacing w:after="60"/>
        <w:ind w:left="340"/>
      </w:pPr>
      <w:r>
        <w:rPr>
          <w:sz w:val="19"/>
        </w:rPr>
        <w:t xml:space="preserve">•  </w:t>
      </w:r>
      <w:r>
        <w:rPr>
          <w:i/>
          <w:color w:val="1F5A5C"/>
          <w:sz w:val="19"/>
        </w:rPr>
        <w:t>Multi-AZ failover is very good at what it does. Name precisely what it does, and then name what this plan is about.</w:t>
      </w:r>
    </w:p>
    <w:p>
      <w:pPr>
        <w:spacing w:after="60"/>
        <w:ind w:left="340"/>
      </w:pPr>
      <w:r>
        <w:rPr>
          <w:sz w:val="19"/>
        </w:rPr>
        <w:t xml:space="preserve">•  </w:t>
      </w:r>
      <w:r>
        <w:rPr>
          <w:i/>
          <w:color w:val="1F5A5C"/>
          <w:sz w:val="19"/>
        </w:rPr>
        <w:t>Where are course materials and student submissions stored? Is there any automated copy of them anywhere?</w:t>
      </w:r>
    </w:p>
    <w:p>
      <w:pPr>
        <w:spacing w:after="60"/>
        <w:ind w:left="340"/>
      </w:pPr>
      <w:r>
        <w:rPr>
          <w:sz w:val="19"/>
        </w:rPr>
        <w:t xml:space="preserve">•  </w:t>
      </w:r>
      <w:r>
        <w:rPr>
          <w:i/>
          <w:color w:val="1F5A5C"/>
          <w:sz w:val="19"/>
        </w:rPr>
        <w:t>The infrastructure specification says region recovery 'is not provided for and remains an open gap'. Is that a finding you can use, or one you should check yourself?</w:t>
      </w:r>
    </w:p>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22</w:t>
      </w:r>
    </w:p>
    <w:p>
      <w:pPr>
        <w:pStyle w:val="Heading2"/>
      </w:pPr>
      <w:r>
        <w:rPr>
          <w:color w:val="1F5A5C"/>
        </w:rPr>
        <w:t>Vendor provisions and service level agreements</w:t>
      </w:r>
    </w:p>
    <w:p>
      <w:pPr>
        <w:spacing w:after="120"/>
      </w:pPr>
      <w:r>
        <w:rPr>
          <w:b w:val="0"/>
          <w:i w:val="0"/>
          <w:sz w:val="21"/>
        </w:rPr>
        <w:t>Identify what your cloud provider commits to, and what it does not. Record the service commitments that matter to this plan, and be clear about where the provider's responsibility ends and YAT's begins — that boundary is where your plan has to do the work.</w:t>
      </w:r>
    </w:p>
    <w:p>
      <w:pPr>
        <w:spacing w:after="60"/>
      </w:pPr>
      <w:r>
        <w:rPr>
          <w:b/>
          <w:i w:val="0"/>
          <w:sz w:val="19"/>
        </w:rPr>
        <w:t>Related resources</w:t>
      </w:r>
    </w:p>
    <w:p>
      <w:pPr>
        <w:spacing w:after="60"/>
        <w:ind w:left="340"/>
      </w:pPr>
      <w:r>
        <w:rPr>
          <w:sz w:val="19"/>
        </w:rPr>
        <w:t xml:space="preserve">•  </w:t>
      </w:r>
      <w:hyperlink r:id="rId25">
        <w:r>
          <w:rPr>
            <w:sz w:val="19"/>
            <w:color w:val="0563C1"/>
            <w:u w:val="single"/>
          </w:rPr>
          <w:t>Master Services Agreement — the engagement's contractual frame</w:t>
        </w:r>
      </w:hyperlink>
    </w:p>
    <w:p>
      <w:pPr>
        <w:spacing w:after="60"/>
        <w:ind w:left="340"/>
      </w:pPr>
      <w:r>
        <w:rPr>
          <w:sz w:val="19"/>
        </w:rPr>
        <w:t xml:space="preserve">•  </w:t>
      </w:r>
      <w:hyperlink r:id="rId22">
        <w:r>
          <w:rPr>
            <w:sz w:val="19"/>
            <w:color w:val="0563C1"/>
            <w:u w:val="single"/>
          </w:rPr>
          <w:t>Industry Standards — the provider commitments YAT works to</w:t>
        </w:r>
      </w:hyperlink>
    </w:p>
    <w:p/>
    <w:p>
      <w:pPr>
        <w:spacing w:after="60"/>
      </w:pPr>
      <w:r>
        <w:rPr>
          <w:b w:val="0"/>
          <w:i/>
          <w:color w:val="6B6660"/>
          <w:sz w:val="18"/>
        </w:rPr>
        <w:t>The first row is filled in as an example — yours go underneath.</w:t>
      </w:r>
    </w:p>
    <w:tbl>
      <w:tblPr>
        <w:tblW w:type="auto" w:w="0"/>
        <w:tblLook w:firstColumn="1" w:firstRow="1" w:lastColumn="0" w:lastRow="0" w:noHBand="0" w:noVBand="1" w:val="04A0"/>
      </w:tblPr>
      <w:tblGrid>
        <w:gridCol w:w="3137"/>
        <w:gridCol w:w="3137"/>
        <w:gridCol w:w="3137"/>
      </w:tblGrid>
      <w:tr>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Provision</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What the provider commits to</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What remains YAT's responsibility</w:t>
            </w:r>
          </w:p>
        </w:tc>
      </w:tr>
      <w:tr>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Incident communication</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status reporting during a service event</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Noticing that the event affects the LMS, and deciding to invoke this plan. The provider tells you a region is unwell; nobody but YAT can tell you what that means for a class sitting an assessment.</w:t>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Compute service level</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Managed database</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Block storage durability</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Regional isolation</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19"/>
        </w:rPr>
        <w:t>Things to consider</w:t>
      </w:r>
    </w:p>
    <w:p>
      <w:pPr>
        <w:spacing w:after="60"/>
        <w:ind w:left="340"/>
      </w:pPr>
      <w:r>
        <w:rPr>
          <w:sz w:val="19"/>
        </w:rPr>
        <w:t xml:space="preserve">•  </w:t>
      </w:r>
      <w:r>
        <w:rPr>
          <w:i/>
          <w:color w:val="1F5A5C"/>
          <w:sz w:val="19"/>
        </w:rPr>
        <w:t>'Regions fail independently' is a provider commitment. What does YAT have to have done in advance for that to be worth anything?</w:t>
      </w:r>
    </w:p>
    <w:p>
      <w:pPr>
        <w:spacing w:after="60"/>
        <w:ind w:left="340"/>
      </w:pPr>
      <w:r>
        <w:rPr>
          <w:sz w:val="19"/>
        </w:rPr>
        <w:t xml:space="preserve">•  </w:t>
      </w:r>
      <w:r>
        <w:rPr>
          <w:i/>
          <w:color w:val="1F5A5C"/>
          <w:sz w:val="19"/>
        </w:rPr>
        <w:t>The managed database service takes backups automatically. Does it put them anywhere you could reach if Sydney were gone?</w:t>
      </w:r>
    </w:p>
    <w:p>
      <w:pPr>
        <w:spacing w:after="60"/>
        <w:ind w:left="340"/>
      </w:pPr>
      <w:r>
        <w:rPr>
          <w:sz w:val="19"/>
        </w:rPr>
        <w:t xml:space="preserve">•  </w:t>
      </w:r>
      <w:r>
        <w:rPr>
          <w:i/>
          <w:color w:val="1F5A5C"/>
          <w:sz w:val="19"/>
        </w:rPr>
        <w:t>If the provider's availability figure were YAT's recovery plan, this document would be one page long. Why is it not?</w:t>
      </w:r>
    </w:p>
    <w:p>
      <w:pPr>
        <w:spacing w:after="60"/>
        <w:ind w:left="340"/>
      </w:pPr>
      <w:r>
        <w:rPr>
          <w:sz w:val="19"/>
        </w:rPr>
        <w:t xml:space="preserve">•  </w:t>
      </w:r>
      <w:r>
        <w:rPr>
          <w:i/>
          <w:color w:val="1F5A5C"/>
          <w:sz w:val="19"/>
        </w:rPr>
        <w:t>The MSA is a contract between YAT and MTS, not between YAT and the cloud provider. Does anything in it bear on recovery?</w:t>
      </w:r>
    </w:p>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23</w:t>
      </w:r>
    </w:p>
    <w:p>
      <w:pPr>
        <w:pStyle w:val="Heading2"/>
      </w:pPr>
      <w:r>
        <w:rPr>
          <w:color w:val="1F5A5C"/>
        </w:rPr>
        <w:t>Recovery objectives</w:t>
      </w:r>
    </w:p>
    <w:p>
      <w:pPr>
        <w:spacing w:after="120"/>
      </w:pPr>
      <w:r>
        <w:rPr>
          <w:b w:val="0"/>
          <w:i w:val="0"/>
          <w:sz w:val="21"/>
        </w:rPr>
        <w:t>State the recovery objectives this plan commits to, per component of the system you designed in Part A. Take the targets from task 20 as the requirement, then say what each component's objective is and why. Not everything needs the same objective — say where you differentiate, and why that is defensible.</w:t>
      </w:r>
    </w:p>
    <w:p>
      <w:pPr>
        <w:spacing w:after="60"/>
      </w:pPr>
      <w:r>
        <w:rPr>
          <w:b w:val="0"/>
          <w:i/>
          <w:color w:val="6B6660"/>
          <w:sz w:val="18"/>
        </w:rPr>
        <w:t>The first row is filled in as an example — yours go underneath.</w:t>
      </w:r>
    </w:p>
    <w:tbl>
      <w:tblPr>
        <w:tblW w:type="auto" w:w="0"/>
        <w:tblLook w:firstColumn="1" w:firstRow="1" w:lastColumn="0" w:lastRow="0" w:noHBand="0" w:noVBand="1" w:val="04A0"/>
      </w:tblPr>
      <w:tblGrid>
        <w:gridCol w:w="2353"/>
        <w:gridCol w:w="2353"/>
        <w:gridCol w:w="2353"/>
        <w:gridCol w:w="2353"/>
      </w:tblGrid>
      <w:tr>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Component</w:t>
            </w:r>
          </w:p>
        </w:tc>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RTO</w:t>
            </w:r>
          </w:p>
        </w:tc>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RPO</w:t>
            </w:r>
          </w:p>
        </w:tc>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Why this objective</w:t>
            </w:r>
          </w:p>
        </w:tc>
      </w:tr>
      <w:tr>
        <w:tc>
          <w:tcPr>
            <w:tcW w:type="dxa" w:w="2353"/>
            <w:tcBorders>
              <w:top w:val="single" w:sz="4" w:space="0" w:color="E4DED3"/>
              <w:left w:val="single" w:sz="4" w:space="0" w:color="E4DED3"/>
              <w:bottom w:val="single" w:sz="4" w:space="0" w:color="E4DED3"/>
              <w:right w:val="single" w:sz="4" w:space="0" w:color="E4DED3"/>
            </w:tcBorders>
          </w:tcPr>
          <w:p>
            <w:r>
              <w:rPr>
                <w:i/>
                <w:color w:val="1F5A5C"/>
                <w:sz w:val="18"/>
              </w:rPr>
              <w:t>Teacher marking and gradebook entry</w:t>
            </w:r>
          </w:p>
        </w:tc>
        <w:tc>
          <w:tcPr>
            <w:tcW w:type="dxa" w:w="2353"/>
            <w:tcBorders>
              <w:top w:val="single" w:sz="4" w:space="0" w:color="E4DED3"/>
              <w:left w:val="single" w:sz="4" w:space="0" w:color="E4DED3"/>
              <w:bottom w:val="single" w:sz="4" w:space="0" w:color="E4DED3"/>
              <w:right w:val="single" w:sz="4" w:space="0" w:color="E4DED3"/>
            </w:tcBorders>
          </w:tcPr>
          <w:p>
            <w:r>
              <w:rPr>
                <w:i/>
                <w:color w:val="1F5A5C"/>
                <w:sz w:val="18"/>
              </w:rPr>
              <w:t>≤ 24 hours</w:t>
            </w:r>
          </w:p>
        </w:tc>
        <w:tc>
          <w:tcPr>
            <w:tcW w:type="dxa" w:w="2353"/>
            <w:tcBorders>
              <w:top w:val="single" w:sz="4" w:space="0" w:color="E4DED3"/>
              <w:left w:val="single" w:sz="4" w:space="0" w:color="E4DED3"/>
              <w:bottom w:val="single" w:sz="4" w:space="0" w:color="E4DED3"/>
              <w:right w:val="single" w:sz="4" w:space="0" w:color="E4DED3"/>
            </w:tcBorders>
          </w:tcPr>
          <w:p>
            <w:r>
              <w:rPr>
                <w:i/>
                <w:color w:val="1F5A5C"/>
                <w:sz w:val="18"/>
              </w:rPr>
              <w:t>≤ 1 hour</w:t>
            </w:r>
          </w:p>
        </w:tc>
        <w:tc>
          <w:tcPr>
            <w:tcW w:type="dxa" w:w="2353"/>
            <w:tcBorders>
              <w:top w:val="single" w:sz="4" w:space="0" w:color="E4DED3"/>
              <w:left w:val="single" w:sz="4" w:space="0" w:color="E4DED3"/>
              <w:bottom w:val="single" w:sz="4" w:space="0" w:color="E4DED3"/>
              <w:right w:val="single" w:sz="4" w:space="0" w:color="E4DED3"/>
            </w:tcBorders>
          </w:tcPr>
          <w:p>
            <w:r>
              <w:rPr>
                <w:i/>
                <w:color w:val="1F5A5C"/>
                <w:sz w:val="18"/>
              </w:rPr>
              <w:t>Marking can wait a day; losing an hour of marking already entered is a real cost to a real person. The two numbers do not have to move together, and noticing that is the whole reason this table has two columns.</w:t>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t>Course content delivery</w:t>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t>Assessment submission</w:t>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t>Authentication (sign-in)</w:t>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t>India activity-audit store</w:t>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t>Attendance and student notes</w:t>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19"/>
        </w:rPr>
        <w:t>Things to consider</w:t>
      </w:r>
    </w:p>
    <w:p>
      <w:pPr>
        <w:spacing w:after="60"/>
        <w:ind w:left="340"/>
      </w:pPr>
      <w:r>
        <w:rPr>
          <w:sz w:val="19"/>
        </w:rPr>
        <w:t xml:space="preserve">•  </w:t>
      </w:r>
      <w:r>
        <w:rPr>
          <w:i/>
          <w:color w:val="1F5A5C"/>
          <w:sz w:val="19"/>
        </w:rPr>
        <w:t>One figure for the whole system is the easy answer and the weaker one. Which part of the LMS genuinely cannot wait four hours in submission week?</w:t>
      </w:r>
    </w:p>
    <w:p>
      <w:pPr>
        <w:spacing w:after="60"/>
        <w:ind w:left="340"/>
      </w:pPr>
      <w:r>
        <w:rPr>
          <w:sz w:val="19"/>
        </w:rPr>
        <w:t xml:space="preserve">•  </w:t>
      </w:r>
      <w:r>
        <w:rPr>
          <w:i/>
          <w:color w:val="1F5A5C"/>
          <w:sz w:val="19"/>
        </w:rPr>
        <w:t>What is the RPO of something that holds no data of its own?</w:t>
      </w:r>
    </w:p>
    <w:p>
      <w:pPr>
        <w:spacing w:after="60"/>
        <w:ind w:left="340"/>
      </w:pPr>
      <w:r>
        <w:rPr>
          <w:sz w:val="19"/>
        </w:rPr>
        <w:t xml:space="preserve">•  </w:t>
      </w:r>
      <w:r>
        <w:rPr>
          <w:i/>
          <w:color w:val="1F5A5C"/>
          <w:sz w:val="19"/>
        </w:rPr>
        <w:t>Authentication is a row here. If sign-in is not recovered, what is the recovery time of everything else, whatever you wrote against it?</w:t>
      </w:r>
    </w:p>
    <w:p>
      <w:pPr>
        <w:spacing w:after="60"/>
        <w:ind w:left="340"/>
      </w:pPr>
      <w:r>
        <w:rPr>
          <w:sz w:val="19"/>
        </w:rPr>
        <w:t xml:space="preserve">•  </w:t>
      </w:r>
      <w:r>
        <w:rPr>
          <w:i/>
          <w:color w:val="1F5A5C"/>
          <w:sz w:val="19"/>
        </w:rPr>
        <w:t>The India audit obligation does not pause because Sydney is having a bad day. What does that mean for the store's objectives?</w:t>
      </w:r>
    </w:p>
    <w:p>
      <w:pPr>
        <w:spacing w:after="60"/>
        <w:ind w:left="340"/>
      </w:pPr>
      <w:r>
        <w:rPr>
          <w:sz w:val="19"/>
        </w:rPr>
        <w:t xml:space="preserve">•  </w:t>
      </w:r>
      <w:r>
        <w:rPr>
          <w:i/>
          <w:color w:val="1F5A5C"/>
          <w:sz w:val="19"/>
        </w:rPr>
        <w:t>Every figure you write must be within the task 20 targets, or you have to say why not.</w:t>
      </w:r>
    </w:p>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24</w:t>
      </w:r>
    </w:p>
    <w:p>
      <w:pPr>
        <w:pStyle w:val="Heading2"/>
      </w:pPr>
      <w:r>
        <w:rPr>
          <w:color w:val="1F5A5C"/>
        </w:rPr>
        <w:t>The data you are protecting</w:t>
      </w:r>
    </w:p>
    <w:p>
      <w:pPr>
        <w:spacing w:after="120"/>
      </w:pPr>
      <w:r>
        <w:rPr>
          <w:b w:val="0"/>
          <w:i w:val="0"/>
          <w:sz w:val="21"/>
        </w:rPr>
        <w:t>Estimate what data this system holds, how much of it there is, and how sensitive each kind is. Volume drives how long a recovery takes; sensitivity drives how carefully it has to be handled while you are recovering it.</w:t>
      </w:r>
    </w:p>
    <w:p>
      <w:pPr>
        <w:spacing w:after="60"/>
      </w:pPr>
      <w:r>
        <w:rPr>
          <w:b/>
          <w:i w:val="0"/>
          <w:sz w:val="19"/>
        </w:rPr>
        <w:t>Related resources</w:t>
      </w:r>
    </w:p>
    <w:p>
      <w:pPr>
        <w:spacing w:after="60"/>
        <w:ind w:left="340"/>
      </w:pPr>
      <w:r>
        <w:rPr>
          <w:sz w:val="19"/>
        </w:rPr>
        <w:t xml:space="preserve">•  </w:t>
      </w:r>
      <w:hyperlink r:id="rId15">
        <w:r>
          <w:rPr>
            <w:sz w:val="19"/>
            <w:color w:val="0563C1"/>
            <w:u w:val="single"/>
          </w:rPr>
          <w:t>LMS Application Specification — the data the LMS holds, its volume and its sensitivity</w:t>
        </w:r>
      </w:hyperlink>
    </w:p>
    <w:p>
      <w:pPr>
        <w:spacing w:after="60"/>
        <w:ind w:left="340"/>
      </w:pPr>
      <w:r>
        <w:rPr>
          <w:sz w:val="19"/>
        </w:rPr>
        <w:t xml:space="preserve">•  </w:t>
      </w:r>
      <w:hyperlink r:id="rId19">
        <w:r>
          <w:rPr>
            <w:sz w:val="19"/>
            <w:color w:val="0563C1"/>
            <w:u w:val="single"/>
          </w:rPr>
          <w:t>Privacy / Data Handling Policy — the classification and handling obligations</w:t>
        </w:r>
      </w:hyperlink>
    </w:p>
    <w:p/>
    <w:p>
      <w:pPr>
        <w:spacing w:after="60"/>
      </w:pPr>
      <w:r>
        <w:rPr>
          <w:b w:val="0"/>
          <w:i/>
          <w:color w:val="6B6660"/>
          <w:sz w:val="18"/>
        </w:rPr>
        <w:t>The first row is filled in as an example — yours go underneath.</w:t>
      </w:r>
    </w:p>
    <w:tbl>
      <w:tblPr>
        <w:tblW w:type="auto" w:w="0"/>
        <w:tblLook w:firstColumn="1" w:firstRow="1" w:lastColumn="0" w:lastRow="0" w:noHBand="0" w:noVBand="1" w:val="04A0"/>
      </w:tblPr>
      <w:tblGrid>
        <w:gridCol w:w="2353"/>
        <w:gridCol w:w="2353"/>
        <w:gridCol w:w="2353"/>
        <w:gridCol w:w="2353"/>
      </w:tblGrid>
      <w:tr>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Data</w:t>
            </w:r>
          </w:p>
        </w:tc>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Approximate volume</w:t>
            </w:r>
          </w:p>
        </w:tc>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Sensitivity</w:t>
            </w:r>
          </w:p>
        </w:tc>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What that means for recovery</w:t>
            </w:r>
          </w:p>
        </w:tc>
      </w:tr>
      <w:tr>
        <w:tc>
          <w:tcPr>
            <w:tcW w:type="dxa" w:w="2353"/>
            <w:tcBorders>
              <w:top w:val="single" w:sz="4" w:space="0" w:color="E4DED3"/>
              <w:left w:val="single" w:sz="4" w:space="0" w:color="E4DED3"/>
              <w:bottom w:val="single" w:sz="4" w:space="0" w:color="E4DED3"/>
              <w:right w:val="single" w:sz="4" w:space="0" w:color="E4DED3"/>
            </w:tcBorders>
          </w:tcPr>
          <w:p>
            <w:r>
              <w:rPr>
                <w:i/>
                <w:color w:val="1F5A5C"/>
                <w:sz w:val="18"/>
              </w:rPr>
              <w:t>Published course materials</w:t>
            </w:r>
          </w:p>
        </w:tc>
        <w:tc>
          <w:tcPr>
            <w:tcW w:type="dxa" w:w="2353"/>
            <w:tcBorders>
              <w:top w:val="single" w:sz="4" w:space="0" w:color="E4DED3"/>
              <w:left w:val="single" w:sz="4" w:space="0" w:color="E4DED3"/>
              <w:bottom w:val="single" w:sz="4" w:space="0" w:color="E4DED3"/>
              <w:right w:val="single" w:sz="4" w:space="0" w:color="E4DED3"/>
            </w:tcBorders>
          </w:tcPr>
          <w:p>
            <w:r>
              <w:rPr>
                <w:i/>
                <w:color w:val="1F5A5C"/>
                <w:sz w:val="18"/>
              </w:rPr>
              <w:t>the bulk of the file storage</w:t>
            </w:r>
          </w:p>
        </w:tc>
        <w:tc>
          <w:tcPr>
            <w:tcW w:type="dxa" w:w="2353"/>
            <w:tcBorders>
              <w:top w:val="single" w:sz="4" w:space="0" w:color="E4DED3"/>
              <w:left w:val="single" w:sz="4" w:space="0" w:color="E4DED3"/>
              <w:bottom w:val="single" w:sz="4" w:space="0" w:color="E4DED3"/>
              <w:right w:val="single" w:sz="4" w:space="0" w:color="E4DED3"/>
            </w:tcBorders>
          </w:tcPr>
          <w:p>
            <w:r>
              <w:rPr>
                <w:i/>
                <w:color w:val="1F5A5C"/>
                <w:sz w:val="18"/>
              </w:rPr>
              <w:t>Internal</w:t>
            </w:r>
          </w:p>
        </w:tc>
        <w:tc>
          <w:tcPr>
            <w:tcW w:type="dxa" w:w="2353"/>
            <w:tcBorders>
              <w:top w:val="single" w:sz="4" w:space="0" w:color="E4DED3"/>
              <w:left w:val="single" w:sz="4" w:space="0" w:color="E4DED3"/>
              <w:bottom w:val="single" w:sz="4" w:space="0" w:color="E4DED3"/>
              <w:right w:val="single" w:sz="4" w:space="0" w:color="E4DED3"/>
            </w:tcBorders>
          </w:tcPr>
          <w:p>
            <w:r>
              <w:rPr>
                <w:i/>
                <w:color w:val="1F5A5C"/>
                <w:sz w:val="18"/>
              </w:rPr>
              <w:t>Large, and it is what makes a restore take hours rather than minutes. Nothing about handling it is delicate — which is exactly why it belongs in a different row from the next four.</w:t>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t>Student assessment submissions</w:t>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t>Gradebook and unit completion records</w:t>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t>Attendance and student notes</w:t>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t>India activity-audit records</w:t>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19"/>
        </w:rPr>
        <w:t>Things to consider</w:t>
      </w:r>
    </w:p>
    <w:p>
      <w:pPr>
        <w:spacing w:after="60"/>
        <w:ind w:left="340"/>
      </w:pPr>
      <w:r>
        <w:rPr>
          <w:sz w:val="19"/>
        </w:rPr>
        <w:t xml:space="preserve">•  </w:t>
      </w:r>
      <w:r>
        <w:rPr>
          <w:i/>
          <w:color w:val="1F5A5C"/>
          <w:sz w:val="19"/>
        </w:rPr>
        <w:t>The infrastructure specification gives you an annual growth figure for the database. Is that the same as the total volume you have to move?</w:t>
      </w:r>
    </w:p>
    <w:p>
      <w:pPr>
        <w:spacing w:after="60"/>
        <w:ind w:left="340"/>
      </w:pPr>
      <w:r>
        <w:rPr>
          <w:sz w:val="19"/>
        </w:rPr>
        <w:t xml:space="preserve">•  </w:t>
      </w:r>
      <w:r>
        <w:rPr>
          <w:i/>
          <w:color w:val="1F5A5C"/>
          <w:sz w:val="19"/>
        </w:rPr>
        <w:t>Which of these is personal information, and which is an academic record? They carry different obligations and a plan that lumps them together has not done the task.</w:t>
      </w:r>
    </w:p>
    <w:p>
      <w:pPr>
        <w:spacing w:after="60"/>
        <w:ind w:left="340"/>
      </w:pPr>
      <w:r>
        <w:rPr>
          <w:sz w:val="19"/>
        </w:rPr>
        <w:t xml:space="preserve">•  </w:t>
      </w:r>
      <w:r>
        <w:rPr>
          <w:i/>
          <w:color w:val="1F5A5C"/>
          <w:sz w:val="19"/>
        </w:rPr>
        <w:t>Teacher notes about a student are the most sensitive thing in the list and the smallest. Does volume or sensitivity decide how carefully you handle them?</w:t>
      </w:r>
    </w:p>
    <w:p>
      <w:pPr>
        <w:spacing w:after="60"/>
        <w:ind w:left="340"/>
      </w:pPr>
      <w:r>
        <w:rPr>
          <w:sz w:val="19"/>
        </w:rPr>
        <w:t xml:space="preserve">•  </w:t>
      </w:r>
      <w:r>
        <w:rPr>
          <w:i/>
          <w:color w:val="1F5A5C"/>
          <w:sz w:val="19"/>
        </w:rPr>
        <w:t>One category must not be recovered into your DR region at all. Which one, and what does DR-R1 say?</w:t>
      </w:r>
    </w:p>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25</w:t>
      </w:r>
    </w:p>
    <w:p>
      <w:pPr>
        <w:pStyle w:val="Heading2"/>
      </w:pPr>
      <w:r>
        <w:rPr>
          <w:color w:val="1F5A5C"/>
        </w:rPr>
        <w:t>Risk assessment — the major risk events</w:t>
      </w:r>
    </w:p>
    <w:p>
      <w:pPr>
        <w:spacing w:after="120"/>
      </w:pPr>
      <w:r>
        <w:rPr>
          <w:b w:val="0"/>
          <w:i w:val="0"/>
          <w:sz w:val="21"/>
        </w:rPr>
        <w:t>Identify the major risk events this plan is written for. You need at least three. For each, say how likely it is, what the impact on YAT would be, and how you rated it — name the method you used, because a rating with no method behind it is an opinion.</w:t>
      </w:r>
    </w:p>
    <w:p>
      <w:pPr>
        <w:spacing w:after="60"/>
      </w:pPr>
      <w:r>
        <w:rPr>
          <w:b/>
          <w:i w:val="0"/>
          <w:sz w:val="19"/>
        </w:rPr>
        <w:t>Related resources</w:t>
      </w:r>
    </w:p>
    <w:p>
      <w:pPr>
        <w:spacing w:after="60"/>
        <w:ind w:left="340"/>
      </w:pPr>
      <w:r>
        <w:rPr>
          <w:sz w:val="19"/>
        </w:rPr>
        <w:t xml:space="preserve">•  </w:t>
      </w:r>
      <w:hyperlink r:id="rId26">
        <w:r>
          <w:rPr>
            <w:sz w:val="19"/>
            <w:color w:val="0563C1"/>
            <w:u w:val="single"/>
          </w:rPr>
          <w:t>Security &amp; Incident Response Policy — how YAT classifies and responds to incidents</w:t>
        </w:r>
      </w:hyperlink>
    </w:p>
    <w:p/>
    <w:p>
      <w:pPr>
        <w:spacing w:after="60"/>
      </w:pPr>
      <w:r>
        <w:rPr>
          <w:b w:val="0"/>
          <w:i/>
          <w:color w:val="6B6660"/>
          <w:sz w:val="18"/>
        </w:rPr>
        <w:t>The first row is filled in as an example — yours go underneath.</w:t>
      </w:r>
    </w:p>
    <w:tbl>
      <w:tblPr>
        <w:tblW w:type="auto" w:w="0"/>
        <w:tblLook w:firstColumn="1" w:firstRow="1" w:lastColumn="0" w:lastRow="0" w:noHBand="0" w:noVBand="1" w:val="04A0"/>
      </w:tblPr>
      <w:tblGrid>
        <w:gridCol w:w="2353"/>
        <w:gridCol w:w="2353"/>
        <w:gridCol w:w="2353"/>
        <w:gridCol w:w="2353"/>
      </w:tblGrid>
      <w:tr>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Risk event</w:t>
            </w:r>
          </w:p>
        </w:tc>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Likelihood</w:t>
            </w:r>
          </w:p>
        </w:tc>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Impact on YAT</w:t>
            </w:r>
          </w:p>
        </w:tc>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Rating</w:t>
            </w:r>
          </w:p>
        </w:tc>
      </w:tr>
      <w:tr>
        <w:tc>
          <w:tcPr>
            <w:tcW w:type="dxa" w:w="2353"/>
            <w:tcBorders>
              <w:top w:val="single" w:sz="4" w:space="0" w:color="E4DED3"/>
              <w:left w:val="single" w:sz="4" w:space="0" w:color="E4DED3"/>
              <w:bottom w:val="single" w:sz="4" w:space="0" w:color="E4DED3"/>
              <w:right w:val="single" w:sz="4" w:space="0" w:color="E4DED3"/>
            </w:tcBorders>
          </w:tcPr>
          <w:p>
            <w:r>
              <w:rPr>
                <w:i/>
                <w:color w:val="1F5A5C"/>
                <w:sz w:val="18"/>
              </w:rPr>
              <w:t>Loss of the campus link carrying AD-LDAP authentication</w:t>
            </w:r>
          </w:p>
        </w:tc>
        <w:tc>
          <w:tcPr>
            <w:tcW w:type="dxa" w:w="2353"/>
            <w:tcBorders>
              <w:top w:val="single" w:sz="4" w:space="0" w:color="E4DED3"/>
              <w:left w:val="single" w:sz="4" w:space="0" w:color="E4DED3"/>
              <w:bottom w:val="single" w:sz="4" w:space="0" w:color="E4DED3"/>
              <w:right w:val="single" w:sz="4" w:space="0" w:color="E4DED3"/>
            </w:tcBorders>
          </w:tcPr>
          <w:p>
            <w:r>
              <w:rPr>
                <w:i/>
                <w:color w:val="1F5A5C"/>
                <w:sz w:val="18"/>
              </w:rPr>
              <w:t>Possible</w:t>
            </w:r>
          </w:p>
        </w:tc>
        <w:tc>
          <w:tcPr>
            <w:tcW w:type="dxa" w:w="2353"/>
            <w:tcBorders>
              <w:top w:val="single" w:sz="4" w:space="0" w:color="E4DED3"/>
              <w:left w:val="single" w:sz="4" w:space="0" w:color="E4DED3"/>
              <w:bottom w:val="single" w:sz="4" w:space="0" w:color="E4DED3"/>
              <w:right w:val="single" w:sz="4" w:space="0" w:color="E4DED3"/>
            </w:tcBorders>
          </w:tcPr>
          <w:p>
            <w:r>
              <w:rPr>
                <w:i/>
                <w:color w:val="1F5A5C"/>
                <w:sz w:val="18"/>
              </w:rPr>
              <w:t>Nobody can sign in. The LMS is running perfectly and is useless to every student and teacher at once — an impact worth stating in those terms rather than as 'authentication unavailable'.</w:t>
            </w:r>
          </w:p>
        </w:tc>
        <w:tc>
          <w:tcPr>
            <w:tcW w:type="dxa" w:w="2353"/>
            <w:tcBorders>
              <w:top w:val="single" w:sz="4" w:space="0" w:color="E4DED3"/>
              <w:left w:val="single" w:sz="4" w:space="0" w:color="E4DED3"/>
              <w:bottom w:val="single" w:sz="4" w:space="0" w:color="E4DED3"/>
              <w:right w:val="single" w:sz="4" w:space="0" w:color="E4DED3"/>
            </w:tcBorders>
          </w:tcPr>
          <w:p>
            <w:r>
              <w:rPr>
                <w:i/>
                <w:color w:val="1F5A5C"/>
                <w:sz w:val="18"/>
              </w:rPr>
              <w:t>High</w:t>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19"/>
        </w:rPr>
        <w:t>Things to consider</w:t>
      </w:r>
    </w:p>
    <w:p>
      <w:pPr>
        <w:spacing w:after="60"/>
        <w:ind w:left="340"/>
      </w:pPr>
      <w:r>
        <w:rPr>
          <w:sz w:val="19"/>
        </w:rPr>
        <w:t xml:space="preserve">•  </w:t>
      </w:r>
      <w:r>
        <w:rPr>
          <w:i/>
          <w:color w:val="1F5A5C"/>
          <w:sz w:val="19"/>
        </w:rPr>
        <w:t>Three is the floor, not the target. Work down the architecture and ask what would take the LMS out at each layer.</w:t>
      </w:r>
    </w:p>
    <w:p>
      <w:pPr>
        <w:spacing w:after="60"/>
        <w:ind w:left="340"/>
      </w:pPr>
      <w:r>
        <w:rPr>
          <w:sz w:val="19"/>
        </w:rPr>
        <w:t xml:space="preserve">•  </w:t>
      </w:r>
      <w:r>
        <w:rPr>
          <w:i/>
          <w:color w:val="1F5A5C"/>
          <w:sz w:val="19"/>
        </w:rPr>
        <w:t>The obvious one is the loss of the Sydney region. What are the ones that are far more likely and still serious?</w:t>
      </w:r>
    </w:p>
    <w:p>
      <w:pPr>
        <w:spacing w:after="60"/>
        <w:ind w:left="340"/>
      </w:pPr>
      <w:r>
        <w:rPr>
          <w:sz w:val="19"/>
        </w:rPr>
        <w:t xml:space="preserve">•  </w:t>
      </w:r>
      <w:r>
        <w:rPr>
          <w:i/>
          <w:color w:val="1F5A5C"/>
          <w:sz w:val="19"/>
        </w:rPr>
        <w:t>'Impact on YAT' is not 'the database is unavailable'. Who cannot do what, and when does it hurt most?</w:t>
      </w:r>
    </w:p>
    <w:p>
      <w:pPr>
        <w:spacing w:after="60"/>
        <w:ind w:left="340"/>
      </w:pPr>
      <w:r>
        <w:rPr>
          <w:sz w:val="19"/>
        </w:rPr>
        <w:t xml:space="preserve">•  </w:t>
      </w:r>
      <w:r>
        <w:rPr>
          <w:i/>
          <w:color w:val="1F5A5C"/>
          <w:sz w:val="19"/>
        </w:rPr>
        <w:t>How did you decide one risk is High and another Medium? Whatever you did has a name — write it down, because you will be asked.</w:t>
      </w:r>
    </w:p>
    <w:p>
      <w:pPr>
        <w:spacing w:after="60"/>
        <w:ind w:left="340"/>
      </w:pPr>
      <w:r>
        <w:rPr>
          <w:sz w:val="19"/>
        </w:rPr>
        <w:t xml:space="preserve">•  </w:t>
      </w:r>
      <w:r>
        <w:rPr>
          <w:i/>
          <w:color w:val="1F5A5C"/>
          <w:sz w:val="19"/>
        </w:rPr>
        <w:t>The exemplar row is an authentication risk. The public website has no equivalent. What else about the LMS is unlike a public website?</w:t>
      </w:r>
    </w:p>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26</w:t>
      </w:r>
    </w:p>
    <w:p>
      <w:pPr>
        <w:pStyle w:val="Heading2"/>
      </w:pPr>
      <w:r>
        <w:rPr>
          <w:color w:val="1F5A5C"/>
        </w:rPr>
        <w:t>Plan exclusions</w:t>
      </w:r>
    </w:p>
    <w:p>
      <w:pPr>
        <w:spacing w:after="120"/>
      </w:pPr>
      <w:r>
        <w:rPr>
          <w:b w:val="0"/>
          <w:i w:val="0"/>
          <w:sz w:val="21"/>
        </w:rPr>
        <w:t>Say what this plan does not cover, and why each exclusion is defensible against the business requirements. An exclusion is a decision you are accountable for — it is not the same as something you forgot.</w:t>
      </w:r>
    </w:p>
    <w:p>
      <w:pPr>
        <w:spacing w:after="60"/>
      </w:pPr>
      <w:r>
        <w:rPr>
          <w:b w:val="0"/>
          <w:i/>
          <w:color w:val="6B6660"/>
          <w:sz w:val="18"/>
        </w:rPr>
        <w:t>The first row is filled in as an example — yours go underneath.</w:t>
      </w:r>
    </w:p>
    <w:tbl>
      <w:tblPr>
        <w:tblW w:type="auto" w:w="0"/>
        <w:tblLook w:firstColumn="1" w:firstRow="1" w:lastColumn="0" w:lastRow="0" w:noHBand="0" w:noVBand="1" w:val="04A0"/>
      </w:tblPr>
      <w:tblGrid>
        <w:gridCol w:w="3137"/>
        <w:gridCol w:w="3137"/>
        <w:gridCol w:w="3137"/>
      </w:tblGrid>
      <w:tr>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Excluded from this plan</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Why</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Who does own it</w:t>
            </w:r>
          </w:p>
        </w:tc>
      </w:tr>
      <w:tr>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Recovery of individual staff and student devices</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not part of the LMS service — a student with a broken laptop is a service-desk matter, not a disaster</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YAT ICT service desk. Note the shape of the row: what, why, and who instead. An exclusion with no owner is an orphan, not a decision.</w:t>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19"/>
        </w:rPr>
        <w:t>Things to consider</w:t>
      </w:r>
    </w:p>
    <w:p>
      <w:pPr>
        <w:spacing w:after="60"/>
        <w:ind w:left="340"/>
      </w:pPr>
      <w:r>
        <w:rPr>
          <w:sz w:val="19"/>
        </w:rPr>
        <w:t xml:space="preserve">•  </w:t>
      </w:r>
      <w:r>
        <w:rPr>
          <w:i/>
          <w:color w:val="1F5A5C"/>
          <w:sz w:val="19"/>
        </w:rPr>
        <w:t>Go back to the role brief. What did YAT keep for itself? Each of those is a candidate exclusion.</w:t>
      </w:r>
    </w:p>
    <w:p>
      <w:pPr>
        <w:spacing w:after="60"/>
        <w:ind w:left="340"/>
      </w:pPr>
      <w:r>
        <w:rPr>
          <w:sz w:val="19"/>
        </w:rPr>
        <w:t xml:space="preserve">•  </w:t>
      </w:r>
      <w:r>
        <w:rPr>
          <w:i/>
          <w:color w:val="1F5A5C"/>
          <w:sz w:val="19"/>
        </w:rPr>
        <w:t>The DOODLE application itself — is recovering it in scope for this plan, and what does the engagement scope say?</w:t>
      </w:r>
    </w:p>
    <w:p>
      <w:pPr>
        <w:spacing w:after="60"/>
        <w:ind w:left="340"/>
      </w:pPr>
      <w:r>
        <w:rPr>
          <w:sz w:val="19"/>
        </w:rPr>
        <w:t xml:space="preserve">•  </w:t>
      </w:r>
      <w:r>
        <w:rPr>
          <w:i/>
          <w:color w:val="1F5A5C"/>
          <w:sz w:val="19"/>
        </w:rPr>
        <w:t>The campus network and the AD-LDAP directory sit on YAT's side. Are they excluded, or are they a dependency you have to name in task 32?</w:t>
      </w:r>
    </w:p>
    <w:p>
      <w:pPr>
        <w:spacing w:after="60"/>
        <w:ind w:left="340"/>
      </w:pPr>
      <w:r>
        <w:rPr>
          <w:sz w:val="19"/>
        </w:rPr>
        <w:t xml:space="preserve">•  </w:t>
      </w:r>
      <w:r>
        <w:rPr>
          <w:i/>
          <w:color w:val="1F5A5C"/>
          <w:sz w:val="19"/>
        </w:rPr>
        <w:t>An exclusion you cannot justify against a requirement is a gap wearing a disguise. Read yours back and check each one.</w:t>
      </w:r>
    </w:p>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27</w:t>
      </w:r>
    </w:p>
    <w:p>
      <w:pPr>
        <w:pStyle w:val="Heading2"/>
      </w:pPr>
      <w:r>
        <w:rPr>
          <w:color w:val="1F5A5C"/>
        </w:rPr>
        <w:t>Record the outcomes of the impact analysis</w:t>
      </w:r>
    </w:p>
    <w:p>
      <w:pPr>
        <w:spacing w:after="120"/>
      </w:pPr>
      <w:r>
        <w:rPr>
          <w:b w:val="0"/>
          <w:i w:val="0"/>
          <w:sz w:val="21"/>
        </w:rPr>
        <w:t>Your analysis in tasks 23 to 26 has to be recorded in a way YAT can act on and audit later. Say what gets recorded, where it is held, who owns it, and when it is reviewed — according to YAT's policies, not your preference.</w:t>
      </w:r>
    </w:p>
    <w:p>
      <w:pPr>
        <w:spacing w:after="60"/>
      </w:pPr>
      <w:r>
        <w:rPr>
          <w:b/>
          <w:i w:val="0"/>
          <w:sz w:val="19"/>
        </w:rPr>
        <w:t>Related resources</w:t>
      </w:r>
    </w:p>
    <w:p>
      <w:pPr>
        <w:spacing w:after="60"/>
        <w:ind w:left="340"/>
      </w:pPr>
      <w:r>
        <w:rPr>
          <w:sz w:val="19"/>
        </w:rPr>
        <w:t xml:space="preserve">•  </w:t>
      </w:r>
      <w:hyperlink r:id="rId23">
        <w:r>
          <w:rPr>
            <w:sz w:val="19"/>
            <w:color w:val="0563C1"/>
            <w:u w:val="single"/>
          </w:rPr>
          <w:t>Records Management Policy — how analysis outcomes are recorded and retained</w:t>
        </w:r>
      </w:hyperlink>
    </w:p>
    <w:p>
      <w:pPr>
        <w:spacing w:after="60"/>
        <w:ind w:left="340"/>
      </w:pPr>
      <w:r>
        <w:rPr>
          <w:sz w:val="19"/>
        </w:rPr>
        <w:t xml:space="preserve">•  </w:t>
      </w:r>
      <w:hyperlink r:id="rId27">
        <w:r>
          <w:rPr>
            <w:sz w:val="19"/>
            <w:color w:val="0563C1"/>
            <w:u w:val="single"/>
          </w:rPr>
          <w:t>Change Management Procedure — the governance a production-affecting plan sits under</w:t>
        </w:r>
      </w:hyperlink>
    </w:p>
    <w:p/>
    <w:p>
      <w:pPr>
        <w:spacing w:after="60"/>
      </w:pPr>
      <w:r>
        <w:rPr>
          <w:b w:val="0"/>
          <w:i/>
          <w:color w:val="6B6660"/>
          <w:sz w:val="18"/>
        </w:rPr>
        <w:t>The first row is filled in as an example — yours go underneath.</w:t>
      </w:r>
    </w:p>
    <w:tbl>
      <w:tblPr>
        <w:tblW w:type="auto" w:w="0"/>
        <w:tblLook w:firstColumn="1" w:firstRow="1" w:lastColumn="0" w:lastRow="0" w:noHBand="0" w:noVBand="1" w:val="04A0"/>
      </w:tblPr>
      <w:tblGrid>
        <w:gridCol w:w="2353"/>
        <w:gridCol w:w="2353"/>
        <w:gridCol w:w="2353"/>
        <w:gridCol w:w="2353"/>
      </w:tblGrid>
      <w:tr>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What is recorded</w:t>
            </w:r>
          </w:p>
        </w:tc>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Where it is held</w:t>
            </w:r>
          </w:p>
        </w:tc>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Owner</w:t>
            </w:r>
          </w:p>
        </w:tc>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Reviewed when</w:t>
            </w:r>
          </w:p>
        </w:tc>
      </w:tr>
      <w:tr>
        <w:tc>
          <w:tcPr>
            <w:tcW w:type="dxa" w:w="2353"/>
            <w:tcBorders>
              <w:top w:val="single" w:sz="4" w:space="0" w:color="E4DED3"/>
              <w:left w:val="single" w:sz="4" w:space="0" w:color="E4DED3"/>
              <w:bottom w:val="single" w:sz="4" w:space="0" w:color="E4DED3"/>
              <w:right w:val="single" w:sz="4" w:space="0" w:color="E4DED3"/>
            </w:tcBorders>
          </w:tcPr>
          <w:p>
            <w:r>
              <w:rPr>
                <w:i/>
                <w:color w:val="1F5A5C"/>
                <w:sz w:val="18"/>
              </w:rPr>
              <w:t>Data volumes and classifications</w:t>
            </w:r>
          </w:p>
        </w:tc>
        <w:tc>
          <w:tcPr>
            <w:tcW w:type="dxa" w:w="2353"/>
            <w:tcBorders>
              <w:top w:val="single" w:sz="4" w:space="0" w:color="E4DED3"/>
              <w:left w:val="single" w:sz="4" w:space="0" w:color="E4DED3"/>
              <w:bottom w:val="single" w:sz="4" w:space="0" w:color="E4DED3"/>
              <w:right w:val="single" w:sz="4" w:space="0" w:color="E4DED3"/>
            </w:tcBorders>
          </w:tcPr>
          <w:p>
            <w:r>
              <w:rPr>
                <w:i/>
                <w:color w:val="1F5A5C"/>
                <w:sz w:val="18"/>
              </w:rPr>
              <w:t>with the lodged DR plan</w:t>
            </w:r>
          </w:p>
        </w:tc>
        <w:tc>
          <w:tcPr>
            <w:tcW w:type="dxa" w:w="2353"/>
            <w:tcBorders>
              <w:top w:val="single" w:sz="4" w:space="0" w:color="E4DED3"/>
              <w:left w:val="single" w:sz="4" w:space="0" w:color="E4DED3"/>
              <w:bottom w:val="single" w:sz="4" w:space="0" w:color="E4DED3"/>
              <w:right w:val="single" w:sz="4" w:space="0" w:color="E4DED3"/>
            </w:tcBorders>
          </w:tcPr>
          <w:p>
            <w:r>
              <w:rPr>
                <w:i/>
                <w:color w:val="1F5A5C"/>
                <w:sz w:val="18"/>
              </w:rPr>
              <w:t>YAT ICT</w:t>
            </w:r>
          </w:p>
        </w:tc>
        <w:tc>
          <w:tcPr>
            <w:tcW w:type="dxa" w:w="2353"/>
            <w:tcBorders>
              <w:top w:val="single" w:sz="4" w:space="0" w:color="E4DED3"/>
              <w:left w:val="single" w:sz="4" w:space="0" w:color="E4DED3"/>
              <w:bottom w:val="single" w:sz="4" w:space="0" w:color="E4DED3"/>
              <w:right w:val="single" w:sz="4" w:space="0" w:color="E4DED3"/>
            </w:tcBorders>
          </w:tcPr>
          <w:p>
            <w:r>
              <w:rPr>
                <w:i/>
                <w:color w:val="1F5A5C"/>
                <w:sz w:val="18"/>
              </w:rPr>
              <w:t>annually, or whenever the data profile changes. The trigger matters more than the frequency — 'annually' alone means a change made in March is wrong until December.</w:t>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t>Risk register and ratings</w:t>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t>Recovery objectives per component</w:t>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t>Plan exclusions and their justification</w:t>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19"/>
        </w:rPr>
        <w:t>Things to consider</w:t>
      </w:r>
    </w:p>
    <w:p>
      <w:pPr>
        <w:spacing w:after="60"/>
        <w:ind w:left="340"/>
      </w:pPr>
      <w:r>
        <w:rPr>
          <w:sz w:val="19"/>
        </w:rPr>
        <w:t xml:space="preserve">•  </w:t>
      </w:r>
      <w:r>
        <w:rPr>
          <w:i/>
          <w:color w:val="1F5A5C"/>
          <w:sz w:val="19"/>
        </w:rPr>
        <w:t>The Records Management Policy says where an engagement document is lodged and how long it is kept. Have you read it, or are you writing what sounds sensible?</w:t>
      </w:r>
    </w:p>
    <w:p>
      <w:pPr>
        <w:spacing w:after="60"/>
        <w:ind w:left="340"/>
      </w:pPr>
      <w:r>
        <w:rPr>
          <w:sz w:val="19"/>
        </w:rPr>
        <w:t xml:space="preserve">•  </w:t>
      </w:r>
      <w:r>
        <w:rPr>
          <w:i/>
          <w:color w:val="1F5A5C"/>
          <w:sz w:val="19"/>
        </w:rPr>
        <w:t>Who owns a record? Name a role, not a team — 'ICT' cannot review anything.</w:t>
      </w:r>
    </w:p>
    <w:p>
      <w:pPr>
        <w:spacing w:after="60"/>
        <w:ind w:left="340"/>
      </w:pPr>
      <w:r>
        <w:rPr>
          <w:sz w:val="19"/>
        </w:rPr>
        <w:t xml:space="preserve">•  </w:t>
      </w:r>
      <w:r>
        <w:rPr>
          <w:i/>
          <w:color w:val="1F5A5C"/>
          <w:sz w:val="19"/>
        </w:rPr>
        <w:t>What would trigger a review other than the calendar? There is at least one obvious event.</w:t>
      </w:r>
    </w:p>
    <w:p>
      <w:pPr>
        <w:spacing w:after="60"/>
        <w:ind w:left="340"/>
      </w:pPr>
      <w:r>
        <w:rPr>
          <w:sz w:val="19"/>
        </w:rPr>
        <w:t xml:space="preserve">•  </w:t>
      </w:r>
      <w:r>
        <w:rPr>
          <w:i/>
          <w:color w:val="1F5A5C"/>
          <w:sz w:val="19"/>
        </w:rPr>
        <w:t>This task is the difference between analysis that informs a decision and analysis that is filed and forgotten. Which is yours?</w:t>
      </w:r>
    </w:p>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28</w:t>
      </w:r>
    </w:p>
    <w:p>
      <w:pPr>
        <w:pStyle w:val="Heading2"/>
      </w:pPr>
      <w:r>
        <w:rPr>
          <w:color w:val="1F5A5C"/>
        </w:rPr>
        <w:t>Recovery options evaluated</w:t>
      </w:r>
    </w:p>
    <w:p>
      <w:pPr>
        <w:spacing w:after="120"/>
      </w:pPr>
      <w:r>
        <w:rPr>
          <w:b w:val="0"/>
          <w:i w:val="0"/>
          <w:sz w:val="21"/>
        </w:rPr>
        <w:t>Develop a range of recovery solutions — not one. For each, say what it would cost YAT to run, what recovery time it would actually achieve, and what it would not do. You are building the comparison your recommendation in the next task rests on.</w:t>
      </w:r>
    </w:p>
    <w:p>
      <w:pPr>
        <w:spacing w:after="60"/>
      </w:pPr>
      <w:r>
        <w:rPr>
          <w:b/>
          <w:i w:val="0"/>
          <w:sz w:val="19"/>
        </w:rPr>
        <w:t>Related resources</w:t>
      </w:r>
    </w:p>
    <w:p>
      <w:pPr>
        <w:spacing w:after="60"/>
        <w:ind w:left="340"/>
      </w:pPr>
      <w:r>
        <w:rPr>
          <w:sz w:val="19"/>
        </w:rPr>
        <w:t xml:space="preserve">•  </w:t>
      </w:r>
      <w:hyperlink r:id="rId18">
        <w:r>
          <w:rPr>
            <w:sz w:val="19"/>
            <w:color w:val="0563C1"/>
            <w:u w:val="single"/>
          </w:rPr>
          <w:t>Reference Architectures — the recovery patterns YAT's architects work from</w:t>
        </w:r>
      </w:hyperlink>
    </w:p>
    <w:p/>
    <w:p>
      <w:pPr>
        <w:spacing w:after="60"/>
      </w:pPr>
      <w:r>
        <w:rPr>
          <w:b w:val="0"/>
          <w:i/>
          <w:color w:val="6B6660"/>
          <w:sz w:val="18"/>
        </w:rPr>
        <w:t>The first row is filled in as an example — yours go underneath.</w:t>
      </w:r>
    </w:p>
    <w:tbl>
      <w:tblPr>
        <w:tblW w:type="auto" w:w="0"/>
        <w:tblLook w:firstColumn="1" w:firstRow="1" w:lastColumn="0" w:lastRow="0" w:noHBand="0" w:noVBand="1" w:val="04A0"/>
      </w:tblPr>
      <w:tblGrid>
        <w:gridCol w:w="2353"/>
        <w:gridCol w:w="2353"/>
        <w:gridCol w:w="2353"/>
        <w:gridCol w:w="2353"/>
      </w:tblGrid>
      <w:tr>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Option</w:t>
            </w:r>
          </w:p>
        </w:tc>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How it works</w:t>
            </w:r>
          </w:p>
        </w:tc>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Realistic RTO</w:t>
            </w:r>
          </w:p>
        </w:tc>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Cost posture</w:t>
            </w:r>
          </w:p>
        </w:tc>
      </w:tr>
      <w:tr>
        <w:tc>
          <w:tcPr>
            <w:tcW w:type="dxa" w:w="2353"/>
            <w:tcBorders>
              <w:top w:val="single" w:sz="4" w:space="0" w:color="E4DED3"/>
              <w:left w:val="single" w:sz="4" w:space="0" w:color="E4DED3"/>
              <w:bottom w:val="single" w:sz="4" w:space="0" w:color="E4DED3"/>
              <w:right w:val="single" w:sz="4" w:space="0" w:color="E4DED3"/>
            </w:tcBorders>
          </w:tcPr>
          <w:p>
            <w:r>
              <w:rPr>
                <w:i/>
                <w:color w:val="1F5A5C"/>
                <w:sz w:val="18"/>
              </w:rPr>
              <w:t>Do nothing beyond today's arrangements</w:t>
            </w:r>
          </w:p>
        </w:tc>
        <w:tc>
          <w:tcPr>
            <w:tcW w:type="dxa" w:w="2353"/>
            <w:tcBorders>
              <w:top w:val="single" w:sz="4" w:space="0" w:color="E4DED3"/>
              <w:left w:val="single" w:sz="4" w:space="0" w:color="E4DED3"/>
              <w:bottom w:val="single" w:sz="4" w:space="0" w:color="E4DED3"/>
              <w:right w:val="single" w:sz="4" w:space="0" w:color="E4DED3"/>
            </w:tcBorders>
          </w:tcPr>
          <w:p>
            <w:r>
              <w:rPr>
                <w:i/>
                <w:color w:val="1F5A5C"/>
                <w:sz w:val="18"/>
              </w:rPr>
              <w:t>rebuild by hand from whatever backups exist inside the lost region</w:t>
            </w:r>
          </w:p>
        </w:tc>
        <w:tc>
          <w:tcPr>
            <w:tcW w:type="dxa" w:w="2353"/>
            <w:tcBorders>
              <w:top w:val="single" w:sz="4" w:space="0" w:color="E4DED3"/>
              <w:left w:val="single" w:sz="4" w:space="0" w:color="E4DED3"/>
              <w:bottom w:val="single" w:sz="4" w:space="0" w:color="E4DED3"/>
              <w:right w:val="single" w:sz="4" w:space="0" w:color="E4DED3"/>
            </w:tcBorders>
          </w:tcPr>
          <w:p>
            <w:r>
              <w:rPr>
                <w:i/>
                <w:color w:val="1F5A5C"/>
                <w:sz w:val="18"/>
              </w:rPr>
              <w:t>Indefinite — you cannot reach the backups, so there is no honest number to write here.</w:t>
            </w:r>
          </w:p>
        </w:tc>
        <w:tc>
          <w:tcPr>
            <w:tcW w:type="dxa" w:w="2353"/>
            <w:tcBorders>
              <w:top w:val="single" w:sz="4" w:space="0" w:color="E4DED3"/>
              <w:left w:val="single" w:sz="4" w:space="0" w:color="E4DED3"/>
              <w:bottom w:val="single" w:sz="4" w:space="0" w:color="E4DED3"/>
              <w:right w:val="single" w:sz="4" w:space="0" w:color="E4DED3"/>
            </w:tcBorders>
          </w:tcPr>
          <w:p>
            <w:r>
              <w:rPr>
                <w:i/>
                <w:color w:val="1F5A5C"/>
                <w:sz w:val="18"/>
              </w:rPr>
              <w:t>nil, until the day it is not</w:t>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t>Backup and restore</w:t>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t>Pilot light</w:t>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t>Warm standby</w:t>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t>Multi-site active/active</w:t>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19"/>
        </w:rPr>
        <w:t>Things to consider</w:t>
      </w:r>
    </w:p>
    <w:p>
      <w:pPr>
        <w:spacing w:after="60"/>
        <w:ind w:left="340"/>
      </w:pPr>
      <w:r>
        <w:rPr>
          <w:sz w:val="19"/>
        </w:rPr>
        <w:t xml:space="preserve">•  </w:t>
      </w:r>
      <w:r>
        <w:rPr>
          <w:i/>
          <w:color w:val="1F5A5C"/>
          <w:sz w:val="19"/>
        </w:rPr>
        <w:t>There are four recognised cloud recovery techniques. Name all four and then argue — a recommendation with nothing beside it is a preference.</w:t>
      </w:r>
    </w:p>
    <w:p>
      <w:pPr>
        <w:spacing w:after="60"/>
        <w:ind w:left="340"/>
      </w:pPr>
      <w:r>
        <w:rPr>
          <w:sz w:val="19"/>
        </w:rPr>
        <w:t xml:space="preserve">•  </w:t>
      </w:r>
      <w:r>
        <w:rPr>
          <w:i/>
          <w:color w:val="1F5A5C"/>
          <w:sz w:val="19"/>
        </w:rPr>
        <w:t>For each option, what actually exists in the second region on an ordinary Tuesday? That is what decides both the cost and the recovery time.</w:t>
      </w:r>
    </w:p>
    <w:p>
      <w:pPr>
        <w:spacing w:after="60"/>
        <w:ind w:left="340"/>
      </w:pPr>
      <w:r>
        <w:rPr>
          <w:sz w:val="19"/>
        </w:rPr>
        <w:t xml:space="preserve">•  </w:t>
      </w:r>
      <w:r>
        <w:rPr>
          <w:i/>
          <w:color w:val="1F5A5C"/>
          <w:sz w:val="19"/>
        </w:rPr>
        <w:t>The LMS runs on a Windows AMI with DOODLE pre-installed. For each option, ask whether that image is already in the second region — and what it costs you if it is not.</w:t>
      </w:r>
    </w:p>
    <w:p>
      <w:pPr>
        <w:spacing w:after="60"/>
        <w:ind w:left="340"/>
      </w:pPr>
      <w:r>
        <w:rPr>
          <w:sz w:val="19"/>
        </w:rPr>
        <w:t xml:space="preserve">•  </w:t>
      </w:r>
      <w:r>
        <w:rPr>
          <w:i/>
          <w:color w:val="1F5A5C"/>
          <w:sz w:val="19"/>
        </w:rPr>
        <w:t>'Realistic RTO' means the time it would really take, including the bit where someone has to be woken up. Not the marketing figure.</w:t>
      </w:r>
    </w:p>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29</w:t>
      </w:r>
    </w:p>
    <w:p>
      <w:pPr>
        <w:pStyle w:val="Heading2"/>
      </w:pPr>
      <w:r>
        <w:rPr>
          <w:color w:val="1F5A5C"/>
        </w:rPr>
        <w:t>The recommended approach</w:t>
      </w:r>
    </w:p>
    <w:p>
      <w:pPr>
        <w:spacing w:after="120"/>
      </w:pPr>
      <w:r>
        <w:rPr>
          <w:b w:val="0"/>
          <w:i w:val="0"/>
          <w:sz w:val="21"/>
        </w:rPr>
        <w:t>Recommend one of the options from task 28 and align it to the business requirement. Say why it is the right level of protection for this system — not the most protection available. Name the option you would choose if the requirements changed, and what change would make you switch.</w:t>
      </w:r>
    </w:p>
    <w:tbl>
      <w:tblPr>
        <w:tblW w:type="auto" w:w="0"/>
        <w:tblLook w:firstColumn="1" w:firstRow="1" w:lastColumn="0" w:lastRow="0" w:noHBand="0" w:noVBand="1" w:val="04A0"/>
      </w:tblPr>
      <w:tblGrid>
        <w:gridCol w:w="3137"/>
        <w:gridCol w:w="3137"/>
        <w:gridCol w:w="3137"/>
      </w:tblGrid>
      <w:tr>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Decision</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Your answer</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Why</w:t>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Recommended strategy</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Why not the cheaper option</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Why not the stronger option</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What would change the recommendation</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19"/>
        </w:rPr>
        <w:t>Things to consider</w:t>
      </w:r>
    </w:p>
    <w:p>
      <w:pPr>
        <w:spacing w:after="60"/>
        <w:ind w:left="340"/>
      </w:pPr>
      <w:r>
        <w:rPr>
          <w:sz w:val="19"/>
        </w:rPr>
        <w:t xml:space="preserve">•  </w:t>
      </w:r>
      <w:r>
        <w:rPr>
          <w:i/>
          <w:color w:val="1F5A5C"/>
          <w:sz w:val="19"/>
        </w:rPr>
        <w:t>Aligning to the requirement cuts both ways. Recommending the strongest option available is as much a failure to align as recommending the weakest.</w:t>
      </w:r>
    </w:p>
    <w:p>
      <w:pPr>
        <w:spacing w:after="60"/>
        <w:ind w:left="340"/>
      </w:pPr>
      <w:r>
        <w:rPr>
          <w:sz w:val="19"/>
        </w:rPr>
        <w:t xml:space="preserve">•  </w:t>
      </w:r>
      <w:r>
        <w:rPr>
          <w:i/>
          <w:color w:val="1F5A5C"/>
          <w:sz w:val="19"/>
        </w:rPr>
        <w:t>Check your recommendation against your own task 23 numbers. Does it reach them? Does it overshoot them, and whose money is that?</w:t>
      </w:r>
    </w:p>
    <w:p>
      <w:pPr>
        <w:spacing w:after="60"/>
        <w:ind w:left="340"/>
      </w:pPr>
      <w:r>
        <w:rPr>
          <w:sz w:val="19"/>
        </w:rPr>
        <w:t xml:space="preserve">•  </w:t>
      </w:r>
      <w:r>
        <w:rPr>
          <w:i/>
          <w:color w:val="1F5A5C"/>
          <w:sz w:val="19"/>
        </w:rPr>
        <w:t>Cost-effectiveness was a stated requirement. Where in this table do you address it?</w:t>
      </w:r>
    </w:p>
    <w:p>
      <w:pPr>
        <w:spacing w:after="60"/>
        <w:ind w:left="340"/>
      </w:pPr>
      <w:r>
        <w:rPr>
          <w:sz w:val="19"/>
        </w:rPr>
        <w:t xml:space="preserve">•  </w:t>
      </w:r>
      <w:r>
        <w:rPr>
          <w:i/>
          <w:color w:val="1F5A5C"/>
          <w:sz w:val="19"/>
        </w:rPr>
        <w:t>If Sam Walker asked 'why not the cheap one?', you need one sentence. Write that sentence.</w:t>
      </w:r>
    </w:p>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30</w:t>
      </w:r>
    </w:p>
    <w:p>
      <w:pPr>
        <w:pStyle w:val="Heading2"/>
      </w:pPr>
      <w:r>
        <w:rPr>
          <w:color w:val="1F5A5C"/>
        </w:rPr>
        <w:t>Vendor protections and risk prioritisation</w:t>
      </w:r>
    </w:p>
    <w:p>
      <w:pPr>
        <w:spacing w:after="120"/>
      </w:pPr>
      <w:r>
        <w:rPr>
          <w:b w:val="0"/>
          <w:i w:val="0"/>
          <w:sz w:val="21"/>
        </w:rPr>
        <w:t>Come back to the provider protections you identified in task 22, now that you have a strategy. For each risk event from task 25, say what the provider already covers, what your plan has to cover, and in what order you would deal with them.</w:t>
      </w:r>
    </w:p>
    <w:p>
      <w:pPr>
        <w:spacing w:after="60"/>
      </w:pPr>
      <w:r>
        <w:rPr>
          <w:b w:val="0"/>
          <w:i/>
          <w:color w:val="6B6660"/>
          <w:sz w:val="18"/>
        </w:rPr>
        <w:t>The first row is filled in as an example — yours go underneath.</w:t>
      </w:r>
    </w:p>
    <w:tbl>
      <w:tblPr>
        <w:tblW w:type="auto" w:w="0"/>
        <w:tblLook w:firstColumn="1" w:firstRow="1" w:lastColumn="0" w:lastRow="0" w:noHBand="0" w:noVBand="1" w:val="04A0"/>
      </w:tblPr>
      <w:tblGrid>
        <w:gridCol w:w="2353"/>
        <w:gridCol w:w="2353"/>
        <w:gridCol w:w="2353"/>
        <w:gridCol w:w="2353"/>
      </w:tblGrid>
      <w:tr>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Risk event</w:t>
            </w:r>
          </w:p>
        </w:tc>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Provider protection</w:t>
            </w:r>
          </w:p>
        </w:tc>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your plan must add</w:t>
            </w:r>
          </w:p>
        </w:tc>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Priority</w:t>
            </w:r>
          </w:p>
        </w:tc>
      </w:tr>
      <w:tr>
        <w:tc>
          <w:tcPr>
            <w:tcW w:type="dxa" w:w="2353"/>
            <w:tcBorders>
              <w:top w:val="single" w:sz="4" w:space="0" w:color="E4DED3"/>
              <w:left w:val="single" w:sz="4" w:space="0" w:color="E4DED3"/>
              <w:bottom w:val="single" w:sz="4" w:space="0" w:color="E4DED3"/>
              <w:right w:val="single" w:sz="4" w:space="0" w:color="E4DED3"/>
            </w:tcBorders>
          </w:tcPr>
          <w:p>
            <w:r>
              <w:rPr>
                <w:i/>
                <w:color w:val="1F5A5C"/>
                <w:sz w:val="18"/>
              </w:rPr>
              <w:t>Accidental deletion of infrastructure by a change</w:t>
            </w:r>
          </w:p>
        </w:tc>
        <w:tc>
          <w:tcPr>
            <w:tcW w:type="dxa" w:w="2353"/>
            <w:tcBorders>
              <w:top w:val="single" w:sz="4" w:space="0" w:color="E4DED3"/>
              <w:left w:val="single" w:sz="4" w:space="0" w:color="E4DED3"/>
              <w:bottom w:val="single" w:sz="4" w:space="0" w:color="E4DED3"/>
              <w:right w:val="single" w:sz="4" w:space="0" w:color="E4DED3"/>
            </w:tcBorders>
          </w:tcPr>
          <w:p>
            <w:r>
              <w:rPr>
                <w:i/>
                <w:color w:val="1F5A5C"/>
                <w:sz w:val="18"/>
              </w:rPr>
              <w:t>none — this is a YAT action, not a provider event</w:t>
            </w:r>
          </w:p>
        </w:tc>
        <w:tc>
          <w:tcPr>
            <w:tcW w:type="dxa" w:w="2353"/>
            <w:tcBorders>
              <w:top w:val="single" w:sz="4" w:space="0" w:color="E4DED3"/>
              <w:left w:val="single" w:sz="4" w:space="0" w:color="E4DED3"/>
              <w:bottom w:val="single" w:sz="4" w:space="0" w:color="E4DED3"/>
              <w:right w:val="single" w:sz="4" w:space="0" w:color="E4DED3"/>
            </w:tcBorders>
          </w:tcPr>
          <w:p>
            <w:r>
              <w:rPr>
                <w:i/>
                <w:color w:val="1F5A5C"/>
                <w:sz w:val="18"/>
              </w:rPr>
              <w:t>Change discipline, and infrastructure defined as code so what was deleted can be rebuilt from a file rather than from memory. Not every risk has a provider protection, and saying 'none' is a finding.</w:t>
            </w:r>
          </w:p>
        </w:tc>
        <w:tc>
          <w:tcPr>
            <w:tcW w:type="dxa" w:w="2353"/>
            <w:tcBorders>
              <w:top w:val="single" w:sz="4" w:space="0" w:color="E4DED3"/>
              <w:left w:val="single" w:sz="4" w:space="0" w:color="E4DED3"/>
              <w:bottom w:val="single" w:sz="4" w:space="0" w:color="E4DED3"/>
              <w:right w:val="single" w:sz="4" w:space="0" w:color="E4DED3"/>
            </w:tcBorders>
          </w:tcPr>
          <w:p>
            <w:r>
              <w:rPr>
                <w:i/>
                <w:color w:val="1F5A5C"/>
                <w:sz w:val="18"/>
              </w:rPr>
              <w:t>your call</w:t>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19"/>
        </w:rPr>
        <w:t>Things to consider</w:t>
      </w:r>
    </w:p>
    <w:p>
      <w:pPr>
        <w:spacing w:after="60"/>
        <w:ind w:left="340"/>
      </w:pPr>
      <w:r>
        <w:rPr>
          <w:sz w:val="19"/>
        </w:rPr>
        <w:t xml:space="preserve">•  </w:t>
      </w:r>
      <w:r>
        <w:rPr>
          <w:i/>
          <w:color w:val="1F5A5C"/>
          <w:sz w:val="19"/>
        </w:rPr>
        <w:t>Copy your task 25 risks into the first column. Same list, no new ones.</w:t>
      </w:r>
    </w:p>
    <w:p>
      <w:pPr>
        <w:spacing w:after="60"/>
        <w:ind w:left="340"/>
      </w:pPr>
      <w:r>
        <w:rPr>
          <w:sz w:val="19"/>
        </w:rPr>
        <w:t xml:space="preserve">•  </w:t>
      </w:r>
      <w:r>
        <w:rPr>
          <w:i/>
          <w:color w:val="1F5A5C"/>
          <w:sz w:val="19"/>
        </w:rPr>
        <w:t>Priority is not the same as likelihood. What would you deal with first, and what makes that the right order?</w:t>
      </w:r>
    </w:p>
    <w:p>
      <w:pPr>
        <w:spacing w:after="60"/>
        <w:ind w:left="340"/>
      </w:pPr>
      <w:r>
        <w:rPr>
          <w:sz w:val="19"/>
        </w:rPr>
        <w:t xml:space="preserve">•  </w:t>
      </w:r>
      <w:r>
        <w:rPr>
          <w:i/>
          <w:color w:val="1F5A5C"/>
          <w:sz w:val="19"/>
        </w:rPr>
        <w:t>Where the provider covers something entirely, your plan's job is to say so and move on. Where it covers nothing, that is where the work is.</w:t>
      </w:r>
    </w:p>
    <w:p>
      <w:pPr>
        <w:spacing w:after="60"/>
        <w:ind w:left="340"/>
      </w:pPr>
      <w:r>
        <w:rPr>
          <w:sz w:val="19"/>
        </w:rPr>
        <w:t xml:space="preserve">•  </w:t>
      </w:r>
      <w:r>
        <w:rPr>
          <w:i/>
          <w:color w:val="1F5A5C"/>
          <w:sz w:val="19"/>
        </w:rPr>
        <w:t>Does your priority order agree with your task 25 ratings? If not, one of them is wrong.</w:t>
      </w:r>
    </w:p>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31</w:t>
      </w:r>
    </w:p>
    <w:p>
      <w:pPr>
        <w:pStyle w:val="Heading2"/>
      </w:pPr>
      <w:r>
        <w:rPr>
          <w:color w:val="1F5A5C"/>
        </w:rPr>
        <w:t>Insurance</w:t>
      </w:r>
    </w:p>
    <w:p>
      <w:pPr>
        <w:spacing w:after="120"/>
      </w:pPr>
      <w:r>
        <w:rPr>
          <w:b w:val="0"/>
          <w:i w:val="0"/>
          <w:sz w:val="21"/>
        </w:rPr>
        <w:t>Assess whether external insurance protection is appropriate here, and at what level. This is a real question with a real answer either way — say what you would recommend to YAT and on what basis. If your answer is that it sits outside your scope, say who it belongs to and what you would tell them.</w:t>
      </w:r>
    </w:p>
    <w:p>
      <w:pPr>
        <w:spacing w:after="60"/>
      </w:pPr>
      <w:r>
        <w:rPr>
          <w:b w:val="0"/>
          <w:i/>
          <w:color w:val="6B6660"/>
          <w:sz w:val="18"/>
        </w:rPr>
        <w:t>The first row is filled in as an example — yours go underneath.</w:t>
      </w:r>
    </w:p>
    <w:tbl>
      <w:tblPr>
        <w:tblW w:type="auto" w:w="0"/>
        <w:tblLook w:firstColumn="1" w:firstRow="1" w:lastColumn="0" w:lastRow="0" w:noHBand="0" w:noVBand="1" w:val="04A0"/>
      </w:tblPr>
      <w:tblGrid>
        <w:gridCol w:w="3137"/>
        <w:gridCol w:w="3137"/>
        <w:gridCol w:w="3137"/>
      </w:tblGrid>
      <w:tr>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Cover type</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What it would protect</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Suitability here</w:t>
            </w:r>
          </w:p>
        </w:tc>
      </w:tr>
      <w:tr>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Provider service credits</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a partial refund of service charges for a breached service level</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Included as a trap worth spotting: service credits are not insurance. They do not restore the LMS and they do not cover what the outage cost YAT.</w:t>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Cyber liability</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Business interruption</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Recommendation to YAT</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19"/>
        </w:rPr>
        <w:t>Things to consider</w:t>
      </w:r>
    </w:p>
    <w:p>
      <w:pPr>
        <w:spacing w:after="60"/>
        <w:ind w:left="340"/>
      </w:pPr>
      <w:r>
        <w:rPr>
          <w:sz w:val="19"/>
        </w:rPr>
        <w:t xml:space="preserve">•  </w:t>
      </w:r>
      <w:r>
        <w:rPr>
          <w:i/>
          <w:color w:val="1F5A5C"/>
          <w:sz w:val="19"/>
        </w:rPr>
        <w:t>The LMS holds student personal information and academic records. Does that point at one kind of cover more than another?</w:t>
      </w:r>
    </w:p>
    <w:p>
      <w:pPr>
        <w:spacing w:after="60"/>
        <w:ind w:left="340"/>
      </w:pPr>
      <w:r>
        <w:rPr>
          <w:sz w:val="19"/>
        </w:rPr>
        <w:t xml:space="preserve">•  </w:t>
      </w:r>
      <w:r>
        <w:rPr>
          <w:i/>
          <w:color w:val="1F5A5C"/>
          <w:sz w:val="19"/>
        </w:rPr>
        <w:t>What is YAT's actual financial loss when the LMS is down for a day? It is not obvious, and that is the interesting part.</w:t>
      </w:r>
    </w:p>
    <w:p>
      <w:pPr>
        <w:spacing w:after="60"/>
        <w:ind w:left="340"/>
      </w:pPr>
      <w:r>
        <w:rPr>
          <w:sz w:val="19"/>
        </w:rPr>
        <w:t xml:space="preserve">•  </w:t>
      </w:r>
      <w:r>
        <w:rPr>
          <w:i/>
          <w:color w:val="1F5A5C"/>
          <w:sz w:val="19"/>
        </w:rPr>
        <w:t>'Out of scope' is a legitimate answer if you say whose it is and what they need to know. It is not a legitimate way to skip the question.</w:t>
      </w:r>
    </w:p>
    <w:p>
      <w:pPr>
        <w:spacing w:after="60"/>
        <w:ind w:left="340"/>
      </w:pPr>
      <w:r>
        <w:rPr>
          <w:sz w:val="19"/>
        </w:rPr>
        <w:t xml:space="preserve">•  </w:t>
      </w:r>
      <w:r>
        <w:rPr>
          <w:i/>
          <w:color w:val="1F5A5C"/>
          <w:sz w:val="19"/>
        </w:rPr>
        <w:t>MTS advises on the technical exposure. Who decides on cover?</w:t>
      </w:r>
    </w:p>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32</w:t>
      </w:r>
    </w:p>
    <w:p>
      <w:pPr>
        <w:pStyle w:val="Heading2"/>
      </w:pPr>
      <w:r>
        <w:rPr>
          <w:color w:val="1F5A5C"/>
        </w:rPr>
        <w:t>Other recovery components</w:t>
      </w:r>
    </w:p>
    <w:p>
      <w:pPr>
        <w:spacing w:after="120"/>
      </w:pPr>
      <w:r>
        <w:rPr>
          <w:b w:val="0"/>
          <w:i w:val="0"/>
          <w:sz w:val="21"/>
        </w:rPr>
        <w:t>A recovery plan is more than infrastructure. Identify the other components this plan needs to work at 3am — the people, the access, the contacts, the communications, and anything else without which the technical steps cannot be carried out.</w:t>
      </w:r>
    </w:p>
    <w:p>
      <w:pPr>
        <w:spacing w:after="60"/>
      </w:pPr>
      <w:r>
        <w:rPr>
          <w:b w:val="0"/>
          <w:i/>
          <w:color w:val="6B6660"/>
          <w:sz w:val="18"/>
        </w:rPr>
        <w:t>The first row is filled in as an example — yours go underneath.</w:t>
      </w:r>
    </w:p>
    <w:tbl>
      <w:tblPr>
        <w:tblW w:type="auto" w:w="0"/>
        <w:tblLook w:firstColumn="1" w:firstRow="1" w:lastColumn="0" w:lastRow="0" w:noHBand="0" w:noVBand="1" w:val="04A0"/>
      </w:tblPr>
      <w:tblGrid>
        <w:gridCol w:w="3137"/>
        <w:gridCol w:w="3137"/>
        <w:gridCol w:w="3137"/>
      </w:tblGrid>
      <w:tr>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Component</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What it is</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Why the plan fails without it</w:t>
            </w:r>
          </w:p>
        </w:tc>
      </w:tr>
      <w:tr>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An off-region copy of this plan</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the document itself, readable when Sydney is unavailable</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If the only copy of the recovery plan is in the environment that has failed, there is no plan. It is the most embarrassing failure mode in this task and it is genuinely common.</w:t>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Invocation authority</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Access to the second region</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Contact list</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Stakeholder communications</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DNS control</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19"/>
        </w:rPr>
        <w:t>Things to consider</w:t>
      </w:r>
    </w:p>
    <w:p>
      <w:pPr>
        <w:spacing w:after="60"/>
        <w:ind w:left="340"/>
      </w:pPr>
      <w:r>
        <w:rPr>
          <w:sz w:val="19"/>
        </w:rPr>
        <w:t xml:space="preserve">•  </w:t>
      </w:r>
      <w:r>
        <w:rPr>
          <w:i/>
          <w:color w:val="1F5A5C"/>
          <w:sz w:val="19"/>
        </w:rPr>
        <w:t>Who is allowed to declare a disaster? If the answer is 'someone will', the clock runs while people wait for each other.</w:t>
      </w:r>
    </w:p>
    <w:p>
      <w:pPr>
        <w:spacing w:after="60"/>
        <w:ind w:left="340"/>
      </w:pPr>
      <w:r>
        <w:rPr>
          <w:sz w:val="19"/>
        </w:rPr>
        <w:t xml:space="preserve">•  </w:t>
      </w:r>
      <w:r>
        <w:rPr>
          <w:i/>
          <w:color w:val="1F5A5C"/>
          <w:sz w:val="19"/>
        </w:rPr>
        <w:t>Every LMS user authenticates against AD-LDAP through the campus link. What has to be true for anyone to sign in to a recovered LMS in another region? This one is specific to the LMS and it is easy to miss.</w:t>
      </w:r>
    </w:p>
    <w:p>
      <w:pPr>
        <w:spacing w:after="60"/>
        <w:ind w:left="340"/>
      </w:pPr>
      <w:r>
        <w:rPr>
          <w:sz w:val="19"/>
        </w:rPr>
        <w:t xml:space="preserve">•  </w:t>
      </w:r>
      <w:r>
        <w:rPr>
          <w:i/>
          <w:color w:val="1F5A5C"/>
          <w:sz w:val="19"/>
        </w:rPr>
        <w:t>Who tells students the LMS is down in submission week, and what do they say about the deadline?</w:t>
      </w:r>
    </w:p>
    <w:p>
      <w:pPr>
        <w:spacing w:after="60"/>
        <w:ind w:left="340"/>
      </w:pPr>
      <w:r>
        <w:rPr>
          <w:sz w:val="19"/>
        </w:rPr>
        <w:t xml:space="preserve">•  </w:t>
      </w:r>
      <w:r>
        <w:rPr>
          <w:i/>
          <w:color w:val="1F5A5C"/>
          <w:sz w:val="19"/>
        </w:rPr>
        <w:t>Recovery needs credentials that work when the primary region does not. Where do those live today?</w:t>
      </w:r>
    </w:p>
    <w:p>
      <w:pPr>
        <w:spacing w:after="60"/>
        <w:ind w:left="340"/>
      </w:pPr>
      <w:r>
        <w:rPr>
          <w:sz w:val="19"/>
        </w:rPr>
        <w:t xml:space="preserve">•  </w:t>
      </w:r>
      <w:r>
        <w:rPr>
          <w:i/>
          <w:color w:val="1F5A5C"/>
          <w:sz w:val="19"/>
        </w:rPr>
        <w:t>Aim for more rows than the technical ones. The technical steps are the easy half.</w:t>
      </w:r>
    </w:p>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33</w:t>
      </w:r>
    </w:p>
    <w:p>
      <w:pPr>
        <w:pStyle w:val="Heading2"/>
      </w:pPr>
      <w:r>
        <w:rPr>
          <w:color w:val="1F5A5C"/>
        </w:rPr>
        <w:t>Detection and alerting</w:t>
      </w:r>
    </w:p>
    <w:p>
      <w:pPr>
        <w:spacing w:after="120"/>
      </w:pPr>
      <w:r>
        <w:rPr>
          <w:b w:val="0"/>
          <w:i w:val="0"/>
          <w:sz w:val="21"/>
        </w:rPr>
        <w:t>A recovery plan starts when someone finds out. Say how a region-level disaster affecting this LMS would be detected, what would alert whom, and how long you would expect detection to take. Remember detection has to work from outside the region that has failed.</w:t>
      </w:r>
    </w:p>
    <w:p>
      <w:pPr>
        <w:spacing w:after="60"/>
      </w:pPr>
      <w:r>
        <w:rPr>
          <w:b w:val="0"/>
          <w:i/>
          <w:color w:val="6B6660"/>
          <w:sz w:val="18"/>
        </w:rPr>
        <w:t>The first row is filled in as an example — yours go underneath.</w:t>
      </w:r>
    </w:p>
    <w:tbl>
      <w:tblPr>
        <w:tblW w:type="auto" w:w="0"/>
        <w:tblLook w:firstColumn="1" w:firstRow="1" w:lastColumn="0" w:lastRow="0" w:noHBand="0" w:noVBand="1" w:val="04A0"/>
      </w:tblPr>
      <w:tblGrid>
        <w:gridCol w:w="2353"/>
        <w:gridCol w:w="2353"/>
        <w:gridCol w:w="2353"/>
        <w:gridCol w:w="2353"/>
      </w:tblGrid>
      <w:tr>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Signal</w:t>
            </w:r>
          </w:p>
        </w:tc>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What raises it</w:t>
            </w:r>
          </w:p>
        </w:tc>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Who is alerted</w:t>
            </w:r>
          </w:p>
        </w:tc>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Expected detection time</w:t>
            </w:r>
          </w:p>
        </w:tc>
      </w:tr>
      <w:tr>
        <w:tc>
          <w:tcPr>
            <w:tcW w:type="dxa" w:w="2353"/>
            <w:tcBorders>
              <w:top w:val="single" w:sz="4" w:space="0" w:color="E4DED3"/>
              <w:left w:val="single" w:sz="4" w:space="0" w:color="E4DED3"/>
              <w:bottom w:val="single" w:sz="4" w:space="0" w:color="E4DED3"/>
              <w:right w:val="single" w:sz="4" w:space="0" w:color="E4DED3"/>
            </w:tcBorders>
          </w:tcPr>
          <w:p>
            <w:r>
              <w:rPr>
                <w:i/>
                <w:color w:val="1F5A5C"/>
                <w:sz w:val="18"/>
              </w:rPr>
              <w:t>Detection counts against the RTO</w:t>
            </w:r>
          </w:p>
        </w:tc>
        <w:tc>
          <w:tcPr>
            <w:tcW w:type="dxa" w:w="2353"/>
            <w:tcBorders>
              <w:top w:val="single" w:sz="4" w:space="0" w:color="E4DED3"/>
              <w:left w:val="single" w:sz="4" w:space="0" w:color="E4DED3"/>
              <w:bottom w:val="single" w:sz="4" w:space="0" w:color="E4DED3"/>
              <w:right w:val="single" w:sz="4" w:space="0" w:color="E4DED3"/>
            </w:tcBorders>
          </w:tcPr>
          <w:p>
            <w:r>
              <w:rPr>
                <w:i/>
                <w:color w:val="1F5A5C"/>
                <w:sz w:val="18"/>
              </w:rPr>
              <w:t>the clock starts at the event, not at the alert</w:t>
            </w:r>
          </w:p>
        </w:tc>
        <w:tc>
          <w:tcPr>
            <w:tcW w:type="dxa" w:w="2353"/>
            <w:tcBorders>
              <w:top w:val="single" w:sz="4" w:space="0" w:color="E4DED3"/>
              <w:left w:val="single" w:sz="4" w:space="0" w:color="E4DED3"/>
              <w:bottom w:val="single" w:sz="4" w:space="0" w:color="E4DED3"/>
              <w:right w:val="single" w:sz="4" w:space="0" w:color="E4DED3"/>
            </w:tcBorders>
          </w:tcPr>
          <w:p>
            <w:r>
              <w:rPr>
                <w:i/>
                <w:color w:val="1F5A5C"/>
                <w:sz w:val="18"/>
              </w:rPr>
              <w:t>—</w:t>
            </w:r>
          </w:p>
        </w:tc>
        <w:tc>
          <w:tcPr>
            <w:tcW w:type="dxa" w:w="2353"/>
            <w:tcBorders>
              <w:top w:val="single" w:sz="4" w:space="0" w:color="E4DED3"/>
              <w:left w:val="single" w:sz="4" w:space="0" w:color="E4DED3"/>
              <w:bottom w:val="single" w:sz="4" w:space="0" w:color="E4DED3"/>
              <w:right w:val="single" w:sz="4" w:space="0" w:color="E4DED3"/>
            </w:tcBorders>
          </w:tcPr>
          <w:p>
            <w:r>
              <w:rPr>
                <w:i/>
                <w:color w:val="1F5A5C"/>
                <w:sz w:val="18"/>
              </w:rPr>
              <w:t>Not a signal at all — a reminder placed in the table so it is not forgotten. Twenty minutes of nobody noticing is twenty minutes of your four hours.</w:t>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t>External endpoint health check</w:t>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t>Edge origin errors</w:t>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t>Provider service health notification</w:t>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t>Students and teachers reporting they cannot sign in</w:t>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19"/>
        </w:rPr>
        <w:t>Things to consider</w:t>
      </w:r>
    </w:p>
    <w:p>
      <w:pPr>
        <w:spacing w:after="60"/>
        <w:ind w:left="340"/>
      </w:pPr>
      <w:r>
        <w:rPr>
          <w:sz w:val="19"/>
        </w:rPr>
        <w:t xml:space="preserve">•  </w:t>
      </w:r>
      <w:r>
        <w:rPr>
          <w:i/>
          <w:color w:val="1F5A5C"/>
          <w:sz w:val="19"/>
        </w:rPr>
        <w:t>If your monitoring runs inside ap-southeast-2, what tells you ap-southeast-2 is gone?</w:t>
      </w:r>
    </w:p>
    <w:p>
      <w:pPr>
        <w:spacing w:after="60"/>
        <w:ind w:left="340"/>
      </w:pPr>
      <w:r>
        <w:rPr>
          <w:sz w:val="19"/>
        </w:rPr>
        <w:t xml:space="preserve">•  </w:t>
      </w:r>
      <w:r>
        <w:rPr>
          <w:i/>
          <w:color w:val="1F5A5C"/>
          <w:sz w:val="19"/>
        </w:rPr>
        <w:t>The last row of the exemplar table lists users as a detection signal. It is a real one. Is it a good one, and what is its detection time?</w:t>
      </w:r>
    </w:p>
    <w:p>
      <w:pPr>
        <w:spacing w:after="60"/>
        <w:ind w:left="340"/>
      </w:pPr>
      <w:r>
        <w:rPr>
          <w:sz w:val="19"/>
        </w:rPr>
        <w:t xml:space="preserve">•  </w:t>
      </w:r>
      <w:r>
        <w:rPr>
          <w:i/>
          <w:color w:val="1F5A5C"/>
          <w:sz w:val="19"/>
        </w:rPr>
        <w:t>Out of hours, who receives the alert? A dashboard nobody is looking at is not detection.</w:t>
      </w:r>
    </w:p>
    <w:p>
      <w:pPr>
        <w:spacing w:after="60"/>
        <w:ind w:left="340"/>
      </w:pPr>
      <w:r>
        <w:rPr>
          <w:sz w:val="19"/>
        </w:rPr>
        <w:t xml:space="preserve">•  </w:t>
      </w:r>
      <w:r>
        <w:rPr>
          <w:i/>
          <w:color w:val="1F5A5C"/>
          <w:sz w:val="19"/>
        </w:rPr>
        <w:t>The provider publishes service health. Would you rely on it as your trigger? Why not?</w:t>
      </w:r>
    </w:p>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34</w:t>
      </w:r>
    </w:p>
    <w:p>
      <w:pPr>
        <w:pStyle w:val="Heading2"/>
      </w:pPr>
      <w:r>
        <w:rPr>
          <w:color w:val="1F5A5C"/>
        </w:rPr>
        <w:t>The recovery steps</w:t>
      </w:r>
    </w:p>
    <w:p>
      <w:pPr>
        <w:spacing w:after="120"/>
      </w:pPr>
      <w:r>
        <w:rPr>
          <w:b w:val="0"/>
          <w:i w:val="0"/>
          <w:sz w:val="21"/>
        </w:rPr>
        <w:t>Write the recovery steps for your recommended strategy — what is actually done, in order, by whom, and how long each step takes. This is the section someone follows under pressure. Number the steps, give each a duration, and make the total add up to less than your RTO.</w:t>
      </w:r>
    </w:p>
    <w:p>
      <w:pPr>
        <w:spacing w:after="60"/>
      </w:pPr>
      <w:r>
        <w:rPr>
          <w:b w:val="0"/>
          <w:i/>
          <w:color w:val="6B6660"/>
          <w:sz w:val="18"/>
        </w:rPr>
        <w:t>The first row is filled in as an example — yours go underneath.</w:t>
      </w:r>
    </w:p>
    <w:tbl>
      <w:tblPr>
        <w:tblW w:type="auto" w:w="0"/>
        <w:tblLook w:firstColumn="1" w:firstRow="1" w:lastColumn="0" w:lastRow="0" w:noHBand="0" w:noVBand="1" w:val="04A0"/>
      </w:tblPr>
      <w:tblGrid>
        <w:gridCol w:w="2353"/>
        <w:gridCol w:w="2353"/>
        <w:gridCol w:w="2353"/>
        <w:gridCol w:w="2353"/>
      </w:tblGrid>
      <w:tr>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w:t>
            </w:r>
          </w:p>
        </w:tc>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Step</w:t>
            </w:r>
          </w:p>
        </w:tc>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Who</w:t>
            </w:r>
          </w:p>
        </w:tc>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Duration</w:t>
            </w:r>
          </w:p>
        </w:tc>
      </w:tr>
      <w:tr>
        <w:tc>
          <w:tcPr>
            <w:tcW w:type="dxa" w:w="2353"/>
            <w:tcBorders>
              <w:top w:val="single" w:sz="4" w:space="0" w:color="E4DED3"/>
              <w:left w:val="single" w:sz="4" w:space="0" w:color="E4DED3"/>
              <w:bottom w:val="single" w:sz="4" w:space="0" w:color="E4DED3"/>
              <w:right w:val="single" w:sz="4" w:space="0" w:color="E4DED3"/>
            </w:tcBorders>
          </w:tcPr>
          <w:p>
            <w:r>
              <w:rPr>
                <w:i/>
                <w:color w:val="1F5A5C"/>
                <w:sz w:val="18"/>
              </w:rPr>
              <w:t>1</w:t>
            </w:r>
          </w:p>
        </w:tc>
        <w:tc>
          <w:tcPr>
            <w:tcW w:type="dxa" w:w="2353"/>
            <w:tcBorders>
              <w:top w:val="single" w:sz="4" w:space="0" w:color="E4DED3"/>
              <w:left w:val="single" w:sz="4" w:space="0" w:color="E4DED3"/>
              <w:bottom w:val="single" w:sz="4" w:space="0" w:color="E4DED3"/>
              <w:right w:val="single" w:sz="4" w:space="0" w:color="E4DED3"/>
            </w:tcBorders>
          </w:tcPr>
          <w:p>
            <w:r>
              <w:rPr>
                <w:i/>
                <w:color w:val="1F5A5C"/>
                <w:sz w:val="18"/>
              </w:rPr>
              <w:t>Confirm the event and declare a disaster</w:t>
            </w:r>
          </w:p>
        </w:tc>
        <w:tc>
          <w:tcPr>
            <w:tcW w:type="dxa" w:w="2353"/>
            <w:tcBorders>
              <w:top w:val="single" w:sz="4" w:space="0" w:color="E4DED3"/>
              <w:left w:val="single" w:sz="4" w:space="0" w:color="E4DED3"/>
              <w:bottom w:val="single" w:sz="4" w:space="0" w:color="E4DED3"/>
              <w:right w:val="single" w:sz="4" w:space="0" w:color="E4DED3"/>
            </w:tcBorders>
          </w:tcPr>
          <w:p>
            <w:r>
              <w:rPr>
                <w:i/>
                <w:color w:val="1F5A5C"/>
                <w:sz w:val="18"/>
              </w:rPr>
              <w:t>on-call YAT ICT → Sam Walker</w:t>
            </w:r>
          </w:p>
        </w:tc>
        <w:tc>
          <w:tcPr>
            <w:tcW w:type="dxa" w:w="2353"/>
            <w:tcBorders>
              <w:top w:val="single" w:sz="4" w:space="0" w:color="E4DED3"/>
              <w:left w:val="single" w:sz="4" w:space="0" w:color="E4DED3"/>
              <w:bottom w:val="single" w:sz="4" w:space="0" w:color="E4DED3"/>
              <w:right w:val="single" w:sz="4" w:space="0" w:color="E4DED3"/>
            </w:tcBorders>
          </w:tcPr>
          <w:p>
            <w:r>
              <w:rPr>
                <w:i/>
                <w:color w:val="1F5A5C"/>
                <w:sz w:val="18"/>
              </w:rPr>
              <w:t>15 min. Note the shape: a step names an action, a role and a duration. Every row below yours has to do the same, or the total cannot be added up.</w:t>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t>2</w:t>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t>3</w:t>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t>4</w:t>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t>5</w:t>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t>6</w:t>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t>7</w:t>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t>8</w:t>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19"/>
        </w:rPr>
        <w:t>Things to consider</w:t>
      </w:r>
    </w:p>
    <w:p>
      <w:pPr>
        <w:spacing w:after="60"/>
        <w:ind w:left="340"/>
      </w:pPr>
      <w:r>
        <w:rPr>
          <w:sz w:val="19"/>
        </w:rPr>
        <w:t xml:space="preserve">•  </w:t>
      </w:r>
      <w:r>
        <w:rPr>
          <w:i/>
          <w:color w:val="1F5A5C"/>
          <w:sz w:val="19"/>
        </w:rPr>
        <w:t>Write the steps in the order someone would actually do them, then check whether any of them can run at the same time.</w:t>
      </w:r>
    </w:p>
    <w:p>
      <w:pPr>
        <w:spacing w:after="60"/>
        <w:ind w:left="340"/>
      </w:pPr>
      <w:r>
        <w:rPr>
          <w:sz w:val="19"/>
        </w:rPr>
        <w:t xml:space="preserve">•  </w:t>
      </w:r>
      <w:r>
        <w:rPr>
          <w:i/>
          <w:color w:val="1F5A5C"/>
          <w:sz w:val="19"/>
        </w:rPr>
        <w:t>Somewhere in your sequence, the application tier has to exist in the second region. What does that take, given it is a Windows image with DOODLE installed?</w:t>
      </w:r>
    </w:p>
    <w:p>
      <w:pPr>
        <w:spacing w:after="60"/>
        <w:ind w:left="340"/>
      </w:pPr>
      <w:r>
        <w:rPr>
          <w:sz w:val="19"/>
        </w:rPr>
        <w:t xml:space="preserve">•  </w:t>
      </w:r>
      <w:r>
        <w:rPr>
          <w:i/>
          <w:color w:val="1F5A5C"/>
          <w:sz w:val="19"/>
        </w:rPr>
        <w:t>Somewhere else, users have to be able to sign in. Where is that step, and how long does it take?</w:t>
      </w:r>
    </w:p>
    <w:p>
      <w:pPr>
        <w:spacing w:after="60"/>
        <w:ind w:left="340"/>
      </w:pPr>
      <w:r>
        <w:rPr>
          <w:sz w:val="19"/>
        </w:rPr>
        <w:t xml:space="preserve">•  </w:t>
      </w:r>
      <w:r>
        <w:rPr>
          <w:i/>
          <w:color w:val="1F5A5C"/>
          <w:sz w:val="19"/>
        </w:rPr>
        <w:t>Course materials and submissions are on block storage. What is the step that gets them there, and is its duration honest for the volume from task 24?</w:t>
      </w:r>
    </w:p>
    <w:p>
      <w:pPr>
        <w:spacing w:after="60"/>
        <w:ind w:left="340"/>
      </w:pPr>
      <w:r>
        <w:rPr>
          <w:sz w:val="19"/>
        </w:rPr>
        <w:t xml:space="preserve">•  </w:t>
      </w:r>
      <w:r>
        <w:rPr>
          <w:i/>
          <w:color w:val="1F5A5C"/>
          <w:sz w:val="19"/>
        </w:rPr>
        <w:t>Add your durations up. If the total exceeds your RTO, change the plan — do not change the objective.</w:t>
      </w:r>
    </w:p>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35</w:t>
      </w:r>
    </w:p>
    <w:p>
      <w:pPr>
        <w:pStyle w:val="Heading2"/>
      </w:pPr>
      <w:r>
        <w:rPr>
          <w:color w:val="1F5A5C"/>
        </w:rPr>
        <w:t>How the plan meets the recovery objectives</w:t>
      </w:r>
    </w:p>
    <w:p>
      <w:pPr>
        <w:spacing w:after="120"/>
      </w:pPr>
      <w:r>
        <w:rPr>
          <w:b w:val="0"/>
          <w:i w:val="0"/>
          <w:sz w:val="21"/>
        </w:rPr>
        <w:t>Show that your plan actually achieves the objectives you set in task 23. Add up your recovery steps against the RTO, and explain what mechanism delivers the RPO. If the numbers do not work, change the plan — do not change the objective.</w:t>
      </w:r>
    </w:p>
    <w:p>
      <w:pPr>
        <w:spacing w:after="60"/>
      </w:pPr>
      <w:r>
        <w:rPr>
          <w:b w:val="0"/>
          <w:i/>
          <w:color w:val="6B6660"/>
          <w:sz w:val="18"/>
        </w:rPr>
        <w:t>The first row is filled in as an example — yours go underneath.</w:t>
      </w:r>
    </w:p>
    <w:tbl>
      <w:tblPr>
        <w:tblW w:type="auto" w:w="0"/>
        <w:tblLook w:firstColumn="1" w:firstRow="1" w:lastColumn="0" w:lastRow="0" w:noHBand="0" w:noVBand="1" w:val="04A0"/>
      </w:tblPr>
      <w:tblGrid>
        <w:gridCol w:w="2353"/>
        <w:gridCol w:w="2353"/>
        <w:gridCol w:w="2353"/>
        <w:gridCol w:w="2353"/>
      </w:tblGrid>
      <w:tr>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Objective</w:t>
            </w:r>
          </w:p>
        </w:tc>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Target</w:t>
            </w:r>
          </w:p>
        </w:tc>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What the plan achieves</w:t>
            </w:r>
          </w:p>
        </w:tc>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The mechanism</w:t>
            </w:r>
          </w:p>
        </w:tc>
      </w:tr>
      <w:tr>
        <w:tc>
          <w:tcPr>
            <w:tcW w:type="dxa" w:w="2353"/>
            <w:tcBorders>
              <w:top w:val="single" w:sz="4" w:space="0" w:color="E4DED3"/>
              <w:left w:val="single" w:sz="4" w:space="0" w:color="E4DED3"/>
              <w:bottom w:val="single" w:sz="4" w:space="0" w:color="E4DED3"/>
              <w:right w:val="single" w:sz="4" w:space="0" w:color="E4DED3"/>
            </w:tcBorders>
          </w:tcPr>
          <w:p>
            <w:r>
              <w:rPr>
                <w:i/>
                <w:color w:val="1F5A5C"/>
                <w:sz w:val="18"/>
              </w:rPr>
              <w:t>India log residency during recovery</w:t>
            </w:r>
          </w:p>
        </w:tc>
        <w:tc>
          <w:tcPr>
            <w:tcW w:type="dxa" w:w="2353"/>
            <w:tcBorders>
              <w:top w:val="single" w:sz="4" w:space="0" w:color="E4DED3"/>
              <w:left w:val="single" w:sz="4" w:space="0" w:color="E4DED3"/>
              <w:bottom w:val="single" w:sz="4" w:space="0" w:color="E4DED3"/>
              <w:right w:val="single" w:sz="4" w:space="0" w:color="E4DED3"/>
            </w:tcBorders>
          </w:tcPr>
          <w:p>
            <w:r>
              <w:rPr>
                <w:i/>
                <w:color w:val="1F5A5C"/>
                <w:sz w:val="18"/>
              </w:rPr>
              <w:t>maintained</w:t>
            </w:r>
          </w:p>
        </w:tc>
        <w:tc>
          <w:tcPr>
            <w:tcW w:type="dxa" w:w="2353"/>
            <w:tcBorders>
              <w:top w:val="single" w:sz="4" w:space="0" w:color="E4DED3"/>
              <w:left w:val="single" w:sz="4" w:space="0" w:color="E4DED3"/>
              <w:bottom w:val="single" w:sz="4" w:space="0" w:color="E4DED3"/>
              <w:right w:val="single" w:sz="4" w:space="0" w:color="E4DED3"/>
            </w:tcBorders>
          </w:tcPr>
          <w:p>
            <w:r>
              <w:rPr>
                <w:i/>
                <w:color w:val="1F5A5C"/>
                <w:sz w:val="18"/>
              </w:rPr>
              <w:t>logs recover into an Indian region, never into the DR region</w:t>
            </w:r>
          </w:p>
        </w:tc>
        <w:tc>
          <w:tcPr>
            <w:tcW w:type="dxa" w:w="2353"/>
            <w:tcBorders>
              <w:top w:val="single" w:sz="4" w:space="0" w:color="E4DED3"/>
              <w:left w:val="single" w:sz="4" w:space="0" w:color="E4DED3"/>
              <w:bottom w:val="single" w:sz="4" w:space="0" w:color="E4DED3"/>
              <w:right w:val="single" w:sz="4" w:space="0" w:color="E4DED3"/>
            </w:tcBorders>
          </w:tcPr>
          <w:p>
            <w:r>
              <w:rPr>
                <w:i/>
                <w:color w:val="1F5A5C"/>
                <w:sz w:val="18"/>
              </w:rPr>
              <w:t>The audit store is deployed separately and parameterised by region — which is why Part A's DR-R4 answer matters here. An objective can be met by a design decision rather than by a recovery step.</w:t>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t>RTO</w:t>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t>RPO</w:t>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t>Course materials</w:t>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19"/>
        </w:rPr>
        <w:t>Things to consider</w:t>
      </w:r>
    </w:p>
    <w:p>
      <w:pPr>
        <w:spacing w:after="60"/>
        <w:ind w:left="340"/>
      </w:pPr>
      <w:r>
        <w:rPr>
          <w:sz w:val="19"/>
        </w:rPr>
        <w:t xml:space="preserve">•  </w:t>
      </w:r>
      <w:r>
        <w:rPr>
          <w:i/>
          <w:color w:val="1F5A5C"/>
          <w:sz w:val="19"/>
        </w:rPr>
        <w:t>The RTO row needs arithmetic, not an assertion. Sum of steps, plus detection, versus the target.</w:t>
      </w:r>
    </w:p>
    <w:p>
      <w:pPr>
        <w:spacing w:after="60"/>
        <w:ind w:left="340"/>
      </w:pPr>
      <w:r>
        <w:rPr>
          <w:sz w:val="19"/>
        </w:rPr>
        <w:t xml:space="preserve">•  </w:t>
      </w:r>
      <w:r>
        <w:rPr>
          <w:i/>
          <w:color w:val="1F5A5C"/>
          <w:sz w:val="19"/>
        </w:rPr>
        <w:t>What mechanism actually delivers your RPO? Nightly backups do not deliver one hour, whatever the plan says.</w:t>
      </w:r>
    </w:p>
    <w:p>
      <w:pPr>
        <w:spacing w:after="60"/>
        <w:ind w:left="340"/>
      </w:pPr>
      <w:r>
        <w:rPr>
          <w:sz w:val="19"/>
        </w:rPr>
        <w:t xml:space="preserve">•  </w:t>
      </w:r>
      <w:r>
        <w:rPr>
          <w:i/>
          <w:color w:val="1F5A5C"/>
          <w:sz w:val="19"/>
        </w:rPr>
        <w:t>If your numbers do not reach the target, the honest move is to go back to task 34 or task 29. Say what you changed.</w:t>
      </w:r>
    </w:p>
    <w:p>
      <w:pPr>
        <w:spacing w:after="60"/>
        <w:ind w:left="340"/>
      </w:pPr>
      <w:r>
        <w:rPr>
          <w:sz w:val="19"/>
        </w:rPr>
        <w:t xml:space="preserve">•  </w:t>
      </w:r>
      <w:r>
        <w:rPr>
          <w:i/>
          <w:color w:val="1F5A5C"/>
          <w:sz w:val="19"/>
        </w:rPr>
        <w:t>Which objective is the hardest to meet for the LMS specifically? Write that row first.</w:t>
      </w:r>
    </w:p>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36</w:t>
      </w:r>
    </w:p>
    <w:p>
      <w:pPr>
        <w:pStyle w:val="Heading2"/>
      </w:pPr>
      <w:r>
        <w:rPr>
          <w:color w:val="1F5A5C"/>
        </w:rPr>
        <w:t>The standards this plan reflects</w:t>
      </w:r>
    </w:p>
    <w:p>
      <w:pPr>
        <w:spacing w:after="120"/>
      </w:pPr>
      <w:r>
        <w:rPr>
          <w:b w:val="0"/>
          <w:i w:val="0"/>
          <w:sz w:val="21"/>
        </w:rPr>
        <w:t>Name the information-security and business-continuity standards that informed this plan, and for each say where it shows up in what you have written. A standard you cannot point to in your own plan is one you have listed rather than applied.</w:t>
      </w:r>
    </w:p>
    <w:p>
      <w:pPr>
        <w:spacing w:after="60"/>
      </w:pPr>
      <w:r>
        <w:rPr>
          <w:b/>
          <w:i w:val="0"/>
          <w:sz w:val="19"/>
        </w:rPr>
        <w:t>Related resources</w:t>
      </w:r>
    </w:p>
    <w:p>
      <w:pPr>
        <w:spacing w:after="60"/>
        <w:ind w:left="340"/>
      </w:pPr>
      <w:r>
        <w:rPr>
          <w:sz w:val="19"/>
        </w:rPr>
        <w:t xml:space="preserve">•  </w:t>
      </w:r>
      <w:hyperlink r:id="rId22">
        <w:r>
          <w:rPr>
            <w:sz w:val="19"/>
            <w:color w:val="0563C1"/>
            <w:u w:val="single"/>
          </w:rPr>
          <w:t>Industry Standards — the information-security and continuity standards YAT works to</w:t>
        </w:r>
      </w:hyperlink>
    </w:p>
    <w:p/>
    <w:p>
      <w:pPr>
        <w:spacing w:after="60"/>
      </w:pPr>
      <w:r>
        <w:rPr>
          <w:b w:val="0"/>
          <w:i/>
          <w:color w:val="6B6660"/>
          <w:sz w:val="18"/>
        </w:rPr>
        <w:t>The first row is filled in as an example — yours go underneath.</w:t>
      </w:r>
    </w:p>
    <w:tbl>
      <w:tblPr>
        <w:tblW w:type="auto" w:w="0"/>
        <w:tblLook w:firstColumn="1" w:firstRow="1" w:lastColumn="0" w:lastRow="0" w:noHBand="0" w:noVBand="1" w:val="04A0"/>
      </w:tblPr>
      <w:tblGrid>
        <w:gridCol w:w="3137"/>
        <w:gridCol w:w="3137"/>
        <w:gridCol w:w="3137"/>
      </w:tblGrid>
      <w:tr>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Standard</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What it covers</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Where it shows up in your plan</w:t>
            </w:r>
          </w:p>
        </w:tc>
      </w:tr>
      <w:tr>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ISO/IEC 27031</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ICT readiness for business continuity — the standard closest to this document</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Your recovery objectives, your strategy and your step-by-step plan. The third column is the point of the task: naming a standard is listing, pointing at your own task numbers is applying.</w:t>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ISO/IEC 27001</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ISO/IEC 27002</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19"/>
        </w:rPr>
        <w:t>Things to consider</w:t>
      </w:r>
    </w:p>
    <w:p>
      <w:pPr>
        <w:spacing w:after="60"/>
        <w:ind w:left="340"/>
      </w:pPr>
      <w:r>
        <w:rPr>
          <w:sz w:val="19"/>
        </w:rPr>
        <w:t xml:space="preserve">•  </w:t>
      </w:r>
      <w:r>
        <w:rPr>
          <w:i/>
          <w:color w:val="1F5A5C"/>
          <w:sz w:val="19"/>
        </w:rPr>
        <w:t>There is a recognised trio of standards here and they are all in the Industry Standards reference. Which is the management system, which is the control set, and which is continuity?</w:t>
      </w:r>
    </w:p>
    <w:p>
      <w:pPr>
        <w:spacing w:after="60"/>
        <w:ind w:left="340"/>
      </w:pPr>
      <w:r>
        <w:rPr>
          <w:sz w:val="19"/>
        </w:rPr>
        <w:t xml:space="preserve">•  </w:t>
      </w:r>
      <w:r>
        <w:rPr>
          <w:i/>
          <w:color w:val="1F5A5C"/>
          <w:sz w:val="19"/>
        </w:rPr>
        <w:t>For each, find a task number in your own plan to point at. If you cannot, you have listed it.</w:t>
      </w:r>
    </w:p>
    <w:p>
      <w:pPr>
        <w:spacing w:after="60"/>
        <w:ind w:left="340"/>
      </w:pPr>
      <w:r>
        <w:rPr>
          <w:sz w:val="19"/>
        </w:rPr>
        <w:t xml:space="preserve">•  </w:t>
      </w:r>
      <w:r>
        <w:rPr>
          <w:i/>
          <w:color w:val="1F5A5C"/>
          <w:sz w:val="19"/>
        </w:rPr>
        <w:t>Is there anything in your plan that a standard would say you have missed?</w:t>
      </w:r>
    </w:p>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37</w:t>
      </w:r>
    </w:p>
    <w:p>
      <w:pPr>
        <w:pStyle w:val="Heading2"/>
      </w:pPr>
      <w:r>
        <w:rPr>
          <w:color w:val="1F5A5C"/>
        </w:rPr>
        <w:t>Assemble the Disaster Recovery Plan</w:t>
      </w:r>
    </w:p>
    <w:p>
      <w:pPr>
        <w:spacing w:after="120"/>
      </w:pPr>
      <w:r>
        <w:rPr>
          <w:b w:val="0"/>
          <w:i w:val="0"/>
          <w:sz w:val="21"/>
        </w:rPr>
        <w:t>Now build the document. Open the YAT Disaster Recovery Plan template and copy your answers across using the map below — your work is done, this is transcription. Write the Executive Summary last, once you can see the whole plan. This is practice, so nothing is submitted; do it anyway, because the assessment version of this task is worth an hour you will not have.</w:t>
      </w:r>
    </w:p>
    <w:tbl>
      <w:tblPr>
        <w:tblW w:type="auto" w:w="0"/>
        <w:tblLook w:firstColumn="1" w:firstRow="1" w:lastColumn="0" w:lastRow="0" w:noHBand="0" w:noVBand="1" w:val="04A0"/>
      </w:tblPr>
      <w:tblGrid>
        <w:gridCol w:w="3137"/>
        <w:gridCol w:w="3137"/>
        <w:gridCol w:w="3137"/>
      </w:tblGrid>
      <w:tr>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Template section</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Comes from</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Done</w:t>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1. Executive Summary</w:t>
            </w:r>
          </w:p>
        </w:tc>
        <w:tc>
          <w:tcPr>
            <w:tcW w:type="dxa" w:w="3137"/>
            <w:tcBorders>
              <w:top w:val="single" w:sz="4" w:space="0" w:color="E4DED3"/>
              <w:left w:val="single" w:sz="4" w:space="0" w:color="E4DED3"/>
              <w:bottom w:val="single" w:sz="4" w:space="0" w:color="E4DED3"/>
              <w:right w:val="single" w:sz="4" w:space="0" w:color="E4DED3"/>
            </w:tcBorders>
          </w:tcPr>
          <w:p>
            <w:r>
              <w:rPr>
                <w:sz w:val="18"/>
              </w:rPr>
              <w:t>written last, from the whole plan</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2. Engagement Context and Scope</w:t>
            </w:r>
          </w:p>
        </w:tc>
        <w:tc>
          <w:tcPr>
            <w:tcW w:type="dxa" w:w="3137"/>
            <w:tcBorders>
              <w:top w:val="single" w:sz="4" w:space="0" w:color="E4DED3"/>
              <w:left w:val="single" w:sz="4" w:space="0" w:color="E4DED3"/>
              <w:bottom w:val="single" w:sz="4" w:space="0" w:color="E4DED3"/>
              <w:right w:val="single" w:sz="4" w:space="0" w:color="E4DED3"/>
            </w:tcBorders>
          </w:tcPr>
          <w:p>
            <w:r>
              <w:rPr>
                <w:sz w:val="18"/>
              </w:rPr>
              <w:t>task 20, and the Part A engagement framing</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3.1 Existing recovery arrangements</w:t>
            </w:r>
          </w:p>
        </w:tc>
        <w:tc>
          <w:tcPr>
            <w:tcW w:type="dxa" w:w="3137"/>
            <w:tcBorders>
              <w:top w:val="single" w:sz="4" w:space="0" w:color="E4DED3"/>
              <w:left w:val="single" w:sz="4" w:space="0" w:color="E4DED3"/>
              <w:bottom w:val="single" w:sz="4" w:space="0" w:color="E4DED3"/>
              <w:right w:val="single" w:sz="4" w:space="0" w:color="E4DED3"/>
            </w:tcBorders>
          </w:tcPr>
          <w:p>
            <w:r>
              <w:rPr>
                <w:sz w:val="18"/>
              </w:rPr>
              <w:t>task 21</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3.2 Vendor provisions and SLAs</w:t>
            </w:r>
          </w:p>
        </w:tc>
        <w:tc>
          <w:tcPr>
            <w:tcW w:type="dxa" w:w="3137"/>
            <w:tcBorders>
              <w:top w:val="single" w:sz="4" w:space="0" w:color="E4DED3"/>
              <w:left w:val="single" w:sz="4" w:space="0" w:color="E4DED3"/>
              <w:bottom w:val="single" w:sz="4" w:space="0" w:color="E4DED3"/>
              <w:right w:val="single" w:sz="4" w:space="0" w:color="E4DED3"/>
            </w:tcBorders>
          </w:tcPr>
          <w:p>
            <w:r>
              <w:rPr>
                <w:sz w:val="18"/>
              </w:rPr>
              <w:t>task 22</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4.1 Recovery objectives (RTO / RPO)</w:t>
            </w:r>
          </w:p>
        </w:tc>
        <w:tc>
          <w:tcPr>
            <w:tcW w:type="dxa" w:w="3137"/>
            <w:tcBorders>
              <w:top w:val="single" w:sz="4" w:space="0" w:color="E4DED3"/>
              <w:left w:val="single" w:sz="4" w:space="0" w:color="E4DED3"/>
              <w:bottom w:val="single" w:sz="4" w:space="0" w:color="E4DED3"/>
              <w:right w:val="single" w:sz="4" w:space="0" w:color="E4DED3"/>
            </w:tcBorders>
          </w:tcPr>
          <w:p>
            <w:r>
              <w:rPr>
                <w:sz w:val="18"/>
              </w:rPr>
              <w:t>task 23</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4.2 Data managed</w:t>
            </w:r>
          </w:p>
        </w:tc>
        <w:tc>
          <w:tcPr>
            <w:tcW w:type="dxa" w:w="3137"/>
            <w:tcBorders>
              <w:top w:val="single" w:sz="4" w:space="0" w:color="E4DED3"/>
              <w:left w:val="single" w:sz="4" w:space="0" w:color="E4DED3"/>
              <w:bottom w:val="single" w:sz="4" w:space="0" w:color="E4DED3"/>
              <w:right w:val="single" w:sz="4" w:space="0" w:color="E4DED3"/>
            </w:tcBorders>
          </w:tcPr>
          <w:p>
            <w:r>
              <w:rPr>
                <w:sz w:val="18"/>
              </w:rPr>
              <w:t>task 24</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4.3 Risk assessment</w:t>
            </w:r>
          </w:p>
        </w:tc>
        <w:tc>
          <w:tcPr>
            <w:tcW w:type="dxa" w:w="3137"/>
            <w:tcBorders>
              <w:top w:val="single" w:sz="4" w:space="0" w:color="E4DED3"/>
              <w:left w:val="single" w:sz="4" w:space="0" w:color="E4DED3"/>
              <w:bottom w:val="single" w:sz="4" w:space="0" w:color="E4DED3"/>
              <w:right w:val="single" w:sz="4" w:space="0" w:color="E4DED3"/>
            </w:tcBorders>
          </w:tcPr>
          <w:p>
            <w:r>
              <w:rPr>
                <w:sz w:val="18"/>
              </w:rPr>
              <w:t>task 25</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4.4 Plan exclusions</w:t>
            </w:r>
          </w:p>
        </w:tc>
        <w:tc>
          <w:tcPr>
            <w:tcW w:type="dxa" w:w="3137"/>
            <w:tcBorders>
              <w:top w:val="single" w:sz="4" w:space="0" w:color="E4DED3"/>
              <w:left w:val="single" w:sz="4" w:space="0" w:color="E4DED3"/>
              <w:bottom w:val="single" w:sz="4" w:space="0" w:color="E4DED3"/>
              <w:right w:val="single" w:sz="4" w:space="0" w:color="E4DED3"/>
            </w:tcBorders>
          </w:tcPr>
          <w:p>
            <w:r>
              <w:rPr>
                <w:sz w:val="18"/>
              </w:rPr>
              <w:t>task 26</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4.5 Recording the analysis</w:t>
            </w:r>
          </w:p>
        </w:tc>
        <w:tc>
          <w:tcPr>
            <w:tcW w:type="dxa" w:w="3137"/>
            <w:tcBorders>
              <w:top w:val="single" w:sz="4" w:space="0" w:color="E4DED3"/>
              <w:left w:val="single" w:sz="4" w:space="0" w:color="E4DED3"/>
              <w:bottom w:val="single" w:sz="4" w:space="0" w:color="E4DED3"/>
              <w:right w:val="single" w:sz="4" w:space="0" w:color="E4DED3"/>
            </w:tcBorders>
          </w:tcPr>
          <w:p>
            <w:r>
              <w:rPr>
                <w:sz w:val="18"/>
              </w:rPr>
              <w:t>task 27</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5.1 Options evaluated</w:t>
            </w:r>
          </w:p>
        </w:tc>
        <w:tc>
          <w:tcPr>
            <w:tcW w:type="dxa" w:w="3137"/>
            <w:tcBorders>
              <w:top w:val="single" w:sz="4" w:space="0" w:color="E4DED3"/>
              <w:left w:val="single" w:sz="4" w:space="0" w:color="E4DED3"/>
              <w:bottom w:val="single" w:sz="4" w:space="0" w:color="E4DED3"/>
              <w:right w:val="single" w:sz="4" w:space="0" w:color="E4DED3"/>
            </w:tcBorders>
          </w:tcPr>
          <w:p>
            <w:r>
              <w:rPr>
                <w:sz w:val="18"/>
              </w:rPr>
              <w:t>task 28</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5.2 Recommended approach</w:t>
            </w:r>
          </w:p>
        </w:tc>
        <w:tc>
          <w:tcPr>
            <w:tcW w:type="dxa" w:w="3137"/>
            <w:tcBorders>
              <w:top w:val="single" w:sz="4" w:space="0" w:color="E4DED3"/>
              <w:left w:val="single" w:sz="4" w:space="0" w:color="E4DED3"/>
              <w:bottom w:val="single" w:sz="4" w:space="0" w:color="E4DED3"/>
              <w:right w:val="single" w:sz="4" w:space="0" w:color="E4DED3"/>
            </w:tcBorders>
          </w:tcPr>
          <w:p>
            <w:r>
              <w:rPr>
                <w:sz w:val="18"/>
              </w:rPr>
              <w:t>task 29</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5.3 Vendor protections and risk prioritisation</w:t>
            </w:r>
          </w:p>
        </w:tc>
        <w:tc>
          <w:tcPr>
            <w:tcW w:type="dxa" w:w="3137"/>
            <w:tcBorders>
              <w:top w:val="single" w:sz="4" w:space="0" w:color="E4DED3"/>
              <w:left w:val="single" w:sz="4" w:space="0" w:color="E4DED3"/>
              <w:bottom w:val="single" w:sz="4" w:space="0" w:color="E4DED3"/>
              <w:right w:val="single" w:sz="4" w:space="0" w:color="E4DED3"/>
            </w:tcBorders>
          </w:tcPr>
          <w:p>
            <w:r>
              <w:rPr>
                <w:sz w:val="18"/>
              </w:rPr>
              <w:t>task 30</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5.4 Insurance</w:t>
            </w:r>
          </w:p>
        </w:tc>
        <w:tc>
          <w:tcPr>
            <w:tcW w:type="dxa" w:w="3137"/>
            <w:tcBorders>
              <w:top w:val="single" w:sz="4" w:space="0" w:color="E4DED3"/>
              <w:left w:val="single" w:sz="4" w:space="0" w:color="E4DED3"/>
              <w:bottom w:val="single" w:sz="4" w:space="0" w:color="E4DED3"/>
              <w:right w:val="single" w:sz="4" w:space="0" w:color="E4DED3"/>
            </w:tcBorders>
          </w:tcPr>
          <w:p>
            <w:r>
              <w:rPr>
                <w:sz w:val="18"/>
              </w:rPr>
              <w:t>task 31</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5.5 Other recovery components</w:t>
            </w:r>
          </w:p>
        </w:tc>
        <w:tc>
          <w:tcPr>
            <w:tcW w:type="dxa" w:w="3137"/>
            <w:tcBorders>
              <w:top w:val="single" w:sz="4" w:space="0" w:color="E4DED3"/>
              <w:left w:val="single" w:sz="4" w:space="0" w:color="E4DED3"/>
              <w:bottom w:val="single" w:sz="4" w:space="0" w:color="E4DED3"/>
              <w:right w:val="single" w:sz="4" w:space="0" w:color="E4DED3"/>
            </w:tcBorders>
          </w:tcPr>
          <w:p>
            <w:r>
              <w:rPr>
                <w:sz w:val="18"/>
              </w:rPr>
              <w:t>task 32</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6.1 Detection and alerting</w:t>
            </w:r>
          </w:p>
        </w:tc>
        <w:tc>
          <w:tcPr>
            <w:tcW w:type="dxa" w:w="3137"/>
            <w:tcBorders>
              <w:top w:val="single" w:sz="4" w:space="0" w:color="E4DED3"/>
              <w:left w:val="single" w:sz="4" w:space="0" w:color="E4DED3"/>
              <w:bottom w:val="single" w:sz="4" w:space="0" w:color="E4DED3"/>
              <w:right w:val="single" w:sz="4" w:space="0" w:color="E4DED3"/>
            </w:tcBorders>
          </w:tcPr>
          <w:p>
            <w:r>
              <w:rPr>
                <w:sz w:val="18"/>
              </w:rPr>
              <w:t>task 33</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6.2 Recovery steps</w:t>
            </w:r>
          </w:p>
        </w:tc>
        <w:tc>
          <w:tcPr>
            <w:tcW w:type="dxa" w:w="3137"/>
            <w:tcBorders>
              <w:top w:val="single" w:sz="4" w:space="0" w:color="E4DED3"/>
              <w:left w:val="single" w:sz="4" w:space="0" w:color="E4DED3"/>
              <w:bottom w:val="single" w:sz="4" w:space="0" w:color="E4DED3"/>
              <w:right w:val="single" w:sz="4" w:space="0" w:color="E4DED3"/>
            </w:tcBorders>
          </w:tcPr>
          <w:p>
            <w:r>
              <w:rPr>
                <w:sz w:val="18"/>
              </w:rPr>
              <w:t>task 34</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6.3 Meeting the recovery objectives</w:t>
            </w:r>
          </w:p>
        </w:tc>
        <w:tc>
          <w:tcPr>
            <w:tcW w:type="dxa" w:w="3137"/>
            <w:tcBorders>
              <w:top w:val="single" w:sz="4" w:space="0" w:color="E4DED3"/>
              <w:left w:val="single" w:sz="4" w:space="0" w:color="E4DED3"/>
              <w:bottom w:val="single" w:sz="4" w:space="0" w:color="E4DED3"/>
              <w:right w:val="single" w:sz="4" w:space="0" w:color="E4DED3"/>
            </w:tcBorders>
          </w:tcPr>
          <w:p>
            <w:r>
              <w:rPr>
                <w:sz w:val="18"/>
              </w:rPr>
              <w:t>task 35</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7. Plan Validation and Approval</w:t>
            </w:r>
          </w:p>
        </w:tc>
        <w:tc>
          <w:tcPr>
            <w:tcW w:type="dxa" w:w="3137"/>
            <w:tcBorders>
              <w:top w:val="single" w:sz="4" w:space="0" w:color="E4DED3"/>
              <w:left w:val="single" w:sz="4" w:space="0" w:color="E4DED3"/>
              <w:bottom w:val="single" w:sz="4" w:space="0" w:color="E4DED3"/>
              <w:right w:val="single" w:sz="4" w:space="0" w:color="E4DED3"/>
            </w:tcBorders>
          </w:tcPr>
          <w:p>
            <w:r>
              <w:rPr>
                <w:sz w:val="18"/>
              </w:rPr>
              <w:t>completed at your Part C walkthrough</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21"/>
        </w:rPr>
        <w:t>How to do it</w:t>
      </w:r>
    </w:p>
    <w:p>
      <w:pPr>
        <w:spacing w:after="40"/>
        <w:ind w:left="340"/>
      </w:pPr>
      <w:r>
        <w:rPr>
          <w:b/>
          <w:sz w:val="20"/>
        </w:rPr>
        <w:t xml:space="preserve">1.  </w:t>
      </w:r>
      <w:r>
        <w:rPr>
          <w:sz w:val="20"/>
        </w:rPr>
        <w:t>Download the YAT Disaster Recovery Plan template from the intranet's Templates section and save it under a name of your own.</w:t>
      </w:r>
    </w:p>
    <w:p>
      <w:pPr>
        <w:spacing w:after="40"/>
        <w:ind w:left="340"/>
      </w:pPr>
      <w:r>
        <w:rPr>
          <w:b/>
          <w:sz w:val="20"/>
        </w:rPr>
        <w:t xml:space="preserve">2.  </w:t>
      </w:r>
      <w:r>
        <w:rPr>
          <w:sz w:val="20"/>
        </w:rPr>
        <w:t>Fill in the document control table at the front — title, owner, prepared by, classification. It is the first thing a reader sees and the easiest thing to leave on the template's placeholder text.</w:t>
      </w:r>
    </w:p>
    <w:p>
      <w:pPr>
        <w:spacing w:after="40"/>
        <w:ind w:left="340"/>
      </w:pPr>
      <w:r>
        <w:rPr>
          <w:b/>
          <w:sz w:val="20"/>
        </w:rPr>
        <w:t xml:space="preserve">3.  </w:t>
      </w:r>
      <w:r>
        <w:rPr>
          <w:sz w:val="20"/>
        </w:rPr>
        <w:t>Work down the map above, one row at a time. Open the task it names, and move the answer across.</w:t>
      </w:r>
    </w:p>
    <w:p>
      <w:pPr>
        <w:spacing w:after="40"/>
        <w:ind w:left="340"/>
      </w:pPr>
      <w:r>
        <w:rPr>
          <w:b/>
          <w:sz w:val="20"/>
        </w:rPr>
        <w:t xml:space="preserve">4.  </w:t>
      </w:r>
      <w:r>
        <w:rPr>
          <w:sz w:val="20"/>
        </w:rPr>
        <w:t>Where a task produced a table, keep it a table. Do not turn it into prose — the person reading this at 3am wants a table.</w:t>
      </w:r>
    </w:p>
    <w:p>
      <w:pPr>
        <w:spacing w:after="40"/>
        <w:ind w:left="340"/>
      </w:pPr>
      <w:r>
        <w:rPr>
          <w:b/>
          <w:sz w:val="20"/>
        </w:rPr>
        <w:t xml:space="preserve">5.  </w:t>
      </w:r>
      <w:r>
        <w:rPr>
          <w:sz w:val="20"/>
        </w:rPr>
        <w:t>Where a task produced a written answer, it goes in as written. This is the part that is transcription rather than translation, and it is only true because the tasks were ordered to match the template.</w:t>
      </w:r>
    </w:p>
    <w:p>
      <w:pPr>
        <w:spacing w:after="40"/>
        <w:ind w:left="340"/>
      </w:pPr>
      <w:r>
        <w:rPr>
          <w:b/>
          <w:sz w:val="20"/>
        </w:rPr>
        <w:t xml:space="preserve">6.  </w:t>
      </w:r>
      <w:r>
        <w:rPr>
          <w:sz w:val="20"/>
        </w:rPr>
        <w:t>Write the Executive Summary last. Half a page: what the plan covers, the strategy, the objectives it meets, and what it excludes.</w:t>
      </w:r>
    </w:p>
    <w:p>
      <w:pPr>
        <w:spacing w:after="40"/>
        <w:ind w:left="340"/>
      </w:pPr>
      <w:r>
        <w:rPr>
          <w:b/>
          <w:sz w:val="20"/>
        </w:rPr>
        <w:t xml:space="preserve">7.  </w:t>
      </w:r>
      <w:r>
        <w:rPr>
          <w:sz w:val="20"/>
        </w:rPr>
        <w:t>Read the finished document end to end as if you had not written it. Anything that only makes sense if you remember the worksheet needs a sentence around it.</w:t>
      </w:r>
    </w:p>
    <w:p/>
    <w:p>
      <w:pPr>
        <w:spacing w:after="60"/>
      </w:pPr>
      <w:r>
        <w:rPr>
          <w:b/>
          <w:i w:val="0"/>
          <w:sz w:val="19"/>
        </w:rPr>
        <w:t>Things to consider</w:t>
      </w:r>
    </w:p>
    <w:p>
      <w:pPr>
        <w:spacing w:after="60"/>
        <w:ind w:left="340"/>
      </w:pPr>
      <w:r>
        <w:rPr>
          <w:sz w:val="19"/>
        </w:rPr>
        <w:t xml:space="preserve">•  </w:t>
      </w:r>
      <w:r>
        <w:rPr>
          <w:i/>
          <w:color w:val="1F5A5C"/>
          <w:sz w:val="19"/>
        </w:rPr>
        <w:t>Time this task. The assessment version is the same job on a bigger plan, and students routinely underestimate it.</w:t>
      </w:r>
    </w:p>
    <w:p>
      <w:pPr>
        <w:spacing w:after="60"/>
        <w:ind w:left="340"/>
      </w:pPr>
      <w:r>
        <w:rPr>
          <w:sz w:val="19"/>
        </w:rPr>
        <w:t xml:space="preserve">•  </w:t>
      </w:r>
      <w:r>
        <w:rPr>
          <w:i/>
          <w:color w:val="1F5A5C"/>
          <w:sz w:val="19"/>
        </w:rPr>
        <w:t>Does your assembled plan still contain at least three major risk events? Check, because the assessment's does not pass without them.</w:t>
      </w:r>
    </w:p>
    <w:p>
      <w:pPr>
        <w:spacing w:after="60"/>
        <w:ind w:left="340"/>
      </w:pPr>
      <w:r>
        <w:rPr>
          <w:sz w:val="19"/>
        </w:rPr>
        <w:t xml:space="preserve">•  </w:t>
      </w:r>
      <w:r>
        <w:rPr>
          <w:i/>
          <w:color w:val="1F5A5C"/>
          <w:sz w:val="19"/>
        </w:rPr>
        <w:t>Would the on-call person at 3am be able to follow section 6.2 without ringing you? That is the only test that matters.</w:t>
      </w:r>
    </w:p>
    <w:p>
      <w:pPr>
        <w:spacing w:after="60"/>
        <w:ind w:left="340"/>
      </w:pPr>
      <w:r>
        <w:rPr>
          <w:sz w:val="19"/>
        </w:rPr>
        <w:t xml:space="preserve">•  </w:t>
      </w:r>
      <w:r>
        <w:rPr>
          <w:i/>
          <w:color w:val="1F5A5C"/>
          <w:sz w:val="19"/>
        </w:rPr>
        <w:t>Compare the plan against the worksheet. If the plan says something the worksheet does not, where did it come from?</w:t>
      </w:r>
    </w:p>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pStyle w:val="Heading1"/>
      </w:pPr>
      <w:r>
        <w:t>Part C — Presentation and approval</w:t>
      </w:r>
    </w:p>
    <w:p>
      <w:pPr>
        <w:spacing w:after="160"/>
      </w:pPr>
      <w:r>
        <w:rPr>
          <w:b w:val="0"/>
          <w:i w:val="0"/>
          <w:sz w:val="21"/>
        </w:rPr>
        <w:t>This is the approval gate, rehearsed. You walk Sam Walker (YAT ICT Manager — played by your teacher, or by a classmate who has worked this run sheet) through the LMS design you produced in Part A and the disaster recovery plan you produced in Part B, answer questions on both, respond to the feedback you are given, and close the loop.</w:t>
      </w:r>
    </w:p>
    <w:p>
      <w:pPr>
        <w:spacing w:after="160"/>
      </w:pPr>
      <w:r>
        <w:rPr>
          <w:b w:val="0"/>
          <w:i w:val="0"/>
          <w:sz w:val="21"/>
        </w:rPr>
        <w:t>Nothing here is assessed and nothing is signed off for real. This is the one part of the assessment you cannot rehearse by writing, so rehearse it by doing it — badly the first time, which is the entire point of practice.</w:t>
      </w:r>
    </w:p>
    <w:p>
      <w:pPr>
        <w:spacing w:after="160"/>
      </w:pPr>
      <w:r>
        <w:rPr>
          <w:b w:val="0"/>
          <w:i w:val="0"/>
          <w:sz w:val="21"/>
        </w:rPr>
        <w:t>There is no slide deck to build, here or in the assessment. You are walking your listener through two documents you have already written, which is what a consultant does. Bring them, printed or on screen, and know your way around them.</w:t>
      </w:r>
    </w:p>
    <w:p>
      <w:pPr>
        <w:spacing w:after="60"/>
      </w:pPr>
      <w:r>
        <w:rPr>
          <w:b/>
          <w:i w:val="0"/>
          <w:sz w:val="19"/>
        </w:rPr>
        <w:t>The session</w:t>
      </w:r>
    </w:p>
    <w:tbl>
      <w:tblPr>
        <w:tblW w:type="auto" w:w="0"/>
        <w:tblLook w:firstColumn="1" w:firstRow="1" w:lastColumn="0" w:lastRow="0" w:noHBand="0" w:noVBand="1" w:val="04A0"/>
      </w:tblPr>
      <w:tblGrid>
        <w:gridCol w:w="4706"/>
        <w:gridCol w:w="4706"/>
      </w:tblGrid>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Format</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in person, or by video call — whatever you can arrange</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Duration</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10–15 minutes walking through, then about 5 minutes of questions and feedback. Time it. Running out of time is the most common way this goes wrong.</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Bring</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your completed Part A practice worksheet and your completed practice Disaster Recovery Plan</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Send beforehand</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both documents, so whoever is playing Sam has actually read them and can ask about something specific</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Who plays Sam</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your teacher, or a classmate who has worked the same run sheet. A classmate who has done the work asks better questions than one who has not.</w:t>
            </w:r>
          </w:p>
        </w:tc>
      </w:tr>
    </w:tbl>
    <w:p/>
    <w:p>
      <w:pPr>
        <w:spacing w:after="60"/>
      </w:pPr>
      <w:r>
        <w:rPr>
          <w:b/>
          <w:i w:val="0"/>
          <w:sz w:val="19"/>
        </w:rPr>
        <w:t>Related resources</w:t>
      </w:r>
    </w:p>
    <w:p>
      <w:pPr>
        <w:spacing w:after="60"/>
        <w:ind w:left="340"/>
      </w:pPr>
      <w:r>
        <w:rPr>
          <w:sz w:val="19"/>
        </w:rPr>
        <w:t xml:space="preserve">•  </w:t>
      </w:r>
      <w:hyperlink r:id="rId23">
        <w:r>
          <w:rPr>
            <w:sz w:val="19"/>
            <w:color w:val="0563C1"/>
            <w:u w:val="single"/>
          </w:rPr>
          <w:t>Records Management Policy — the lodgement protocol a completed engagement document follows</w:t>
        </w:r>
      </w:hyperlink>
    </w:p>
    <w:p>
      <w:pPr>
        <w:spacing w:after="60"/>
        <w:ind w:left="340"/>
      </w:pPr>
      <w:r>
        <w:rPr>
          <w:sz w:val="19"/>
        </w:rPr>
        <w:t xml:space="preserve">•  </w:t>
      </w:r>
      <w:hyperlink r:id="rId24">
        <w:r>
          <w:rPr>
            <w:sz w:val="19"/>
            <w:color w:val="0563C1"/>
            <w:u w:val="single"/>
          </w:rPr>
          <w:t>Engagement Role Brief — who signs off what on this engagement</w:t>
        </w:r>
      </w:hyperlink>
    </w:p>
    <w:p/>
    <w:p>
      <w:pPr>
        <w:spacing w:before="200" w:after="0"/>
      </w:pPr>
      <w:r>
        <w:rPr>
          <w:b/>
          <w:color w:val="1F5A5C"/>
          <w:sz w:val="16"/>
        </w:rPr>
        <w:t>TASK 38</w:t>
      </w:r>
    </w:p>
    <w:p>
      <w:pPr>
        <w:pStyle w:val="Heading2"/>
      </w:pPr>
      <w:r>
        <w:rPr>
          <w:color w:val="1F5A5C"/>
        </w:rPr>
        <w:t>Plan your walkthrough</w:t>
      </w:r>
    </w:p>
    <w:p>
      <w:pPr>
        <w:spacing w:after="120"/>
      </w:pPr>
      <w:r>
        <w:rPr>
          <w:b w:val="0"/>
          <w:i w:val="0"/>
          <w:sz w:val="21"/>
        </w:rPr>
        <w:t>Plan the order you will take Sam through the two documents, and for each part write down the ONE point you want Sam to understand. You have 10 to 15 minutes, which is not long enough to read your work out — so decide what matters.</w:t>
      </w:r>
    </w:p>
    <w:p>
      <w:pPr>
        <w:spacing w:after="60"/>
      </w:pPr>
      <w:r>
        <w:rPr>
          <w:b w:val="0"/>
          <w:i/>
          <w:color w:val="6B6660"/>
          <w:sz w:val="18"/>
        </w:rPr>
        <w:t>The first row is filled in as an example — yours go underneath.</w:t>
      </w:r>
    </w:p>
    <w:tbl>
      <w:tblPr>
        <w:tblW w:type="auto" w:w="0"/>
        <w:tblLook w:firstColumn="1" w:firstRow="1" w:lastColumn="0" w:lastRow="0" w:noHBand="0" w:noVBand="1" w:val="04A0"/>
      </w:tblPr>
      <w:tblGrid>
        <w:gridCol w:w="3137"/>
        <w:gridCol w:w="3137"/>
        <w:gridCol w:w="3137"/>
      </w:tblGrid>
      <w:tr>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 cover</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The one point Sam should take away</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Roughly how long</w:t>
            </w:r>
          </w:p>
        </w:tc>
      </w:tr>
      <w:tr>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Why the engagement exists</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the India campus makes the LMS a system with users on the other side of an ocean — that is why any of this is worth doing</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1 min. Notice the column is 'the ONE point', not a summary. If you cannot say it in a sentence you will not say it in a minute.</w:t>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The web-scale design</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The microservice</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The risks you assessed</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The recovery strategy</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What you are asking for</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What you deliberately did not do</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21"/>
        </w:rPr>
        <w:t>How to do it</w:t>
      </w:r>
    </w:p>
    <w:p>
      <w:pPr>
        <w:spacing w:after="40"/>
        <w:ind w:left="340"/>
      </w:pPr>
      <w:r>
        <w:rPr>
          <w:b/>
          <w:sz w:val="20"/>
        </w:rPr>
        <w:t xml:space="preserve">1.  </w:t>
      </w:r>
      <w:r>
        <w:rPr>
          <w:sz w:val="20"/>
        </w:rPr>
        <w:t>Add up your minutes. If the total is over 15, cut something now rather than discovering it live.</w:t>
      </w:r>
    </w:p>
    <w:p>
      <w:pPr>
        <w:spacing w:after="40"/>
        <w:ind w:left="340"/>
      </w:pPr>
      <w:r>
        <w:rPr>
          <w:b/>
          <w:sz w:val="20"/>
        </w:rPr>
        <w:t xml:space="preserve">2.  </w:t>
      </w:r>
      <w:r>
        <w:rPr>
          <w:sz w:val="20"/>
        </w:rPr>
        <w:t>Open both documents and put a marker at each place you will need to turn to. Hunting through a document while someone watches is what eats the time.</w:t>
      </w:r>
    </w:p>
    <w:p>
      <w:pPr>
        <w:spacing w:after="40"/>
        <w:ind w:left="340"/>
      </w:pPr>
      <w:r>
        <w:rPr>
          <w:b/>
          <w:sz w:val="20"/>
        </w:rPr>
        <w:t xml:space="preserve">3.  </w:t>
      </w:r>
      <w:r>
        <w:rPr>
          <w:sz w:val="20"/>
        </w:rPr>
        <w:t>Decide how you will open. One sentence on why the engagement exists beats 'so, um, I did the design first'.</w:t>
      </w:r>
    </w:p>
    <w:p>
      <w:pPr>
        <w:spacing w:after="40"/>
        <w:ind w:left="340"/>
      </w:pPr>
      <w:r>
        <w:rPr>
          <w:b/>
          <w:sz w:val="20"/>
        </w:rPr>
        <w:t xml:space="preserve">4.  </w:t>
      </w:r>
      <w:r>
        <w:rPr>
          <w:sz w:val="20"/>
        </w:rPr>
        <w:t>Decide how you will close. You are asking for approval to proceed — say those words.</w:t>
      </w:r>
    </w:p>
    <w:p>
      <w:pPr>
        <w:spacing w:after="40"/>
        <w:ind w:left="340"/>
      </w:pPr>
      <w:r>
        <w:rPr>
          <w:b/>
          <w:sz w:val="20"/>
        </w:rPr>
        <w:t xml:space="preserve">5.  </w:t>
      </w:r>
      <w:r>
        <w:rPr>
          <w:sz w:val="20"/>
        </w:rPr>
        <w:t>Say the whole thing out loud once, to nobody, with a timer running. It will be worse than you expect and shorter than you expect.</w:t>
      </w:r>
    </w:p>
    <w:p/>
    <w:p>
      <w:pPr>
        <w:spacing w:after="60"/>
      </w:pPr>
      <w:r>
        <w:rPr>
          <w:b/>
          <w:i w:val="0"/>
          <w:sz w:val="19"/>
        </w:rPr>
        <w:t>Things to consider</w:t>
      </w:r>
    </w:p>
    <w:p>
      <w:pPr>
        <w:spacing w:after="60"/>
        <w:ind w:left="340"/>
      </w:pPr>
      <w:r>
        <w:rPr>
          <w:sz w:val="19"/>
        </w:rPr>
        <w:t xml:space="preserve">•  </w:t>
      </w:r>
      <w:r>
        <w:rPr>
          <w:i/>
          <w:color w:val="1F5A5C"/>
          <w:sz w:val="19"/>
        </w:rPr>
        <w:t>Which of these could you drop entirely if you were running out of time? Decide now, not at minute twelve.</w:t>
      </w:r>
    </w:p>
    <w:p>
      <w:pPr>
        <w:spacing w:after="60"/>
        <w:ind w:left="340"/>
      </w:pPr>
      <w:r>
        <w:rPr>
          <w:sz w:val="19"/>
        </w:rPr>
        <w:t xml:space="preserve">•  </w:t>
      </w:r>
      <w:r>
        <w:rPr>
          <w:i/>
          <w:color w:val="1F5A5C"/>
          <w:sz w:val="19"/>
        </w:rPr>
        <w:t>Sam has read both documents. What is the value of you being in the room — what can you say that the documents do not?</w:t>
      </w:r>
    </w:p>
    <w:p>
      <w:pPr>
        <w:spacing w:after="60"/>
        <w:ind w:left="340"/>
      </w:pPr>
      <w:r>
        <w:rPr>
          <w:sz w:val="19"/>
        </w:rPr>
        <w:t xml:space="preserve">•  </w:t>
      </w:r>
      <w:r>
        <w:rPr>
          <w:i/>
          <w:color w:val="1F5A5C"/>
          <w:sz w:val="19"/>
        </w:rPr>
        <w:t>The last row is the exclusions. Why would you volunteer what you did NOT do?</w:t>
      </w:r>
    </w:p>
    <w:p>
      <w:pPr>
        <w:spacing w:after="60"/>
        <w:ind w:left="340"/>
      </w:pPr>
      <w:r>
        <w:rPr>
          <w:sz w:val="19"/>
        </w:rPr>
        <w:t xml:space="preserve">•  </w:t>
      </w:r>
      <w:r>
        <w:rPr>
          <w:i/>
          <w:color w:val="1F5A5C"/>
          <w:sz w:val="19"/>
        </w:rPr>
        <w:t>Is there anything in your design you are least confident about? That is probably where you should spend a minute rather than hoping it is not raised.</w:t>
      </w:r>
    </w:p>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39</w:t>
      </w:r>
    </w:p>
    <w:p>
      <w:pPr>
        <w:pStyle w:val="Heading2"/>
      </w:pPr>
      <w:r>
        <w:rPr>
          <w:color w:val="1F5A5C"/>
        </w:rPr>
        <w:t>Anticipate the questions</w:t>
      </w:r>
    </w:p>
    <w:p>
      <w:pPr>
        <w:spacing w:after="120"/>
      </w:pPr>
      <w:r>
        <w:rPr>
          <w:b w:val="0"/>
          <w:i w:val="0"/>
          <w:sz w:val="21"/>
        </w:rPr>
        <w:t>Write down the questions you would ask if you were Sam, and your answer to each. The ones worth preparing are the ones where you made a choice someone could reasonably disagree with — that is exactly where you will be asked.</w:t>
      </w:r>
    </w:p>
    <w:p>
      <w:pPr>
        <w:spacing w:after="60"/>
      </w:pPr>
      <w:r>
        <w:rPr>
          <w:b w:val="0"/>
          <w:i/>
          <w:color w:val="6B6660"/>
          <w:sz w:val="18"/>
        </w:rPr>
        <w:t>The first row is filled in as an example — yours go underneath.</w:t>
      </w:r>
    </w:p>
    <w:tbl>
      <w:tblPr>
        <w:tblW w:type="auto" w:w="0"/>
        <w:tblLook w:firstColumn="1" w:firstRow="1" w:lastColumn="0" w:lastRow="0" w:noHBand="0" w:noVBand="1" w:val="04A0"/>
      </w:tblPr>
      <w:tblGrid>
        <w:gridCol w:w="4706"/>
        <w:gridCol w:w="4706"/>
      </w:tblGrid>
      <w:tr>
        <w:tc>
          <w:tcPr>
            <w:tcW w:type="dxa" w:w="4706"/>
            <w:tcBorders>
              <w:top w:val="single" w:sz="4" w:space="0" w:color="E4DED3"/>
              <w:left w:val="single" w:sz="4" w:space="0" w:color="E4DED3"/>
              <w:bottom w:val="single" w:sz="4" w:space="0" w:color="E4DED3"/>
              <w:right w:val="single" w:sz="4" w:space="0" w:color="E4DED3"/>
            </w:tcBorders>
            <w:shd w:val="clear" w:color="auto" w:fill="F8F4ED"/>
          </w:tcPr>
          <w:p>
            <w:r>
              <w:rPr>
                <w:b/>
                <w:sz w:val="18"/>
              </w:rPr>
              <w:t>Question you expect</w:t>
            </w:r>
          </w:p>
        </w:tc>
        <w:tc>
          <w:tcPr>
            <w:tcW w:type="dxa" w:w="4706"/>
            <w:tcBorders>
              <w:top w:val="single" w:sz="4" w:space="0" w:color="E4DED3"/>
              <w:left w:val="single" w:sz="4" w:space="0" w:color="E4DED3"/>
              <w:bottom w:val="single" w:sz="4" w:space="0" w:color="E4DED3"/>
              <w:right w:val="single" w:sz="4" w:space="0" w:color="E4DED3"/>
            </w:tcBorders>
            <w:shd w:val="clear" w:color="auto" w:fill="F8F4ED"/>
          </w:tcPr>
          <w:p>
            <w:r>
              <w:rPr>
                <w:b/>
                <w:sz w:val="18"/>
              </w:rPr>
              <w:t>Your answer</w:t>
            </w:r>
          </w:p>
        </w:tc>
      </w:tr>
      <w:tr>
        <w:tc>
          <w:tcPr>
            <w:tcW w:type="dxa" w:w="4706"/>
            <w:tcBorders>
              <w:top w:val="single" w:sz="4" w:space="0" w:color="E4DED3"/>
              <w:left w:val="single" w:sz="4" w:space="0" w:color="E4DED3"/>
              <w:bottom w:val="single" w:sz="4" w:space="0" w:color="E4DED3"/>
              <w:right w:val="single" w:sz="4" w:space="0" w:color="E4DED3"/>
            </w:tcBorders>
          </w:tcPr>
          <w:p>
            <w:r>
              <w:rPr>
                <w:i/>
                <w:color w:val="1F5A5C"/>
                <w:sz w:val="18"/>
              </w:rPr>
              <w:t>Do we have to move the whole LMS to India?</w:t>
            </w:r>
          </w:p>
        </w:tc>
        <w:tc>
          <w:tcPr>
            <w:tcW w:type="dxa" w:w="4706"/>
            <w:tcBorders>
              <w:top w:val="single" w:sz="4" w:space="0" w:color="E4DED3"/>
              <w:left w:val="single" w:sz="4" w:space="0" w:color="E4DED3"/>
              <w:bottom w:val="single" w:sz="4" w:space="0" w:color="E4DED3"/>
              <w:right w:val="single" w:sz="4" w:space="0" w:color="E4DED3"/>
            </w:tcBorders>
          </w:tcPr>
          <w:p>
            <w:r>
              <w:rPr>
                <w:i/>
                <w:color w:val="1F5A5C"/>
                <w:sz w:val="18"/>
              </w:rPr>
              <w:t>No — the obligation is on activity logs. The residency document is explicit that the main LMS data may stay in Australia. This is the shape to aim for: a direct answer, then the document it comes from.</w:t>
            </w:r>
          </w:p>
        </w:tc>
      </w:tr>
      <w:tr>
        <w:tc>
          <w:tcPr>
            <w:tcW w:type="dxa" w:w="4706"/>
            <w:tcBorders>
              <w:top w:val="single" w:sz="4" w:space="0" w:color="E4DED3"/>
              <w:left w:val="single" w:sz="4" w:space="0" w:color="E4DED3"/>
              <w:bottom w:val="single" w:sz="4" w:space="0" w:color="E4DED3"/>
              <w:right w:val="single" w:sz="4" w:space="0" w:color="E4DED3"/>
            </w:tcBorders>
          </w:tcPr>
          <w:p>
            <w:r>
              <w:rPr>
                <w:sz w:val="18"/>
              </w:rPr>
            </w:r>
          </w:p>
        </w:tc>
        <w:tc>
          <w:tcPr>
            <w:tcW w:type="dxa" w:w="4706"/>
            <w:tcBorders>
              <w:top w:val="single" w:sz="4" w:space="0" w:color="E4DED3"/>
              <w:left w:val="single" w:sz="4" w:space="0" w:color="E4DED3"/>
              <w:bottom w:val="single" w:sz="4" w:space="0" w:color="E4DED3"/>
              <w:right w:val="single" w:sz="4" w:space="0" w:color="E4DED3"/>
            </w:tcBorders>
          </w:tcPr>
          <w:p>
            <w:r>
              <w:rPr>
                <w:sz w:val="18"/>
              </w:rPr>
            </w:r>
          </w:p>
        </w:tc>
      </w:tr>
      <w:tr>
        <w:tc>
          <w:tcPr>
            <w:tcW w:type="dxa" w:w="4706"/>
            <w:tcBorders>
              <w:top w:val="single" w:sz="4" w:space="0" w:color="E4DED3"/>
              <w:left w:val="single" w:sz="4" w:space="0" w:color="E4DED3"/>
              <w:bottom w:val="single" w:sz="4" w:space="0" w:color="E4DED3"/>
              <w:right w:val="single" w:sz="4" w:space="0" w:color="E4DED3"/>
            </w:tcBorders>
          </w:tcPr>
          <w:p>
            <w:r>
              <w:rPr>
                <w:sz w:val="18"/>
              </w:rPr>
            </w:r>
          </w:p>
        </w:tc>
        <w:tc>
          <w:tcPr>
            <w:tcW w:type="dxa" w:w="4706"/>
            <w:tcBorders>
              <w:top w:val="single" w:sz="4" w:space="0" w:color="E4DED3"/>
              <w:left w:val="single" w:sz="4" w:space="0" w:color="E4DED3"/>
              <w:bottom w:val="single" w:sz="4" w:space="0" w:color="E4DED3"/>
              <w:right w:val="single" w:sz="4" w:space="0" w:color="E4DED3"/>
            </w:tcBorders>
          </w:tcPr>
          <w:p>
            <w:r>
              <w:rPr>
                <w:sz w:val="18"/>
              </w:rPr>
            </w:r>
          </w:p>
        </w:tc>
      </w:tr>
      <w:tr>
        <w:tc>
          <w:tcPr>
            <w:tcW w:type="dxa" w:w="4706"/>
            <w:tcBorders>
              <w:top w:val="single" w:sz="4" w:space="0" w:color="E4DED3"/>
              <w:left w:val="single" w:sz="4" w:space="0" w:color="E4DED3"/>
              <w:bottom w:val="single" w:sz="4" w:space="0" w:color="E4DED3"/>
              <w:right w:val="single" w:sz="4" w:space="0" w:color="E4DED3"/>
            </w:tcBorders>
          </w:tcPr>
          <w:p>
            <w:r>
              <w:rPr>
                <w:sz w:val="18"/>
              </w:rPr>
            </w:r>
          </w:p>
        </w:tc>
        <w:tc>
          <w:tcPr>
            <w:tcW w:type="dxa" w:w="4706"/>
            <w:tcBorders>
              <w:top w:val="single" w:sz="4" w:space="0" w:color="E4DED3"/>
              <w:left w:val="single" w:sz="4" w:space="0" w:color="E4DED3"/>
              <w:bottom w:val="single" w:sz="4" w:space="0" w:color="E4DED3"/>
              <w:right w:val="single" w:sz="4" w:space="0" w:color="E4DED3"/>
            </w:tcBorders>
          </w:tcPr>
          <w:p>
            <w:r>
              <w:rPr>
                <w:sz w:val="18"/>
              </w:rPr>
            </w:r>
          </w:p>
        </w:tc>
      </w:tr>
      <w:tr>
        <w:tc>
          <w:tcPr>
            <w:tcW w:type="dxa" w:w="4706"/>
            <w:tcBorders>
              <w:top w:val="single" w:sz="4" w:space="0" w:color="E4DED3"/>
              <w:left w:val="single" w:sz="4" w:space="0" w:color="E4DED3"/>
              <w:bottom w:val="single" w:sz="4" w:space="0" w:color="E4DED3"/>
              <w:right w:val="single" w:sz="4" w:space="0" w:color="E4DED3"/>
            </w:tcBorders>
          </w:tcPr>
          <w:p>
            <w:r>
              <w:rPr>
                <w:sz w:val="18"/>
              </w:rPr>
            </w:r>
          </w:p>
        </w:tc>
        <w:tc>
          <w:tcPr>
            <w:tcW w:type="dxa" w:w="4706"/>
            <w:tcBorders>
              <w:top w:val="single" w:sz="4" w:space="0" w:color="E4DED3"/>
              <w:left w:val="single" w:sz="4" w:space="0" w:color="E4DED3"/>
              <w:bottom w:val="single" w:sz="4" w:space="0" w:color="E4DED3"/>
              <w:right w:val="single" w:sz="4" w:space="0" w:color="E4DED3"/>
            </w:tcBorders>
          </w:tcPr>
          <w:p>
            <w:r>
              <w:rPr>
                <w:sz w:val="18"/>
              </w:rPr>
            </w:r>
          </w:p>
        </w:tc>
      </w:tr>
      <w:tr>
        <w:tc>
          <w:tcPr>
            <w:tcW w:type="dxa" w:w="4706"/>
            <w:tcBorders>
              <w:top w:val="single" w:sz="4" w:space="0" w:color="E4DED3"/>
              <w:left w:val="single" w:sz="4" w:space="0" w:color="E4DED3"/>
              <w:bottom w:val="single" w:sz="4" w:space="0" w:color="E4DED3"/>
              <w:right w:val="single" w:sz="4" w:space="0" w:color="E4DED3"/>
            </w:tcBorders>
          </w:tcPr>
          <w:p>
            <w:r>
              <w:rPr>
                <w:sz w:val="18"/>
              </w:rPr>
            </w:r>
          </w:p>
        </w:tc>
        <w:tc>
          <w:tcPr>
            <w:tcW w:type="dxa" w:w="4706"/>
            <w:tcBorders>
              <w:top w:val="single" w:sz="4" w:space="0" w:color="E4DED3"/>
              <w:left w:val="single" w:sz="4" w:space="0" w:color="E4DED3"/>
              <w:bottom w:val="single" w:sz="4" w:space="0" w:color="E4DED3"/>
              <w:right w:val="single" w:sz="4" w:space="0" w:color="E4DED3"/>
            </w:tcBorders>
          </w:tcPr>
          <w:p>
            <w:r>
              <w:rPr>
                <w:sz w:val="18"/>
              </w:rPr>
            </w:r>
          </w:p>
        </w:tc>
      </w:tr>
      <w:tr>
        <w:tc>
          <w:tcPr>
            <w:tcW w:type="dxa" w:w="4706"/>
            <w:tcBorders>
              <w:top w:val="single" w:sz="4" w:space="0" w:color="E4DED3"/>
              <w:left w:val="single" w:sz="4" w:space="0" w:color="E4DED3"/>
              <w:bottom w:val="single" w:sz="4" w:space="0" w:color="E4DED3"/>
              <w:right w:val="single" w:sz="4" w:space="0" w:color="E4DED3"/>
            </w:tcBorders>
          </w:tcPr>
          <w:p>
            <w:r>
              <w:rPr>
                <w:sz w:val="18"/>
              </w:rPr>
            </w:r>
          </w:p>
        </w:tc>
        <w:tc>
          <w:tcPr>
            <w:tcW w:type="dxa" w:w="4706"/>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19"/>
        </w:rPr>
        <w:t>Things to consider</w:t>
      </w:r>
    </w:p>
    <w:p>
      <w:pPr>
        <w:spacing w:after="60"/>
        <w:ind w:left="340"/>
      </w:pPr>
      <w:r>
        <w:rPr>
          <w:sz w:val="19"/>
        </w:rPr>
        <w:t xml:space="preserve">•  </w:t>
      </w:r>
      <w:r>
        <w:rPr>
          <w:i/>
          <w:color w:val="1F5A5C"/>
          <w:sz w:val="19"/>
        </w:rPr>
        <w:t>Go through your own design looking for decisions with a defensible alternative. Each one is a question.</w:t>
      </w:r>
    </w:p>
    <w:p>
      <w:pPr>
        <w:spacing w:after="60"/>
        <w:ind w:left="340"/>
      </w:pPr>
      <w:r>
        <w:rPr>
          <w:sz w:val="19"/>
        </w:rPr>
        <w:t xml:space="preserve">•  </w:t>
      </w:r>
      <w:r>
        <w:rPr>
          <w:i/>
          <w:color w:val="1F5A5C"/>
          <w:sz w:val="19"/>
        </w:rPr>
        <w:t>What does this cost YAT to run? You will be asked, and 'I did not cost it' is a worse answer than a rough one with its basis stated.</w:t>
      </w:r>
    </w:p>
    <w:p>
      <w:pPr>
        <w:spacing w:after="60"/>
        <w:ind w:left="340"/>
      </w:pPr>
      <w:r>
        <w:rPr>
          <w:sz w:val="19"/>
        </w:rPr>
        <w:t xml:space="preserve">•  </w:t>
      </w:r>
      <w:r>
        <w:rPr>
          <w:i/>
          <w:color w:val="1F5A5C"/>
          <w:sz w:val="19"/>
        </w:rPr>
        <w:t>What happens if the audit-log service is down for an hour? You answered this in Part A task 19 — can you say it out loud in fifteen seconds?</w:t>
      </w:r>
    </w:p>
    <w:p>
      <w:pPr>
        <w:spacing w:after="60"/>
        <w:ind w:left="340"/>
      </w:pPr>
      <w:r>
        <w:rPr>
          <w:sz w:val="19"/>
        </w:rPr>
        <w:t xml:space="preserve">•  </w:t>
      </w:r>
      <w:r>
        <w:rPr>
          <w:i/>
          <w:color w:val="1F5A5C"/>
          <w:sz w:val="19"/>
        </w:rPr>
        <w:t>'How do we know the plan works?' is the question with the uncomfortable answer. What is it?</w:t>
      </w:r>
    </w:p>
    <w:p>
      <w:pPr>
        <w:spacing w:after="60"/>
        <w:ind w:left="340"/>
      </w:pPr>
      <w:r>
        <w:rPr>
          <w:sz w:val="19"/>
        </w:rPr>
        <w:t xml:space="preserve">•  </w:t>
      </w:r>
      <w:r>
        <w:rPr>
          <w:i/>
          <w:color w:val="1F5A5C"/>
          <w:sz w:val="19"/>
        </w:rPr>
        <w:t>Which question would you least like to be asked? Prepare that one first.</w:t>
      </w:r>
    </w:p>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40</w:t>
      </w:r>
    </w:p>
    <w:p>
      <w:pPr>
        <w:pStyle w:val="Heading2"/>
      </w:pPr>
      <w:r>
        <w:rPr>
          <w:color w:val="1F5A5C"/>
        </w:rPr>
        <w:t>The walkthrough</w:t>
      </w:r>
    </w:p>
    <w:p>
      <w:pPr>
        <w:spacing w:after="120"/>
      </w:pPr>
      <w:r>
        <w:rPr>
          <w:b w:val="0"/>
          <w:i w:val="0"/>
          <w:sz w:val="21"/>
        </w:rPr>
        <w:t>Do it. Then record the session: when it happened, who was there, and what you actually covered. Fill this in immediately afterwards, while you remember it.</w:t>
      </w:r>
    </w:p>
    <w:p>
      <w:pPr>
        <w:spacing w:after="60"/>
      </w:pPr>
      <w:r>
        <w:rPr>
          <w:b w:val="0"/>
          <w:i/>
          <w:color w:val="6B6660"/>
          <w:sz w:val="18"/>
        </w:rPr>
        <w:t>The first row is filled in as an example — yours go underneath.</w:t>
      </w:r>
    </w:p>
    <w:tbl>
      <w:tblPr>
        <w:tblW w:type="auto" w:w="0"/>
        <w:tblLook w:firstColumn="1" w:firstRow="1" w:lastColumn="0" w:lastRow="0" w:noHBand="0" w:noVBand="1" w:val="04A0"/>
      </w:tblPr>
      <w:tblGrid>
        <w:gridCol w:w="4706"/>
        <w:gridCol w:w="4706"/>
      </w:tblGrid>
      <w:tr>
        <w:tc>
          <w:tcPr>
            <w:tcW w:type="dxa" w:w="4706"/>
            <w:tcBorders>
              <w:top w:val="single" w:sz="4" w:space="0" w:color="E4DED3"/>
              <w:left w:val="single" w:sz="4" w:space="0" w:color="E4DED3"/>
              <w:bottom w:val="single" w:sz="4" w:space="0" w:color="E4DED3"/>
              <w:right w:val="single" w:sz="4" w:space="0" w:color="E4DED3"/>
            </w:tcBorders>
            <w:shd w:val="clear" w:color="auto" w:fill="F8F4ED"/>
          </w:tcPr>
          <w:p>
            <w:r>
              <w:rPr>
                <w:b/>
                <w:sz w:val="18"/>
              </w:rPr>
              <w:t>Record</w:t>
            </w:r>
          </w:p>
        </w:tc>
        <w:tc>
          <w:tcPr>
            <w:tcW w:type="dxa" w:w="4706"/>
            <w:tcBorders>
              <w:top w:val="single" w:sz="4" w:space="0" w:color="E4DED3"/>
              <w:left w:val="single" w:sz="4" w:space="0" w:color="E4DED3"/>
              <w:bottom w:val="single" w:sz="4" w:space="0" w:color="E4DED3"/>
              <w:right w:val="single" w:sz="4" w:space="0" w:color="E4DED3"/>
            </w:tcBorders>
            <w:shd w:val="clear" w:color="auto" w:fill="F8F4ED"/>
          </w:tcPr>
          <w:p>
            <w:r>
              <w:rPr>
                <w:b/>
                <w:sz w:val="18"/>
              </w:rPr>
              <w:t>Your entry</w:t>
            </w:r>
          </w:p>
        </w:tc>
      </w:tr>
      <w:tr>
        <w:tc>
          <w:tcPr>
            <w:tcW w:type="dxa" w:w="4706"/>
            <w:tcBorders>
              <w:top w:val="single" w:sz="4" w:space="0" w:color="E4DED3"/>
              <w:left w:val="single" w:sz="4" w:space="0" w:color="E4DED3"/>
              <w:bottom w:val="single" w:sz="4" w:space="0" w:color="E4DED3"/>
              <w:right w:val="single" w:sz="4" w:space="0" w:color="E4DED3"/>
            </w:tcBorders>
          </w:tcPr>
          <w:p>
            <w:r>
              <w:rPr>
                <w:i/>
                <w:color w:val="1F5A5C"/>
                <w:sz w:val="18"/>
              </w:rPr>
              <w:t>What you covered</w:t>
            </w:r>
          </w:p>
        </w:tc>
        <w:tc>
          <w:tcPr>
            <w:tcW w:type="dxa" w:w="4706"/>
            <w:tcBorders>
              <w:top w:val="single" w:sz="4" w:space="0" w:color="E4DED3"/>
              <w:left w:val="single" w:sz="4" w:space="0" w:color="E4DED3"/>
              <w:bottom w:val="single" w:sz="4" w:space="0" w:color="E4DED3"/>
              <w:right w:val="single" w:sz="4" w:space="0" w:color="E4DED3"/>
            </w:tcBorders>
          </w:tcPr>
          <w:p>
            <w:r>
              <w:rPr>
                <w:i/>
                <w:color w:val="1F5A5C"/>
                <w:sz w:val="18"/>
              </w:rPr>
              <w:t>per your task 38 plan, noting anything you changed on the day — and something always changes on the day, which is worth recording rather than tidying away</w:t>
            </w:r>
          </w:p>
        </w:tc>
      </w:tr>
      <w:tr>
        <w:tc>
          <w:tcPr>
            <w:tcW w:type="dxa" w:w="4706"/>
            <w:tcBorders>
              <w:top w:val="single" w:sz="4" w:space="0" w:color="E4DED3"/>
              <w:left w:val="single" w:sz="4" w:space="0" w:color="E4DED3"/>
              <w:bottom w:val="single" w:sz="4" w:space="0" w:color="E4DED3"/>
              <w:right w:val="single" w:sz="4" w:space="0" w:color="E4DED3"/>
            </w:tcBorders>
          </w:tcPr>
          <w:p>
            <w:r>
              <w:rPr>
                <w:sz w:val="18"/>
              </w:rPr>
              <w:t>Date and time of the session</w:t>
            </w:r>
          </w:p>
        </w:tc>
        <w:tc>
          <w:tcPr>
            <w:tcW w:type="dxa" w:w="4706"/>
            <w:tcBorders>
              <w:top w:val="single" w:sz="4" w:space="0" w:color="E4DED3"/>
              <w:left w:val="single" w:sz="4" w:space="0" w:color="E4DED3"/>
              <w:bottom w:val="single" w:sz="4" w:space="0" w:color="E4DED3"/>
              <w:right w:val="single" w:sz="4" w:space="0" w:color="E4DED3"/>
            </w:tcBorders>
          </w:tcPr>
          <w:p>
            <w:r>
              <w:rPr>
                <w:sz w:val="18"/>
              </w:rPr>
            </w:r>
          </w:p>
        </w:tc>
      </w:tr>
      <w:tr>
        <w:tc>
          <w:tcPr>
            <w:tcW w:type="dxa" w:w="4706"/>
            <w:tcBorders>
              <w:top w:val="single" w:sz="4" w:space="0" w:color="E4DED3"/>
              <w:left w:val="single" w:sz="4" w:space="0" w:color="E4DED3"/>
              <w:bottom w:val="single" w:sz="4" w:space="0" w:color="E4DED3"/>
              <w:right w:val="single" w:sz="4" w:space="0" w:color="E4DED3"/>
            </w:tcBorders>
          </w:tcPr>
          <w:p>
            <w:r>
              <w:rPr>
                <w:sz w:val="18"/>
              </w:rPr>
              <w:t>Who played Sam, and who else was there</w:t>
            </w:r>
          </w:p>
        </w:tc>
        <w:tc>
          <w:tcPr>
            <w:tcW w:type="dxa" w:w="4706"/>
            <w:tcBorders>
              <w:top w:val="single" w:sz="4" w:space="0" w:color="E4DED3"/>
              <w:left w:val="single" w:sz="4" w:space="0" w:color="E4DED3"/>
              <w:bottom w:val="single" w:sz="4" w:space="0" w:color="E4DED3"/>
              <w:right w:val="single" w:sz="4" w:space="0" w:color="E4DED3"/>
            </w:tcBorders>
          </w:tcPr>
          <w:p>
            <w:r>
              <w:rPr>
                <w:sz w:val="18"/>
              </w:rPr>
            </w:r>
          </w:p>
        </w:tc>
      </w:tr>
      <w:tr>
        <w:tc>
          <w:tcPr>
            <w:tcW w:type="dxa" w:w="4706"/>
            <w:tcBorders>
              <w:top w:val="single" w:sz="4" w:space="0" w:color="E4DED3"/>
              <w:left w:val="single" w:sz="4" w:space="0" w:color="E4DED3"/>
              <w:bottom w:val="single" w:sz="4" w:space="0" w:color="E4DED3"/>
              <w:right w:val="single" w:sz="4" w:space="0" w:color="E4DED3"/>
            </w:tcBorders>
          </w:tcPr>
          <w:p>
            <w:r>
              <w:rPr>
                <w:sz w:val="18"/>
              </w:rPr>
              <w:t>Documents you walked through</w:t>
            </w:r>
          </w:p>
        </w:tc>
        <w:tc>
          <w:tcPr>
            <w:tcW w:type="dxa" w:w="4706"/>
            <w:tcBorders>
              <w:top w:val="single" w:sz="4" w:space="0" w:color="E4DED3"/>
              <w:left w:val="single" w:sz="4" w:space="0" w:color="E4DED3"/>
              <w:bottom w:val="single" w:sz="4" w:space="0" w:color="E4DED3"/>
              <w:right w:val="single" w:sz="4" w:space="0" w:color="E4DED3"/>
            </w:tcBorders>
          </w:tcPr>
          <w:p>
            <w:r>
              <w:rPr>
                <w:sz w:val="18"/>
              </w:rPr>
            </w:r>
          </w:p>
        </w:tc>
      </w:tr>
      <w:tr>
        <w:tc>
          <w:tcPr>
            <w:tcW w:type="dxa" w:w="4706"/>
            <w:tcBorders>
              <w:top w:val="single" w:sz="4" w:space="0" w:color="E4DED3"/>
              <w:left w:val="single" w:sz="4" w:space="0" w:color="E4DED3"/>
              <w:bottom w:val="single" w:sz="4" w:space="0" w:color="E4DED3"/>
              <w:right w:val="single" w:sz="4" w:space="0" w:color="E4DED3"/>
            </w:tcBorders>
          </w:tcPr>
          <w:p>
            <w:r>
              <w:rPr>
                <w:sz w:val="18"/>
              </w:rPr>
              <w:t>Questions you were asked</w:t>
            </w:r>
          </w:p>
        </w:tc>
        <w:tc>
          <w:tcPr>
            <w:tcW w:type="dxa" w:w="4706"/>
            <w:tcBorders>
              <w:top w:val="single" w:sz="4" w:space="0" w:color="E4DED3"/>
              <w:left w:val="single" w:sz="4" w:space="0" w:color="E4DED3"/>
              <w:bottom w:val="single" w:sz="4" w:space="0" w:color="E4DED3"/>
              <w:right w:val="single" w:sz="4" w:space="0" w:color="E4DED3"/>
            </w:tcBorders>
          </w:tcPr>
          <w:p>
            <w:r>
              <w:rPr>
                <w:sz w:val="18"/>
              </w:rPr>
            </w:r>
          </w:p>
        </w:tc>
      </w:tr>
      <w:tr>
        <w:tc>
          <w:tcPr>
            <w:tcW w:type="dxa" w:w="4706"/>
            <w:tcBorders>
              <w:top w:val="single" w:sz="4" w:space="0" w:color="E4DED3"/>
              <w:left w:val="single" w:sz="4" w:space="0" w:color="E4DED3"/>
              <w:bottom w:val="single" w:sz="4" w:space="0" w:color="E4DED3"/>
              <w:right w:val="single" w:sz="4" w:space="0" w:color="E4DED3"/>
            </w:tcBorders>
          </w:tcPr>
          <w:p>
            <w:r>
              <w:rPr>
                <w:sz w:val="18"/>
              </w:rPr>
            </w:r>
          </w:p>
        </w:tc>
        <w:tc>
          <w:tcPr>
            <w:tcW w:type="dxa" w:w="4706"/>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21"/>
        </w:rPr>
        <w:t>How to do it</w:t>
      </w:r>
    </w:p>
    <w:p>
      <w:pPr>
        <w:spacing w:after="40"/>
        <w:ind w:left="340"/>
      </w:pPr>
      <w:r>
        <w:rPr>
          <w:b/>
          <w:sz w:val="20"/>
        </w:rPr>
        <w:t xml:space="preserve">1.  </w:t>
      </w:r>
      <w:r>
        <w:rPr>
          <w:sz w:val="20"/>
        </w:rPr>
        <w:t>Open with why the engagement exists. One sentence, then move.</w:t>
      </w:r>
    </w:p>
    <w:p>
      <w:pPr>
        <w:spacing w:after="40"/>
        <w:ind w:left="340"/>
      </w:pPr>
      <w:r>
        <w:rPr>
          <w:b/>
          <w:sz w:val="20"/>
        </w:rPr>
        <w:t xml:space="preserve">2.  </w:t>
      </w:r>
      <w:r>
        <w:rPr>
          <w:sz w:val="20"/>
        </w:rPr>
        <w:t>Walk the design at the level of decisions, not components. 'I put an edge layer in front of the load balancer because the India cohort is 10,000 km from Sydney' — not a tour of the diagram.</w:t>
      </w:r>
    </w:p>
    <w:p>
      <w:pPr>
        <w:spacing w:after="40"/>
        <w:ind w:left="340"/>
      </w:pPr>
      <w:r>
        <w:rPr>
          <w:b/>
          <w:sz w:val="20"/>
        </w:rPr>
        <w:t xml:space="preserve">3.  </w:t>
      </w:r>
      <w:r>
        <w:rPr>
          <w:sz w:val="20"/>
        </w:rPr>
        <w:t>When you reach the recovery strategy, give the recommendation first and the reasoning second. Sam wants to know what you are recommending before why.</w:t>
      </w:r>
    </w:p>
    <w:p>
      <w:pPr>
        <w:spacing w:after="40"/>
        <w:ind w:left="340"/>
      </w:pPr>
      <w:r>
        <w:rPr>
          <w:b/>
          <w:sz w:val="20"/>
        </w:rPr>
        <w:t xml:space="preserve">4.  </w:t>
      </w:r>
      <w:r>
        <w:rPr>
          <w:sz w:val="20"/>
        </w:rPr>
        <w:t>Do not read from the document. Look at your listener. The document is in front of them already.</w:t>
      </w:r>
    </w:p>
    <w:p>
      <w:pPr>
        <w:spacing w:after="40"/>
        <w:ind w:left="340"/>
      </w:pPr>
      <w:r>
        <w:rPr>
          <w:b/>
          <w:sz w:val="20"/>
        </w:rPr>
        <w:t xml:space="preserve">5.  </w:t>
      </w:r>
      <w:r>
        <w:rPr>
          <w:sz w:val="20"/>
        </w:rPr>
        <w:t>When you are asked something you do not know, say so and say what you would do to find out. Inventing an answer in front of a client is the one unrecoverable move.</w:t>
      </w:r>
    </w:p>
    <w:p>
      <w:pPr>
        <w:spacing w:after="40"/>
        <w:ind w:left="340"/>
      </w:pPr>
      <w:r>
        <w:rPr>
          <w:b/>
          <w:sz w:val="20"/>
        </w:rPr>
        <w:t xml:space="preserve">6.  </w:t>
      </w:r>
      <w:r>
        <w:rPr>
          <w:sz w:val="20"/>
        </w:rPr>
        <w:t>Ask for approval to proceed to implementation. Out loud. In those words.</w:t>
      </w:r>
    </w:p>
    <w:p>
      <w:pPr>
        <w:spacing w:after="40"/>
        <w:ind w:left="340"/>
      </w:pPr>
      <w:r>
        <w:rPr>
          <w:b/>
          <w:sz w:val="20"/>
        </w:rPr>
        <w:t xml:space="preserve">7.  </w:t>
      </w:r>
      <w:r>
        <w:rPr>
          <w:sz w:val="20"/>
        </w:rPr>
        <w:t>Afterwards, before you do anything else, fill in the table above.</w:t>
      </w:r>
    </w:p>
    <w:p/>
    <w:p>
      <w:pPr>
        <w:spacing w:after="60"/>
      </w:pPr>
      <w:r>
        <w:rPr>
          <w:b/>
          <w:i w:val="0"/>
          <w:sz w:val="19"/>
        </w:rPr>
        <w:t>Things to consider</w:t>
      </w:r>
    </w:p>
    <w:p>
      <w:pPr>
        <w:spacing w:after="60"/>
        <w:ind w:left="340"/>
      </w:pPr>
      <w:r>
        <w:rPr>
          <w:sz w:val="19"/>
        </w:rPr>
        <w:t xml:space="preserve">•  </w:t>
      </w:r>
      <w:r>
        <w:rPr>
          <w:i/>
          <w:color w:val="1F5A5C"/>
          <w:sz w:val="19"/>
        </w:rPr>
        <w:t>How did the timing go? If you overran, what would you cut next time?</w:t>
      </w:r>
    </w:p>
    <w:p>
      <w:pPr>
        <w:spacing w:after="60"/>
        <w:ind w:left="340"/>
      </w:pPr>
      <w:r>
        <w:rPr>
          <w:sz w:val="19"/>
        </w:rPr>
        <w:t xml:space="preserve">•  </w:t>
      </w:r>
      <w:r>
        <w:rPr>
          <w:i/>
          <w:color w:val="1F5A5C"/>
          <w:sz w:val="19"/>
        </w:rPr>
        <w:t>Which question did you answer worst? That is the most useful thing you will learn today.</w:t>
      </w:r>
    </w:p>
    <w:p>
      <w:pPr>
        <w:spacing w:after="60"/>
        <w:ind w:left="340"/>
      </w:pPr>
      <w:r>
        <w:rPr>
          <w:sz w:val="19"/>
        </w:rPr>
        <w:t xml:space="preserve">•  </w:t>
      </w:r>
      <w:r>
        <w:rPr>
          <w:i/>
          <w:color w:val="1F5A5C"/>
          <w:sz w:val="19"/>
        </w:rPr>
        <w:t>Did you explain a decision, or describe a design? There is a large difference and your listener felt it.</w:t>
      </w:r>
    </w:p>
    <w:p>
      <w:pPr>
        <w:spacing w:after="60"/>
        <w:ind w:left="340"/>
      </w:pPr>
      <w:r>
        <w:rPr>
          <w:sz w:val="19"/>
        </w:rPr>
        <w:t xml:space="preserve">•  </w:t>
      </w:r>
      <w:r>
        <w:rPr>
          <w:i/>
          <w:color w:val="1F5A5C"/>
          <w:sz w:val="19"/>
        </w:rPr>
        <w:t>Did you actually ask for approval, or did you stop talking and wait?</w:t>
      </w:r>
    </w:p>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41</w:t>
      </w:r>
    </w:p>
    <w:p>
      <w:pPr>
        <w:pStyle w:val="Heading2"/>
      </w:pPr>
      <w:r>
        <w:rPr>
          <w:color w:val="1F5A5C"/>
        </w:rPr>
        <w:t>Feedback sought, and your response</w:t>
      </w:r>
    </w:p>
    <w:p>
      <w:pPr>
        <w:spacing w:after="120"/>
      </w:pPr>
      <w:r>
        <w:rPr>
          <w:b w:val="0"/>
          <w:i w:val="0"/>
          <w:sz w:val="21"/>
        </w:rPr>
        <w:t>Record the feedback Sam gave you and what you did about it. Whoever is playing Sam should give you at least one thing to change — that is the point of an approval gate. For each item, say what you were told, what you decided to do, and if you disagreed, say that and why.</w:t>
      </w:r>
    </w:p>
    <w:p>
      <w:pPr>
        <w:spacing w:after="60"/>
      </w:pPr>
      <w:r>
        <w:rPr>
          <w:b w:val="0"/>
          <w:i/>
          <w:color w:val="6B6660"/>
          <w:sz w:val="18"/>
        </w:rPr>
        <w:t>The first row is filled in as an example — yours go underneath.</w:t>
      </w:r>
    </w:p>
    <w:tbl>
      <w:tblPr>
        <w:tblW w:type="auto" w:w="0"/>
        <w:tblLook w:firstColumn="1" w:firstRow="1" w:lastColumn="0" w:lastRow="0" w:noHBand="0" w:noVBand="1" w:val="04A0"/>
      </w:tblPr>
      <w:tblGrid>
        <w:gridCol w:w="3137"/>
        <w:gridCol w:w="3137"/>
        <w:gridCol w:w="3137"/>
      </w:tblGrid>
      <w:tr>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Feedback from Sam</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Your response</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Change made?</w:t>
            </w:r>
          </w:p>
        </w:tc>
      </w:tr>
      <w:tr>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e.g. the recovery steps do not say who re-establishes the campus VPN link</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accepted — assigned to YAT ICT and added as its own step with a duration</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Yes. The pattern matters: what you were told, what you decided, and whether anything actually changed.</w:t>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19"/>
        </w:rPr>
        <w:t>Things to consider</w:t>
      </w:r>
    </w:p>
    <w:p>
      <w:pPr>
        <w:spacing w:after="60"/>
        <w:ind w:left="340"/>
      </w:pPr>
      <w:r>
        <w:rPr>
          <w:sz w:val="19"/>
        </w:rPr>
        <w:t xml:space="preserve">•  </w:t>
      </w:r>
      <w:r>
        <w:rPr>
          <w:i/>
          <w:color w:val="1F5A5C"/>
          <w:sz w:val="19"/>
        </w:rPr>
        <w:t>Did you ASK for feedback, or wait to be corrected? They are different things and only one of them is what the assessment is looking for.</w:t>
      </w:r>
    </w:p>
    <w:p>
      <w:pPr>
        <w:spacing w:after="60"/>
        <w:ind w:left="340"/>
      </w:pPr>
      <w:r>
        <w:rPr>
          <w:sz w:val="19"/>
        </w:rPr>
        <w:t xml:space="preserve">•  </w:t>
      </w:r>
      <w:r>
        <w:rPr>
          <w:i/>
          <w:color w:val="1F5A5C"/>
          <w:sz w:val="19"/>
        </w:rPr>
        <w:t>Agreeing with everything is not responding to feedback. Was there anything you should have pushed back on?</w:t>
      </w:r>
    </w:p>
    <w:p>
      <w:pPr>
        <w:spacing w:after="60"/>
        <w:ind w:left="340"/>
      </w:pPr>
      <w:r>
        <w:rPr>
          <w:sz w:val="19"/>
        </w:rPr>
        <w:t xml:space="preserve">•  </w:t>
      </w:r>
      <w:r>
        <w:rPr>
          <w:i/>
          <w:color w:val="1F5A5C"/>
          <w:sz w:val="19"/>
        </w:rPr>
        <w:t>A reasoned disagreement, recorded, is a perfectly good response. What would one look like here?</w:t>
      </w:r>
    </w:p>
    <w:p>
      <w:pPr>
        <w:spacing w:after="60"/>
        <w:ind w:left="340"/>
      </w:pPr>
      <w:r>
        <w:rPr>
          <w:sz w:val="19"/>
        </w:rPr>
        <w:t xml:space="preserve">•  </w:t>
      </w:r>
      <w:r>
        <w:rPr>
          <w:i/>
          <w:color w:val="1F5A5C"/>
          <w:sz w:val="19"/>
        </w:rPr>
        <w:t>Go and make one of the changes now, while you remember why.</w:t>
      </w:r>
    </w:p>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42</w:t>
      </w:r>
    </w:p>
    <w:p>
      <w:pPr>
        <w:pStyle w:val="Heading2"/>
      </w:pPr>
      <w:r>
        <w:rPr>
          <w:color w:val="1F5A5C"/>
        </w:rPr>
        <w:t>Lodge the plan</w:t>
      </w:r>
    </w:p>
    <w:p>
      <w:pPr>
        <w:spacing w:after="120"/>
      </w:pPr>
      <w:r>
        <w:rPr>
          <w:b w:val="0"/>
          <w:i w:val="0"/>
          <w:sz w:val="21"/>
        </w:rPr>
        <w:t>Work out how you would lodge the approved plan the way YAT requires. Read the Records Management Policy and follow it — record where it would be lodged, under what classification, and who can retrieve it. Nothing is really being filed here; what is being practised is reading a policy and doing what it says rather than what seems reasonable.</w:t>
      </w:r>
    </w:p>
    <w:p>
      <w:pPr>
        <w:spacing w:after="60"/>
      </w:pPr>
      <w:r>
        <w:rPr>
          <w:b/>
          <w:i w:val="0"/>
          <w:sz w:val="19"/>
        </w:rPr>
        <w:t>Related resources</w:t>
      </w:r>
    </w:p>
    <w:p>
      <w:pPr>
        <w:spacing w:after="60"/>
        <w:ind w:left="340"/>
      </w:pPr>
      <w:r>
        <w:rPr>
          <w:sz w:val="19"/>
        </w:rPr>
        <w:t xml:space="preserve">•  </w:t>
      </w:r>
      <w:hyperlink r:id="rId23">
        <w:r>
          <w:rPr>
            <w:sz w:val="19"/>
            <w:color w:val="0563C1"/>
            <w:u w:val="single"/>
          </w:rPr>
          <w:t>Records Management Policy — where a completed engagement document is lodged, and how it is retained</w:t>
        </w:r>
      </w:hyperlink>
    </w:p>
    <w:p/>
    <w:p>
      <w:pPr>
        <w:spacing w:after="60"/>
      </w:pPr>
      <w:r>
        <w:rPr>
          <w:b w:val="0"/>
          <w:i/>
          <w:color w:val="6B6660"/>
          <w:sz w:val="18"/>
        </w:rPr>
        <w:t>The first row is filled in as an example — yours go underneath.</w:t>
      </w:r>
    </w:p>
    <w:tbl>
      <w:tblPr>
        <w:tblW w:type="auto" w:w="0"/>
        <w:tblLook w:firstColumn="1" w:firstRow="1" w:lastColumn="0" w:lastRow="0" w:noHBand="0" w:noVBand="1" w:val="04A0"/>
      </w:tblPr>
      <w:tblGrid>
        <w:gridCol w:w="4706"/>
        <w:gridCol w:w="4706"/>
      </w:tblGrid>
      <w:tr>
        <w:tc>
          <w:tcPr>
            <w:tcW w:type="dxa" w:w="4706"/>
            <w:tcBorders>
              <w:top w:val="single" w:sz="4" w:space="0" w:color="E4DED3"/>
              <w:left w:val="single" w:sz="4" w:space="0" w:color="E4DED3"/>
              <w:bottom w:val="single" w:sz="4" w:space="0" w:color="E4DED3"/>
              <w:right w:val="single" w:sz="4" w:space="0" w:color="E4DED3"/>
            </w:tcBorders>
            <w:shd w:val="clear" w:color="auto" w:fill="F8F4ED"/>
          </w:tcPr>
          <w:p>
            <w:r>
              <w:rPr>
                <w:b/>
                <w:sz w:val="18"/>
              </w:rPr>
              <w:t>Lodgement record</w:t>
            </w:r>
          </w:p>
        </w:tc>
        <w:tc>
          <w:tcPr>
            <w:tcW w:type="dxa" w:w="4706"/>
            <w:tcBorders>
              <w:top w:val="single" w:sz="4" w:space="0" w:color="E4DED3"/>
              <w:left w:val="single" w:sz="4" w:space="0" w:color="E4DED3"/>
              <w:bottom w:val="single" w:sz="4" w:space="0" w:color="E4DED3"/>
              <w:right w:val="single" w:sz="4" w:space="0" w:color="E4DED3"/>
            </w:tcBorders>
            <w:shd w:val="clear" w:color="auto" w:fill="F8F4ED"/>
          </w:tcPr>
          <w:p>
            <w:r>
              <w:rPr>
                <w:b/>
                <w:sz w:val="18"/>
              </w:rPr>
              <w:t>Your entry</w:t>
            </w:r>
          </w:p>
        </w:tc>
      </w:tr>
      <w:tr>
        <w:tc>
          <w:tcPr>
            <w:tcW w:type="dxa" w:w="4706"/>
            <w:tcBorders>
              <w:top w:val="single" w:sz="4" w:space="0" w:color="E4DED3"/>
              <w:left w:val="single" w:sz="4" w:space="0" w:color="E4DED3"/>
              <w:bottom w:val="single" w:sz="4" w:space="0" w:color="E4DED3"/>
              <w:right w:val="single" w:sz="4" w:space="0" w:color="E4DED3"/>
            </w:tcBorders>
          </w:tcPr>
          <w:p>
            <w:r>
              <w:rPr>
                <w:i/>
                <w:color w:val="1F5A5C"/>
                <w:sz w:val="18"/>
              </w:rPr>
              <w:t>Who can retrieve it, and how, during an outage</w:t>
            </w:r>
          </w:p>
        </w:tc>
        <w:tc>
          <w:tcPr>
            <w:tcW w:type="dxa" w:w="4706"/>
            <w:tcBorders>
              <w:top w:val="single" w:sz="4" w:space="0" w:color="E4DED3"/>
              <w:left w:val="single" w:sz="4" w:space="0" w:color="E4DED3"/>
              <w:bottom w:val="single" w:sz="4" w:space="0" w:color="E4DED3"/>
              <w:right w:val="single" w:sz="4" w:space="0" w:color="E4DED3"/>
            </w:tcBorders>
          </w:tcPr>
          <w:p>
            <w:r>
              <w:rPr>
                <w:i/>
                <w:color w:val="1F5A5C"/>
                <w:sz w:val="18"/>
              </w:rPr>
              <w:t>named roles, and a copy held outside the primary region — the point you made yourself in Part B task 32, which is why this row is the one worth getting right</w:t>
            </w:r>
          </w:p>
        </w:tc>
      </w:tr>
      <w:tr>
        <w:tc>
          <w:tcPr>
            <w:tcW w:type="dxa" w:w="4706"/>
            <w:tcBorders>
              <w:top w:val="single" w:sz="4" w:space="0" w:color="E4DED3"/>
              <w:left w:val="single" w:sz="4" w:space="0" w:color="E4DED3"/>
              <w:bottom w:val="single" w:sz="4" w:space="0" w:color="E4DED3"/>
              <w:right w:val="single" w:sz="4" w:space="0" w:color="E4DED3"/>
            </w:tcBorders>
          </w:tcPr>
          <w:p>
            <w:r>
              <w:rPr>
                <w:sz w:val="18"/>
              </w:rPr>
              <w:t>Where it is lodged</w:t>
            </w:r>
          </w:p>
        </w:tc>
        <w:tc>
          <w:tcPr>
            <w:tcW w:type="dxa" w:w="4706"/>
            <w:tcBorders>
              <w:top w:val="single" w:sz="4" w:space="0" w:color="E4DED3"/>
              <w:left w:val="single" w:sz="4" w:space="0" w:color="E4DED3"/>
              <w:bottom w:val="single" w:sz="4" w:space="0" w:color="E4DED3"/>
              <w:right w:val="single" w:sz="4" w:space="0" w:color="E4DED3"/>
            </w:tcBorders>
          </w:tcPr>
          <w:p>
            <w:r>
              <w:rPr>
                <w:sz w:val="18"/>
              </w:rPr>
            </w:r>
          </w:p>
        </w:tc>
      </w:tr>
      <w:tr>
        <w:tc>
          <w:tcPr>
            <w:tcW w:type="dxa" w:w="4706"/>
            <w:tcBorders>
              <w:top w:val="single" w:sz="4" w:space="0" w:color="E4DED3"/>
              <w:left w:val="single" w:sz="4" w:space="0" w:color="E4DED3"/>
              <w:bottom w:val="single" w:sz="4" w:space="0" w:color="E4DED3"/>
              <w:right w:val="single" w:sz="4" w:space="0" w:color="E4DED3"/>
            </w:tcBorders>
          </w:tcPr>
          <w:p>
            <w:r>
              <w:rPr>
                <w:sz w:val="18"/>
              </w:rPr>
              <w:t>Classification applied</w:t>
            </w:r>
          </w:p>
        </w:tc>
        <w:tc>
          <w:tcPr>
            <w:tcW w:type="dxa" w:w="4706"/>
            <w:tcBorders>
              <w:top w:val="single" w:sz="4" w:space="0" w:color="E4DED3"/>
              <w:left w:val="single" w:sz="4" w:space="0" w:color="E4DED3"/>
              <w:bottom w:val="single" w:sz="4" w:space="0" w:color="E4DED3"/>
              <w:right w:val="single" w:sz="4" w:space="0" w:color="E4DED3"/>
            </w:tcBorders>
          </w:tcPr>
          <w:p>
            <w:r>
              <w:rPr>
                <w:sz w:val="18"/>
              </w:rPr>
            </w:r>
          </w:p>
        </w:tc>
      </w:tr>
      <w:tr>
        <w:tc>
          <w:tcPr>
            <w:tcW w:type="dxa" w:w="4706"/>
            <w:tcBorders>
              <w:top w:val="single" w:sz="4" w:space="0" w:color="E4DED3"/>
              <w:left w:val="single" w:sz="4" w:space="0" w:color="E4DED3"/>
              <w:bottom w:val="single" w:sz="4" w:space="0" w:color="E4DED3"/>
              <w:right w:val="single" w:sz="4" w:space="0" w:color="E4DED3"/>
            </w:tcBorders>
          </w:tcPr>
          <w:p>
            <w:r>
              <w:rPr>
                <w:sz w:val="18"/>
              </w:rPr>
              <w:t>Retention period</w:t>
            </w:r>
          </w:p>
        </w:tc>
        <w:tc>
          <w:tcPr>
            <w:tcW w:type="dxa" w:w="4706"/>
            <w:tcBorders>
              <w:top w:val="single" w:sz="4" w:space="0" w:color="E4DED3"/>
              <w:left w:val="single" w:sz="4" w:space="0" w:color="E4DED3"/>
              <w:bottom w:val="single" w:sz="4" w:space="0" w:color="E4DED3"/>
              <w:right w:val="single" w:sz="4" w:space="0" w:color="E4DED3"/>
            </w:tcBorders>
          </w:tcPr>
          <w:p>
            <w:r>
              <w:rPr>
                <w:sz w:val="18"/>
              </w:rPr>
            </w:r>
          </w:p>
        </w:tc>
      </w:tr>
      <w:tr>
        <w:tc>
          <w:tcPr>
            <w:tcW w:type="dxa" w:w="4706"/>
            <w:tcBorders>
              <w:top w:val="single" w:sz="4" w:space="0" w:color="E4DED3"/>
              <w:left w:val="single" w:sz="4" w:space="0" w:color="E4DED3"/>
              <w:bottom w:val="single" w:sz="4" w:space="0" w:color="E4DED3"/>
              <w:right w:val="single" w:sz="4" w:space="0" w:color="E4DED3"/>
            </w:tcBorders>
          </w:tcPr>
          <w:p>
            <w:r>
              <w:rPr>
                <w:sz w:val="18"/>
              </w:rPr>
            </w:r>
          </w:p>
        </w:tc>
        <w:tc>
          <w:tcPr>
            <w:tcW w:type="dxa" w:w="4706"/>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19"/>
        </w:rPr>
        <w:t>Things to consider</w:t>
      </w:r>
    </w:p>
    <w:p>
      <w:pPr>
        <w:spacing w:after="60"/>
        <w:ind w:left="340"/>
      </w:pPr>
      <w:r>
        <w:rPr>
          <w:sz w:val="19"/>
        </w:rPr>
        <w:t xml:space="preserve">•  </w:t>
      </w:r>
      <w:r>
        <w:rPr>
          <w:i/>
          <w:color w:val="1F5A5C"/>
          <w:sz w:val="19"/>
        </w:rPr>
        <w:t>Open the Records Management Policy and find the actual answer. Do not write what sounds plausible — that is the habit this task exists to break.</w:t>
      </w:r>
    </w:p>
    <w:p>
      <w:pPr>
        <w:spacing w:after="60"/>
        <w:ind w:left="340"/>
      </w:pPr>
      <w:r>
        <w:rPr>
          <w:sz w:val="19"/>
        </w:rPr>
        <w:t xml:space="preserve">•  </w:t>
      </w:r>
      <w:r>
        <w:rPr>
          <w:i/>
          <w:color w:val="1F5A5C"/>
          <w:sz w:val="19"/>
        </w:rPr>
        <w:t>Who is allowed to read a document classified Internal — ICT? Are engaged consultants included, and under what?</w:t>
      </w:r>
    </w:p>
    <w:p>
      <w:pPr>
        <w:spacing w:after="60"/>
        <w:ind w:left="340"/>
      </w:pPr>
      <w:r>
        <w:rPr>
          <w:sz w:val="19"/>
        </w:rPr>
        <w:t xml:space="preserve">•  </w:t>
      </w:r>
      <w:r>
        <w:rPr>
          <w:i/>
          <w:color w:val="1F5A5C"/>
          <w:sz w:val="19"/>
        </w:rPr>
        <w:t>You wrote in Part B that a plan nobody can reach during an outage is not a plan. Does your lodgement answer contradict your own plan?</w:t>
      </w:r>
    </w:p>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43</w:t>
      </w:r>
    </w:p>
    <w:p>
      <w:pPr>
        <w:pStyle w:val="Heading2"/>
      </w:pPr>
      <w:r>
        <w:rPr>
          <w:color w:val="1F5A5C"/>
        </w:rPr>
        <w:t>Obtain sign-off</w:t>
      </w:r>
    </w:p>
    <w:p>
      <w:pPr>
        <w:spacing w:after="120"/>
      </w:pPr>
      <w:r>
        <w:rPr>
          <w:b w:val="0"/>
          <w:i w:val="0"/>
          <w:sz w:val="21"/>
        </w:rPr>
        <w:t>Ask for sign-off and record the decision — including if it is approval with conditions, which is a real outcome and not a failure. Nothing is really being approved; what is being practised is closing the loop rather than trailing off.</w:t>
      </w:r>
    </w:p>
    <w:p>
      <w:pPr>
        <w:spacing w:after="60"/>
      </w:pPr>
      <w:r>
        <w:rPr>
          <w:b w:val="0"/>
          <w:i/>
          <w:color w:val="6B6660"/>
          <w:sz w:val="18"/>
        </w:rPr>
        <w:t>The first row is filled in as an example — yours go underneath.</w:t>
      </w:r>
    </w:p>
    <w:tbl>
      <w:tblPr>
        <w:tblW w:type="auto" w:w="0"/>
        <w:tblLook w:firstColumn="1" w:firstRow="1" w:lastColumn="0" w:lastRow="0" w:noHBand="0" w:noVBand="1" w:val="04A0"/>
      </w:tblPr>
      <w:tblGrid>
        <w:gridCol w:w="4706"/>
        <w:gridCol w:w="4706"/>
      </w:tblGrid>
      <w:tr>
        <w:tc>
          <w:tcPr>
            <w:tcW w:type="dxa" w:w="4706"/>
            <w:tcBorders>
              <w:top w:val="single" w:sz="4" w:space="0" w:color="E4DED3"/>
              <w:left w:val="single" w:sz="4" w:space="0" w:color="E4DED3"/>
              <w:bottom w:val="single" w:sz="4" w:space="0" w:color="E4DED3"/>
              <w:right w:val="single" w:sz="4" w:space="0" w:color="E4DED3"/>
            </w:tcBorders>
            <w:shd w:val="clear" w:color="auto" w:fill="F8F4ED"/>
          </w:tcPr>
          <w:p>
            <w:r>
              <w:rPr>
                <w:b/>
                <w:sz w:val="18"/>
              </w:rPr>
              <w:t>Sign-off record</w:t>
            </w:r>
          </w:p>
        </w:tc>
        <w:tc>
          <w:tcPr>
            <w:tcW w:type="dxa" w:w="4706"/>
            <w:tcBorders>
              <w:top w:val="single" w:sz="4" w:space="0" w:color="E4DED3"/>
              <w:left w:val="single" w:sz="4" w:space="0" w:color="E4DED3"/>
              <w:bottom w:val="single" w:sz="4" w:space="0" w:color="E4DED3"/>
              <w:right w:val="single" w:sz="4" w:space="0" w:color="E4DED3"/>
            </w:tcBorders>
            <w:shd w:val="clear" w:color="auto" w:fill="F8F4ED"/>
          </w:tcPr>
          <w:p>
            <w:r>
              <w:rPr>
                <w:b/>
                <w:sz w:val="18"/>
              </w:rPr>
              <w:t>Your entry</w:t>
            </w:r>
          </w:p>
        </w:tc>
      </w:tr>
      <w:tr>
        <w:tc>
          <w:tcPr>
            <w:tcW w:type="dxa" w:w="4706"/>
            <w:tcBorders>
              <w:top w:val="single" w:sz="4" w:space="0" w:color="E4DED3"/>
              <w:left w:val="single" w:sz="4" w:space="0" w:color="E4DED3"/>
              <w:bottom w:val="single" w:sz="4" w:space="0" w:color="E4DED3"/>
              <w:right w:val="single" w:sz="4" w:space="0" w:color="E4DED3"/>
            </w:tcBorders>
          </w:tcPr>
          <w:p>
            <w:r>
              <w:rPr>
                <w:i/>
                <w:color w:val="1F5A5C"/>
                <w:sz w:val="18"/>
              </w:rPr>
              <w:t>Decision</w:t>
            </w:r>
          </w:p>
        </w:tc>
        <w:tc>
          <w:tcPr>
            <w:tcW w:type="dxa" w:w="4706"/>
            <w:tcBorders>
              <w:top w:val="single" w:sz="4" w:space="0" w:color="E4DED3"/>
              <w:left w:val="single" w:sz="4" w:space="0" w:color="E4DED3"/>
              <w:bottom w:val="single" w:sz="4" w:space="0" w:color="E4DED3"/>
              <w:right w:val="single" w:sz="4" w:space="0" w:color="E4DED3"/>
            </w:tcBorders>
          </w:tcPr>
          <w:p>
            <w:r>
              <w:rPr>
                <w:i/>
                <w:color w:val="1F5A5C"/>
                <w:sz w:val="18"/>
              </w:rPr>
              <w:t>Approved / Approved with conditions / Not approved</w:t>
            </w:r>
          </w:p>
        </w:tc>
      </w:tr>
      <w:tr>
        <w:tc>
          <w:tcPr>
            <w:tcW w:type="dxa" w:w="4706"/>
            <w:tcBorders>
              <w:top w:val="single" w:sz="4" w:space="0" w:color="E4DED3"/>
              <w:left w:val="single" w:sz="4" w:space="0" w:color="E4DED3"/>
              <w:bottom w:val="single" w:sz="4" w:space="0" w:color="E4DED3"/>
              <w:right w:val="single" w:sz="4" w:space="0" w:color="E4DED3"/>
            </w:tcBorders>
          </w:tcPr>
          <w:p>
            <w:r>
              <w:rPr>
                <w:sz w:val="18"/>
              </w:rPr>
              <w:t>Any conditions attached</w:t>
            </w:r>
          </w:p>
        </w:tc>
        <w:tc>
          <w:tcPr>
            <w:tcW w:type="dxa" w:w="4706"/>
            <w:tcBorders>
              <w:top w:val="single" w:sz="4" w:space="0" w:color="E4DED3"/>
              <w:left w:val="single" w:sz="4" w:space="0" w:color="E4DED3"/>
              <w:bottom w:val="single" w:sz="4" w:space="0" w:color="E4DED3"/>
              <w:right w:val="single" w:sz="4" w:space="0" w:color="E4DED3"/>
            </w:tcBorders>
          </w:tcPr>
          <w:p>
            <w:r>
              <w:rPr>
                <w:sz w:val="18"/>
              </w:rPr>
            </w:r>
          </w:p>
        </w:tc>
      </w:tr>
      <w:tr>
        <w:tc>
          <w:tcPr>
            <w:tcW w:type="dxa" w:w="4706"/>
            <w:tcBorders>
              <w:top w:val="single" w:sz="4" w:space="0" w:color="E4DED3"/>
              <w:left w:val="single" w:sz="4" w:space="0" w:color="E4DED3"/>
              <w:bottom w:val="single" w:sz="4" w:space="0" w:color="E4DED3"/>
              <w:right w:val="single" w:sz="4" w:space="0" w:color="E4DED3"/>
            </w:tcBorders>
          </w:tcPr>
          <w:p>
            <w:r>
              <w:rPr>
                <w:sz w:val="18"/>
              </w:rPr>
              <w:t>Signed by</w:t>
            </w:r>
          </w:p>
        </w:tc>
        <w:tc>
          <w:tcPr>
            <w:tcW w:type="dxa" w:w="4706"/>
            <w:tcBorders>
              <w:top w:val="single" w:sz="4" w:space="0" w:color="E4DED3"/>
              <w:left w:val="single" w:sz="4" w:space="0" w:color="E4DED3"/>
              <w:bottom w:val="single" w:sz="4" w:space="0" w:color="E4DED3"/>
              <w:right w:val="single" w:sz="4" w:space="0" w:color="E4DED3"/>
            </w:tcBorders>
          </w:tcPr>
          <w:p>
            <w:r>
              <w:rPr>
                <w:sz w:val="18"/>
              </w:rPr>
            </w:r>
          </w:p>
        </w:tc>
      </w:tr>
      <w:tr>
        <w:tc>
          <w:tcPr>
            <w:tcW w:type="dxa" w:w="4706"/>
            <w:tcBorders>
              <w:top w:val="single" w:sz="4" w:space="0" w:color="E4DED3"/>
              <w:left w:val="single" w:sz="4" w:space="0" w:color="E4DED3"/>
              <w:bottom w:val="single" w:sz="4" w:space="0" w:color="E4DED3"/>
              <w:right w:val="single" w:sz="4" w:space="0" w:color="E4DED3"/>
            </w:tcBorders>
          </w:tcPr>
          <w:p>
            <w:r>
              <w:rPr>
                <w:sz w:val="18"/>
              </w:rPr>
              <w:t>Date</w:t>
            </w:r>
          </w:p>
        </w:tc>
        <w:tc>
          <w:tcPr>
            <w:tcW w:type="dxa" w:w="4706"/>
            <w:tcBorders>
              <w:top w:val="single" w:sz="4" w:space="0" w:color="E4DED3"/>
              <w:left w:val="single" w:sz="4" w:space="0" w:color="E4DED3"/>
              <w:bottom w:val="single" w:sz="4" w:space="0" w:color="E4DED3"/>
              <w:right w:val="single" w:sz="4" w:space="0" w:color="E4DED3"/>
            </w:tcBorders>
          </w:tcPr>
          <w:p>
            <w:r>
              <w:rPr>
                <w:sz w:val="18"/>
              </w:rPr>
            </w:r>
          </w:p>
        </w:tc>
      </w:tr>
      <w:tr>
        <w:tc>
          <w:tcPr>
            <w:tcW w:type="dxa" w:w="4706"/>
            <w:tcBorders>
              <w:top w:val="single" w:sz="4" w:space="0" w:color="E4DED3"/>
              <w:left w:val="single" w:sz="4" w:space="0" w:color="E4DED3"/>
              <w:bottom w:val="single" w:sz="4" w:space="0" w:color="E4DED3"/>
              <w:right w:val="single" w:sz="4" w:space="0" w:color="E4DED3"/>
            </w:tcBorders>
          </w:tcPr>
          <w:p>
            <w:r>
              <w:rPr>
                <w:sz w:val="18"/>
              </w:rPr>
            </w:r>
          </w:p>
        </w:tc>
        <w:tc>
          <w:tcPr>
            <w:tcW w:type="dxa" w:w="4706"/>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19"/>
        </w:rPr>
        <w:t>Things to consider</w:t>
      </w:r>
    </w:p>
    <w:p>
      <w:pPr>
        <w:spacing w:after="60"/>
        <w:ind w:left="340"/>
      </w:pPr>
      <w:r>
        <w:rPr>
          <w:sz w:val="19"/>
        </w:rPr>
        <w:t xml:space="preserve">•  </w:t>
      </w:r>
      <w:r>
        <w:rPr>
          <w:i/>
          <w:color w:val="1F5A5C"/>
          <w:sz w:val="19"/>
        </w:rPr>
        <w:t>Did you ask, or did the session just end? Presenting well and never asking is the most common way this task is failed.</w:t>
      </w:r>
    </w:p>
    <w:p>
      <w:pPr>
        <w:spacing w:after="60"/>
        <w:ind w:left="340"/>
      </w:pPr>
      <w:r>
        <w:rPr>
          <w:sz w:val="19"/>
        </w:rPr>
        <w:t xml:space="preserve">•  </w:t>
      </w:r>
      <w:r>
        <w:rPr>
          <w:i/>
          <w:color w:val="1F5A5C"/>
          <w:sz w:val="19"/>
        </w:rPr>
        <w:t>'Approved with conditions' is a normal professional outcome. What conditions would you expect on this engagement?</w:t>
      </w:r>
    </w:p>
    <w:p>
      <w:pPr>
        <w:spacing w:after="60"/>
        <w:ind w:left="340"/>
      </w:pPr>
      <w:r>
        <w:rPr>
          <w:sz w:val="19"/>
        </w:rPr>
        <w:t xml:space="preserve">•  </w:t>
      </w:r>
      <w:r>
        <w:rPr>
          <w:i/>
          <w:color w:val="1F5A5C"/>
          <w:sz w:val="19"/>
        </w:rPr>
        <w:t>If the answer were 'not approved', what would you need to know before you left the room?</w:t>
      </w:r>
    </w:p>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sectPr w:rsidR="00FC693F" w:rsidRPr="0006063C" w:rsidSect="00034616">
      <w:headerReference w:type="default" r:id="rId11"/>
      <w:footerReference w:type="default" r:id="rId12"/>
      <w:pgSz w:w="11906" w:h="16838"/>
      <w:pgMar w:top="1474" w:right="1247" w:bottom="1247"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6" w:space="4" w:color="1F5A5C"/>
      </w:pBdr>
      <w:tabs>
        <w:tab w:pos="9354" w:val="right"/>
      </w:tabs>
    </w:pPr>
    <w:r/>
    <w:r>
      <w:rPr>
        <w:b/>
        <w:color w:val="1F5A5C"/>
        <w:sz w:val="17"/>
      </w:rPr>
      <w:t>YAT College</w:t>
    </w:r>
    <w:r>
      <w:tab/>
    </w:r>
    <w:r>
      <w:rPr>
        <w:color w:val="6B6660"/>
        <w:sz w:val="17"/>
      </w:rPr>
      <w:t xml:space="preserve">Page </w:t>
    </w:r>
    <w:r>
      <w:fldChar w:fldCharType="begin"/>
      <w:instrText xml:space="preserve">PAGE</w:instrText>
      <w:fldChar w:fldCharType="separate"/>
    </w:r>
    <w:r>
      <w:fldChar w:fldCharType="end"/>
    </w:r>
    <w:r>
      <w:rPr>
        <w:color w:val="6B6660"/>
        <w:sz w:val="17"/>
      </w:rPr>
      <w:t xml:space="preserve"> of </w:t>
    </w:r>
    <w:r>
      <w:fldChar w:fldCharType="begin"/>
      <w:instrText xml:space="preserve">NUMPAGES</w:instrText>
      <w:fldChar w:fldCharType="separate"/>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6" w:space="4" w:color="1F5A5C"/>
      </w:pBdr>
      <w:tabs>
        <w:tab w:pos="9354" w:val="right"/>
      </w:tabs>
    </w:pPr>
    <w:r/>
    <w:r>
      <w:rPr>
        <w:b/>
        <w:color w:val="1F5A5C"/>
        <w:sz w:val="17"/>
      </w:rPr>
      <w:t>YAT College</w:t>
    </w:r>
    <w:r>
      <w:tab/>
    </w:r>
    <w:r>
      <w:rPr>
        <w:color w:val="6B6660"/>
        <w:sz w:val="17"/>
      </w:rPr>
      <w:t xml:space="preserve">Page </w:t>
    </w:r>
    <w:r>
      <w:fldChar w:fldCharType="begin"/>
      <w:instrText xml:space="preserve">PAGE</w:instrText>
      <w:fldChar w:fldCharType="separate"/>
    </w:r>
    <w:r>
      <w:fldChar w:fldCharType="end"/>
    </w:r>
    <w:r>
      <w:rPr>
        <w:color w:val="6B6660"/>
        <w:sz w:val="17"/>
      </w:rPr>
      <w:t xml:space="preserve"> of </w:t>
    </w:r>
    <w:r>
      <w:fldChar w:fldCharType="begin"/>
      <w:instrText xml:space="preserve">NUMPAGES</w:instrText>
      <w:fldChar w:fldCharType="separate"/>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val="clear" w:color="auto" w:fill="C99932"/>
    </w:pPr>
    <w:r>
      <w:rPr>
        <w:b/>
        <w:color w:val="1F2329"/>
        <w:sz w:val="17"/>
      </w:rPr>
      <w:t>This is a fictional organisation used as a case study in an educational context.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val="clear" w:color="auto" w:fill="C99932"/>
    </w:pPr>
    <w:r>
      <w:rPr>
        <w:b/>
        <w:color w:val="1F2329"/>
        <w:sz w:val="17"/>
      </w:rPr>
      <w:t>This is a fictional organisation used as a case study in an educational context.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Source Sans 3" w:hAnsi="Source Sans 3" w:eastAsia="Source Sans 3"/>
      <w:color w:val="1F232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ource Sans 3" w:hAnsi="Source Sans 3" w:eastAsia="Source Sans 3"/>
      <w:b/>
      <w:bCs/>
      <w:color w:val="1F5A5C"/>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ource Sans 3" w:hAnsi="Source Sans 3" w:eastAsia="Source Sans 3"/>
      <w:b/>
      <w:bCs/>
      <w:color w:val="1F5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ource Sans 3" w:hAnsi="Source Sans 3" w:eastAsia="Source Sans 3"/>
      <w:b/>
      <w:bCs/>
      <w:color w:val="1F232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ource Sans 3" w:hAnsi="Source Sans 3" w:eastAsia="Source Sans 3"/>
      <w:b/>
      <w:color w:val="1F5A5C"/>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yperlink" Target="https://yat.timbaird.com/intranet/s1-cl2-at1/ict/network-diagram-ha-hardened" TargetMode="External"/><Relationship Id="rId14" Type="http://schemas.openxmlformats.org/officeDocument/2006/relationships/hyperlink" Target="https://yat.timbaird.com/intranet/s1-cl2-at1/projects/lms-global-expansion/requirements" TargetMode="External"/><Relationship Id="rId15" Type="http://schemas.openxmlformats.org/officeDocument/2006/relationships/hyperlink" Target="https://yat.timbaird.com/intranet/s1-cl2-at1/ict/lms-application-spec-cloud" TargetMode="External"/><Relationship Id="rId16" Type="http://schemas.openxmlformats.org/officeDocument/2006/relationships/hyperlink" Target="https://yat.timbaird.com/intranet/s1-cl2-at1/ict/lms-server-status-ha-hardened" TargetMode="External"/><Relationship Id="rId17" Type="http://schemas.openxmlformats.org/officeDocument/2006/relationships/hyperlink" Target="https://yat.timbaird.com/intranet/s1-cl2-at1/projects/lms-global-expansion/data-residency-requirements" TargetMode="External"/><Relationship Id="rId18" Type="http://schemas.openxmlformats.org/officeDocument/2006/relationships/hyperlink" Target="https://yat.timbaird.com/intranet/s1-cl2-at1/reference/reference-architectures" TargetMode="External"/><Relationship Id="rId19" Type="http://schemas.openxmlformats.org/officeDocument/2006/relationships/hyperlink" Target="https://yat.timbaird.com/intranet/s1-cl2-at1/policies/privacy" TargetMode="External"/><Relationship Id="rId20" Type="http://schemas.openxmlformats.org/officeDocument/2006/relationships/hyperlink" Target="https://yat.timbaird.com/intranet/s1-cl2-at1/ict/lms-dr-plan-onprem-deprecated" TargetMode="External"/><Relationship Id="rId21" Type="http://schemas.openxmlformats.org/officeDocument/2006/relationships/hyperlink" Target="https://yat.timbaird.com/intranet/s1-cl2-at1/policies/backup-retention" TargetMode="External"/><Relationship Id="rId22" Type="http://schemas.openxmlformats.org/officeDocument/2006/relationships/hyperlink" Target="https://yat.timbaird.com/intranet/s1-cl2-at1/reference/industry-standards" TargetMode="External"/><Relationship Id="rId23" Type="http://schemas.openxmlformats.org/officeDocument/2006/relationships/hyperlink" Target="https://yat.timbaird.com/intranet/s1-cl2-at1/policies/records-management" TargetMode="External"/><Relationship Id="rId24" Type="http://schemas.openxmlformats.org/officeDocument/2006/relationships/hyperlink" Target="https://yat.timbaird.com/intranet/s1-cl2-at1/projects/lms-global-expansion/role-brief" TargetMode="External"/><Relationship Id="rId25" Type="http://schemas.openxmlformats.org/officeDocument/2006/relationships/hyperlink" Target="https://yat.timbaird.com/intranet/s1-cl2-at1/projects/lms-global-expansion/master-services-agreement" TargetMode="External"/><Relationship Id="rId26" Type="http://schemas.openxmlformats.org/officeDocument/2006/relationships/hyperlink" Target="https://yat.timbaird.com/intranet/s1-cl2-at1/policies/security-incident" TargetMode="External"/><Relationship Id="rId27" Type="http://schemas.openxmlformats.org/officeDocument/2006/relationships/hyperlink" Target="https://yat.timbaird.com/intranet/s1-cl2-at1/policies/change-manag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