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Deployment Report</w:t>
      </w:r>
    </w:p>
    <w:p>
      <w:r>
        <w:rPr>
          <w:i/>
          <w:color w:val="6B6660"/>
          <w:sz w:val="30"/>
        </w:rPr>
        <w:t>[ Deployment / engagement name ]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Engagement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 reference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Reference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Report 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v1.0 ]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Consultant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Consultant role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Role, e.g. MTS Consultant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Date submitted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DD/MM/YYYY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Submitted to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Acceptance authority / sponsor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Related documents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the approved design this report implements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Commercial-in-confidence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How to use this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8F4ED"/>
            <w:tcBorders>
              <w:top w:val="single" w:sz="8" w:space="0" w:color="C99932"/>
              <w:left w:val="single" w:sz="8" w:space="0" w:color="C99932"/>
              <w:bottom w:val="single" w:sz="8" w:space="0" w:color="C99932"/>
              <w:right w:val="single" w:sz="8" w:space="0" w:color="C99932"/>
            </w:tcBorders>
          </w:tcPr>
          <w:p>
            <w:r>
              <w:rPr>
                <w:b/>
                <w:color w:val="1F5A5C"/>
                <w:sz w:val="20"/>
              </w:rPr>
              <w:t>One report for any deployment.</w:t>
            </w:r>
            <w:r>
              <w:rPr>
                <w:color w:val="1F2329"/>
                <w:sz w:val="20"/>
              </w:rPr>
              <w:t xml:space="preserve">  This is the standard YAT deployment report, set up for a serverless + infrastructure-as-code deployment (operating predefined templates, authoring your own, and a microservice build).</w:t>
            </w:r>
          </w:p>
          <w:p>
            <w:r>
              <w:rPr>
                <w:b/>
                <w:color w:val="1F5A5C"/>
                <w:sz w:val="20"/>
              </w:rPr>
              <w:t>Complete every section.</w:t>
            </w:r>
            <w:r>
              <w:rPr>
                <w:color w:val="1F2329"/>
                <w:sz w:val="20"/>
              </w:rPr>
              <w:t xml:space="preserve">  Where a section does not apply to your deployment, mark it “Not applicable — [reason]” rather than deleting it, so the report proves nothing was overlooked.</w:t>
            </w:r>
          </w:p>
          <w:p>
            <w:r>
              <w:rPr>
                <w:b/>
                <w:color w:val="1F5A5C"/>
                <w:sz w:val="20"/>
              </w:rPr>
              <w:t>Sections flagged with an applicability note</w:t>
            </w:r>
            <w:r>
              <w:rPr>
                <w:color w:val="1F2329"/>
                <w:sz w:val="20"/>
              </w:rPr>
              <w:t xml:space="preserve">  (in terracotta) are the ones a simpler deployment will often mark Not applicable — e.g. the maintenance-window context for a non-production build.</w:t>
            </w:r>
          </w:p>
          <w:p>
            <w:r>
              <w:rPr>
                <w:b/>
                <w:color w:val="1F5A5C"/>
                <w:sz w:val="20"/>
              </w:rPr>
              <w:t>Cross-reference your evidence.</w:t>
            </w:r>
            <w:r>
              <w:rPr>
                <w:color w:val="1F2329"/>
                <w:sz w:val="20"/>
              </w:rPr>
              <w:t xml:space="preserve">  The build narrative and testing sections reference the screenshots and configuration exports captured in the appendices.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i/>
          <w:color w:val="6B6660"/>
          <w:sz w:val="19"/>
        </w:rPr>
        <w:t>Write this last. A ≤ 1-page summary the reader sees first: what was deployed (or changed); the region/AZ footprint; the 2–3 highlights; any limitations or items deferred to a later phase; and — for a resilience deployment — whether the availability target is now met and the headline simulation outcomes. ~250–400 words.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2. Engagement Context</w:t>
      </w:r>
    </w:p>
    <w:p>
      <w:pPr>
        <w:spacing w:after="120"/>
      </w:pPr>
      <w:r>
        <w:rPr>
          <w:i/>
          <w:color w:val="6B6660"/>
          <w:sz w:val="19"/>
        </w:rPr>
        <w:t>Brief context for the reader (≤ ½ page): the strategic/prior work this deployment builds on (the approved business case and the design being implemented), your role, and the scope hand-off to any later phase.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3. Scope of Deployment</w:t>
      </w:r>
    </w:p>
    <w:p>
      <w:pPr>
        <w:spacing w:after="120"/>
      </w:pPr>
      <w:r>
        <w:rPr>
          <w:i/>
          <w:color w:val="6B6660"/>
          <w:sz w:val="19"/>
        </w:rPr>
        <w:t>What is included in this deployment and what is deferred (≤ ½ page). Restate from the approved design in your own words: the in-scope components, and what is out of scope / deferred to a later phase.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3.1 Maintenance-window context</w:t>
      </w:r>
    </w:p>
    <w:p>
      <w:pPr>
        <w:spacing w:after="120"/>
      </w:pPr>
      <w:r>
        <w:rPr>
          <w:i/>
          <w:color w:val="C5613B"/>
          <w:sz w:val="18"/>
        </w:rPr>
        <w:t>Applicability: complete for a change to a running production system; otherwise mark this section “Not applicable — [reason]”.</w:t>
      </w:r>
    </w:p>
    <w:p>
      <w:pPr>
        <w:spacing w:after="120"/>
      </w:pPr>
      <w:r>
        <w:rPr>
          <w:i/>
          <w:color w:val="6B6660"/>
          <w:sz w:val="19"/>
        </w:rPr>
        <w:t>If this work was performed on a live system within a maintenance window, describe the window (duration, timing) and the requirement to finish either with the work complete or cleanly rolled back. For a greenfield build, mark Not applicable.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4. Build / Change Narrative</w:t>
      </w:r>
    </w:p>
    <w:p>
      <w:pPr>
        <w:spacing w:after="120"/>
      </w:pPr>
      <w:r>
        <w:rPr>
          <w:i/>
          <w:color w:val="6B6660"/>
          <w:sz w:val="19"/>
        </w:rPr>
        <w:t>An account of what you built, stream by stream — operating the predefined templates, authoring your own, the microservice, and monitoring. Cross-reference the Appendix A screenshots and the Appendix B templates/exports.</w:t>
      </w:r>
    </w:p>
    <w:p>
      <w:pPr>
        <w:pStyle w:val="Heading3"/>
      </w:pPr>
      <w:r>
        <w:t>4.1 Lab environment and access</w:t>
      </w:r>
    </w:p>
    <w:p>
      <w:pPr>
        <w:spacing w:after="120"/>
      </w:pPr>
      <w:r>
        <w:rPr>
          <w:i/>
          <w:color w:val="6B6660"/>
          <w:sz w:val="19"/>
        </w:rPr>
        <w:t>The cloud platform and region used; the least-privilege execution role for the function (what it can do, and nothing more); and how access was obtained. Note any region simulation (e.g. a lab region standing in for the production region).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4.2 Operating the predefined infrastructure-as-code templates</w:t>
      </w:r>
    </w:p>
    <w:p>
      <w:pPr>
        <w:spacing w:after="120"/>
      </w:pPr>
      <w:r>
        <w:rPr>
          <w:i/>
          <w:color w:val="6B6660"/>
          <w:sz w:val="19"/>
        </w:rPr>
        <w:t>The IaC service you chose and why; reading the supplied templates to determine the resources they create and their dependencies; and deploying, confirming, updating and deleting resources with them. Record troubleshooting in §6.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476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Command / method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Deploy</w:t>
            </w:r>
          </w:p>
        </w:tc>
        <w:tc>
          <w:tcPr>
            <w:tcW w:type="dxa" w:w="476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aws cloudformation deploy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CREATE_COMPLETE ]</w:t>
            </w:r>
          </w:p>
        </w:tc>
      </w:tr>
      <w:tr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Update</w:t>
            </w:r>
          </w:p>
        </w:tc>
        <w:tc>
          <w:tcPr>
            <w:tcW w:type="dxa" w:w="476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change a parameter; reviewed change set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UPDATE_COMPLETE ]</w:t>
            </w:r>
          </w:p>
        </w:tc>
      </w:tr>
      <w:tr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76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delete-stack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DELETE_COMPLETE ]</w:t>
            </w:r>
          </w:p>
        </w:tc>
      </w:tr>
    </w:tbl>
    <w:p/>
    <w:p>
      <w:pPr>
        <w:pStyle w:val="Heading3"/>
      </w:pPr>
      <w:r>
        <w:t>4.3 Authoring the infrastructure-as-code template</w:t>
      </w:r>
    </w:p>
    <w:p>
      <w:pPr>
        <w:spacing w:after="120"/>
      </w:pPr>
      <w:r>
        <w:rPr>
          <w:i/>
          <w:color w:val="6B6660"/>
          <w:sz w:val="19"/>
        </w:rPr>
        <w:t>The template you wrote to provision a related set of resources: the resources, how you parameterised it for configuration and code reuse, how you updated/redeployed it, and how you removed it cleanly. Attach the template in Appendix B.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4.4 The microservice</w:t>
      </w:r>
    </w:p>
    <w:p>
      <w:pPr>
        <w:spacing w:after="120"/>
      </w:pPr>
      <w:r>
        <w:rPr>
          <w:i/>
          <w:color w:val="6B6660"/>
          <w:sz w:val="19"/>
        </w:rPr>
        <w:t>Reviewing the design and supplied code; deploying and configuring the serverless services; the interface/integration contract (endpoint + payload); and confirming the application functions. Record troubleshooting in §6.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4.5 Monitoring and alarms</w:t>
      </w:r>
    </w:p>
    <w:p>
      <w:pPr>
        <w:spacing w:after="120"/>
      </w:pPr>
      <w:r>
        <w:rPr>
          <w:i/>
          <w:color w:val="6B6660"/>
          <w:sz w:val="19"/>
        </w:rPr>
        <w:t>The metrics and alarms you configured (e.g. queue depth, function errors/throttles, datastore throttles), their thresholds, and where they notify.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5. Configuration Decisions</w:t>
      </w:r>
    </w:p>
    <w:p>
      <w:pPr>
        <w:spacing w:after="120"/>
      </w:pPr>
      <w:r>
        <w:rPr>
          <w:i/>
          <w:color w:val="6B6660"/>
          <w:sz w:val="19"/>
        </w:rPr>
        <w:t>The approved design leaves specific decisions to the implementer. For each decision you made, state your choice and justify it against the workload and requirements. Add rows as needed.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Decision point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Your decision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C1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Infrastructure-as-code service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native / tooling / supported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C2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Datastore (and capacity mode)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workload shape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C3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Decoupling (queue / messaging)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durability under load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C4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Compute (function runtime / memory)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C5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Environment parameterisation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env values parameterised; the region is the deploy target, not a template parameter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…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further decisions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6. Testing, Simulation and Validation</w:t>
      </w:r>
    </w:p>
    <w:p>
      <w:pPr>
        <w:spacing w:after="120"/>
      </w:pPr>
      <w:r>
        <w:rPr>
          <w:i/>
          <w:color w:val="6B6660"/>
          <w:sz w:val="19"/>
        </w:rPr>
        <w:t>Document the tests run to verify the build. For each test, state the test, the result, and reference the supporting evidence in Appendix C.</w:t>
      </w:r>
    </w:p>
    <w:p>
      <w:pPr>
        <w:pStyle w:val="Heading3"/>
      </w:pPr>
      <w:r>
        <w:t>6.1 IaC deploy / update / delete verification</w:t>
      </w:r>
    </w:p>
    <w:p>
      <w:pPr>
        <w:spacing w:after="120"/>
      </w:pPr>
      <w:r>
        <w:rPr>
          <w:i/>
          <w:color w:val="6B6660"/>
          <w:sz w:val="19"/>
        </w:rPr>
        <w:t>Confirm each template deploys, updates (via a reviewed change set) and deletes cleanly, with the console / describe-stacks as evidence.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6.2 Own-template parameterise and redeploy</w:t>
      </w:r>
    </w:p>
    <w:p>
      <w:pPr>
        <w:spacing w:after="120"/>
      </w:pPr>
      <w:r>
        <w:rPr>
          <w:i/>
          <w:color w:val="6B6660"/>
          <w:sz w:val="19"/>
        </w:rPr>
        <w:t>Deploy your authored template, then redeploy it with a different parameter set to confirm configuration reuse without editing the template body.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6.3 Microservice functional test</w:t>
      </w:r>
    </w:p>
    <w:p>
      <w:pPr>
        <w:spacing w:after="120"/>
      </w:pPr>
      <w:r>
        <w:rPr>
          <w:i/>
          <w:color w:val="6B6660"/>
          <w:sz w:val="19"/>
        </w:rPr>
        <w:t>Exercise the microservice end to end (e.g. post a sample event) and confirm the expected result is produced and persisted, including a negative test.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6.4 Durability test</w:t>
      </w:r>
    </w:p>
    <w:p>
      <w:pPr>
        <w:spacing w:after="120"/>
      </w:pPr>
      <w:r>
        <w:rPr>
          <w:i/>
          <w:color w:val="C5613B"/>
          <w:sz w:val="18"/>
        </w:rPr>
        <w:t>Applicability: complete for builds with a queue / decoupling component; otherwise mark this section “Not applicable — [reason]”.</w:t>
      </w:r>
    </w:p>
    <w:p>
      <w:pPr>
        <w:spacing w:after="120"/>
      </w:pPr>
      <w:r>
        <w:rPr>
          <w:i/>
          <w:color w:val="6B6660"/>
          <w:sz w:val="19"/>
        </w:rPr>
        <w:t>Force a downstream stall and confirm events queue and then drain without loss. Otherwise mark Not applicable.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6.5 Monitoring / alarm test</w:t>
      </w:r>
    </w:p>
    <w:p>
      <w:pPr>
        <w:spacing w:after="120"/>
      </w:pPr>
      <w:r>
        <w:rPr>
          <w:i/>
          <w:color w:val="6B6660"/>
          <w:sz w:val="19"/>
        </w:rPr>
        <w:t>Drive a metric past its threshold and confirm the alarm transitions and notifies, then returns to OK.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6.6 Troubleshooting 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06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06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0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0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0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0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7. Operational Handover</w:t>
      </w:r>
    </w:p>
    <w:p>
      <w:pPr>
        <w:spacing w:after="120"/>
      </w:pPr>
      <w:r>
        <w:rPr>
          <w:i/>
          <w:color w:val="6B6660"/>
          <w:sz w:val="19"/>
        </w:rPr>
        <w:t>Hand-over information for the team taking over the infrastructure.</w:t>
      </w:r>
    </w:p>
    <w:p>
      <w:pPr>
        <w:pStyle w:val="Heading3"/>
      </w:pPr>
      <w:r>
        <w:t>7.1 Access</w:t>
      </w:r>
    </w:p>
    <w:p>
      <w:pPr>
        <w:spacing w:after="120"/>
      </w:pPr>
      <w:r>
        <w:rPr>
          <w:i/>
          <w:color w:val="6B6660"/>
          <w:sz w:val="19"/>
        </w:rPr>
        <w:t>Who has what access post-handover, MFA enforcement, any IAM group changes.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7.2 Runbook references</w:t>
      </w:r>
    </w:p>
    <w:p>
      <w:pPr>
        <w:spacing w:after="120"/>
      </w:pPr>
      <w:r>
        <w:rPr>
          <w:i/>
          <w:color w:val="6B6660"/>
          <w:sz w:val="19"/>
        </w:rPr>
        <w:t>Pointers to the design document, naming/tagging conventions, backup arrangements, and the alarms list + notification destinations.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7.3 Known limitations and what's next</w:t>
      </w:r>
    </w:p>
    <w:p>
      <w:pPr>
        <w:spacing w:after="120"/>
      </w:pPr>
      <w:r>
        <w:rPr>
          <w:i/>
          <w:color w:val="6B6660"/>
          <w:sz w:val="19"/>
        </w:rPr>
        <w:t>Be explicit about what is not covered today and what a later phase would add.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7.4 Documentation filing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68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Filed in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This Deployment Report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YAT ICT shared documentation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ref ]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Configuration exports (Appendix B)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ref ]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Test / simulation evidence (Appendix C)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ref ]</w:t>
            </w:r>
          </w:p>
        </w:tc>
      </w:tr>
    </w:tbl>
    <w:p/>
    <w:p>
      <w:pPr>
        <w:pStyle w:val="Heading3"/>
      </w:pPr>
      <w:r>
        <w:t>7.5 Feedback record</w:t>
      </w:r>
    </w:p>
    <w:p>
      <w:pPr>
        <w:spacing w:after="120"/>
      </w:pPr>
      <w:r>
        <w:rPr>
          <w:i/>
          <w:color w:val="C5613B"/>
          <w:sz w:val="18"/>
        </w:rPr>
        <w:t>Applicability: complete for deployments where stakeholder feedback is captured; otherwise mark this section “Not applicable — [reason]”.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Feedback received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Your response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Resulting action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7.6 Sign-off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41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Prepared by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Reviewed by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Approved by (acceptance authority)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</w:tbl>
    <w:p/>
    <w:p>
      <w:pPr>
        <w:sectPr>
          <w:headerReference w:type="default" r:id="rId13"/>
          <w:footerReference w:type="default" r:id="rId14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Appendix A — Build evidence (screenshots)</w:t>
      </w:r>
    </w:p>
    <w:p>
      <w:pPr>
        <w:spacing w:after="120"/>
      </w:pPr>
      <w:r>
        <w:rPr>
          <w:i/>
          <w:color w:val="6B6660"/>
          <w:sz w:val="19"/>
        </w:rPr>
        <w:t>Capture a console screenshot evidencing each part you built, with the region indicator visible. List each below and cross-reference it from §4 / §6. Examples: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Screenshot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What must be visible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Lab session + execution role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session; the least-privilege role policy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CloudFormation stack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 stack at CREATE_COMPLETE with its resources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The datastore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an item written by the function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The API / microservice test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request + a 200 response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CloudWatch alarms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configured alarms and their state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…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as your build requires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Appendix B — Infrastructure-as-code templates and user documentation</w:t>
      </w:r>
    </w:p>
    <w:p>
      <w:pPr>
        <w:spacing w:after="120"/>
      </w:pPr>
      <w:r>
        <w:rPr>
          <w:i/>
          <w:color w:val="6B6660"/>
          <w:sz w:val="19"/>
        </w:rPr>
        <w:t>Attach the template you authored and the predefined templates you operated, plus the IaC user documentation (how to deploy/update/delete the stack with parameters).</w:t>
      </w:r>
    </w:p>
    <w:p>
      <w:r>
        <w:rPr>
          <w:i/>
          <w:color w:val="6B6660"/>
        </w:rPr>
        <w:t>[ Templates + user documentation ]</w:t>
      </w:r>
    </w:p>
    <w:p>
      <w:pPr>
        <w:pStyle w:val="Heading1"/>
      </w:pPr>
      <w:r>
        <w:t>Appendix C — Test and troubleshooting evidence</w:t>
      </w:r>
    </w:p>
    <w:p>
      <w:pPr>
        <w:spacing w:after="120"/>
      </w:pPr>
      <w:r>
        <w:rPr>
          <w:i/>
          <w:color w:val="6B6660"/>
          <w:sz w:val="19"/>
        </w:rPr>
        <w:t>Attach the evidence supporting §6 — the deploy/update/delete captures, the microservice test request/response and datastore item, the alarm test, and the troubleshooting log.</w:t>
      </w:r>
    </w:p>
    <w:p>
      <w:r>
        <w:rPr>
          <w:i/>
          <w:color w:val="6B6660"/>
        </w:rPr>
        <w:t>[ Test and troubleshooting evidence ]</w:t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953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Document version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v1.0 ]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Engagement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Engagement name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Date submitted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DD/MM/YYYY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Distribution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Related documents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design implemented; predecessor/successor reports ]</w:t>
            </w:r>
          </w:p>
        </w:tc>
      </w:tr>
    </w:tbl>
    <w:p/>
    <w:sectPr w:rsidR="00FC693F" w:rsidRPr="0006063C" w:rsidSect="00034616">
      <w:headerReference w:type="default" r:id="rId15"/>
      <w:footerReference w:type="default" r:id="rId16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