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i/>
          <w:color w:val="6B6660"/>
          <w:sz w:val="30"/>
        </w:rPr>
        <w:t>[ Solution / initiative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name, role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requirements + any baseline design this supersedes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design for any cloud solution.</w:t>
            </w:r>
            <w:r>
              <w:rPr>
                <w:color w:val="1F2329"/>
                <w:sz w:val="20"/>
              </w:rPr>
              <w:t xml:space="preserve">  Use this for a greenfield architecture or for hardening / changing an existing one.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apply, mark it “Not applicable — [reason]” rather than deleting it.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(terracotta) are the ones a given design may mark Not applicable — reviewing an existing baseline, web-scale design, microservice / serverless design, implementation sequencing on a live system, and the simulation plan.</w:t>
            </w:r>
          </w:p>
          <w:p>
            <w:r>
              <w:rPr>
                <w:b/>
                <w:color w:val="1F5A5C"/>
                <w:sz w:val="20"/>
              </w:rPr>
              <w:t>This design is implemented by a Deployment Report.</w:t>
            </w:r>
            <w:r>
              <w:rPr>
                <w:color w:val="1F2329"/>
                <w:sz w:val="20"/>
              </w:rPr>
              <w:t xml:space="preserve">  Business Case (why) → Solution Design (what / how) → Deployment Report (what was built).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pPr>
        <w:spacing w:after="120"/>
      </w:pPr>
      <w:r>
        <w:rPr>
          <w:i/>
          <w:color w:val="6B6660"/>
          <w:sz w:val="19"/>
        </w:rPr>
        <w:t>What this design covers and what it doesn't (≤ ½ page): the solution being designed, the objective it serves, and what is in / out of scope.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pPr>
        <w:spacing w:after="120"/>
      </w:pPr>
      <w:r>
        <w:rPr>
          <w:i/>
          <w:color w:val="6B6660"/>
          <w:sz w:val="19"/>
        </w:rPr>
        <w:t>The source documents this design is built from — the approved business case, the requirements, the workload/application specification, and (if hardening an existing system) the baseline design and the report of what was actually built.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2.2 Requirements the design must meet</w:t>
      </w:r>
    </w:p>
    <w:p>
      <w:pPr>
        <w:spacing w:after="120"/>
      </w:pPr>
      <w:r>
        <w:rPr>
          <w:i/>
          <w:color w:val="6B6660"/>
          <w:sz w:val="19"/>
        </w:rPr>
        <w:t>State the targets the design is held to — availability, recovery, performance, security, data residency.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Requirement / metric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99.9%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RPO (acceptable data loss)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RTO (time to recover)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4 hours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Support response (severity-1)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 residency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Australia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others ]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3. Review of the Existing Architecture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 or change an existing system (a greenfield design has no baseline to review); otherwise mark this section “Not applicable — [reason]”.</w:t>
      </w:r>
    </w:p>
    <w:p>
      <w:pPr>
        <w:pStyle w:val="Heading3"/>
      </w:pPr>
      <w:r>
        <w:t>3.1 Architecture review</w:t>
      </w:r>
    </w:p>
    <w:p>
      <w:pPr>
        <w:spacing w:after="120"/>
      </w:pPr>
      <w:r>
        <w:rPr>
          <w:i/>
          <w:color w:val="6B6660"/>
          <w:sz w:val="19"/>
        </w:rPr>
        <w:t>Review the existing architecture against the requirements, layer by layer (compute, load balancing, database, network, monitoring) — where each currently meets or fails the targets.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3.2 Single points of failure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3.3 Recovery objectives — current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RTO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Meets target?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</w:tbl>
    <w:p/>
    <w:p>
      <w:pPr>
        <w:pStyle w:val="Heading3"/>
      </w:pPr>
      <w:r>
        <w:t>3.4 Components requiring vertical scaling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during scale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3.5 Review findings summary</w:t>
      </w:r>
    </w:p>
    <w:p>
      <w:pPr>
        <w:spacing w:after="120"/>
      </w:pPr>
      <w:r>
        <w:rPr>
          <w:i/>
          <w:color w:val="6B6660"/>
          <w:sz w:val="19"/>
        </w:rPr>
        <w:t>Summarise the gap between the current architecture and the requirements: what's met, what isn't, and which components drive the gap (≤ 250 words).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Architecture Design</w:t>
      </w:r>
    </w:p>
    <w:p>
      <w:pPr>
        <w:spacing w:after="120"/>
      </w:pPr>
      <w:r>
        <w:rPr>
          <w:i/>
          <w:color w:val="6B6660"/>
          <w:sz w:val="19"/>
        </w:rPr>
        <w:t>The design proper. For a greenfield design this is the full architecture; for a change, describe the design relative to the baseline.</w:t>
      </w:r>
    </w:p>
    <w:p>
      <w:pPr>
        <w:pStyle w:val="Heading3"/>
      </w:pPr>
      <w:r>
        <w:t>4.1 Assumptions and constraints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AWS account and region</w:t>
      </w:r>
    </w:p>
    <w:p>
      <w:pPr>
        <w:spacing w:after="120"/>
      </w:pPr>
      <w:r>
        <w:rPr>
          <w:i/>
          <w:color w:val="6B6660"/>
          <w:sz w:val="19"/>
        </w:rPr>
        <w:t>Region(s) and account; note any data-residency constraint and any new region (e.g. a cross-Region backup destination).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Identity and access management (IAM)</w:t>
      </w:r>
    </w:p>
    <w:p>
      <w:pPr>
        <w:spacing w:after="120"/>
      </w:pPr>
      <w:r>
        <w:rPr>
          <w:i/>
          <w:color w:val="6B6660"/>
          <w:sz w:val="19"/>
        </w:rPr>
        <w:t>Cover: groups/roles/users, MFA, instance profiles — or, for a change, any additions.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Network topology</w:t>
      </w:r>
    </w:p>
    <w:p>
      <w:pPr>
        <w:spacing w:after="120"/>
      </w:pPr>
      <w:r>
        <w:rPr>
          <w:i/>
          <w:color w:val="6B6660"/>
          <w:sz w:val="19"/>
        </w:rPr>
        <w:t>Cover: VPC, subnets, AZ distribution, gateways, route tables (use the subnet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CIDR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AZ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4.5 Compute (EC2 + Auto Scaling)</w:t>
      </w:r>
    </w:p>
    <w:p>
      <w:pPr>
        <w:spacing w:after="120"/>
      </w:pPr>
      <w:r>
        <w:rPr>
          <w:i/>
          <w:color w:val="6B6660"/>
          <w:sz w:val="19"/>
        </w:rPr>
        <w:t>Cover: instance type, ASG capacity + AZ spread, scaling policy, health checks.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Load balancing (ALB)</w:t>
      </w:r>
    </w:p>
    <w:p>
      <w:pPr>
        <w:spacing w:after="120"/>
      </w:pPr>
      <w:r>
        <w:rPr>
          <w:i/>
          <w:color w:val="6B6660"/>
          <w:sz w:val="19"/>
        </w:rPr>
        <w:t>Cover: the load balancer, target group, listener, AZ coverage.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Database (RDS)</w:t>
      </w:r>
    </w:p>
    <w:p>
      <w:pPr>
        <w:spacing w:after="120"/>
      </w:pPr>
      <w:r>
        <w:rPr>
          <w:i/>
          <w:color w:val="6B6660"/>
          <w:sz w:val="19"/>
        </w:rPr>
        <w:t>Cover: engine + version, instance class, storage, encryption, backups, Multi-AZ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Storage (EBS + S3)</w:t>
      </w:r>
    </w:p>
    <w:p>
      <w:pPr>
        <w:spacing w:after="120"/>
      </w:pPr>
      <w:r>
        <w:rPr>
          <w:i/>
          <w:color w:val="6B6660"/>
          <w:sz w:val="19"/>
        </w:rPr>
        <w:t>Cover: volumes, buckets, encryption, public-access settings, cross-Region copy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Security</w:t>
      </w:r>
    </w:p>
    <w:p>
      <w:pPr>
        <w:spacing w:after="120"/>
      </w:pPr>
      <w:r>
        <w:rPr>
          <w:i/>
          <w:color w:val="6B6660"/>
          <w:sz w:val="19"/>
        </w:rPr>
        <w:t>Cover: the tiered security-group model, encryption in transit + at rest, any HA-related adjustments.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4.10 Monitoring</w:t>
      </w:r>
    </w:p>
    <w:p>
      <w:pPr>
        <w:spacing w:after="120"/>
      </w:pPr>
      <w:r>
        <w:rPr>
          <w:i/>
          <w:color w:val="6B6660"/>
          <w:sz w:val="19"/>
        </w:rPr>
        <w:t>Cover: the alarms and the service-level/availability tracking (use the alarm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Alarm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Triggers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4.11 Naming and tagging conventions</w:t>
      </w:r>
    </w:p>
    <w:p>
      <w:pPr>
        <w:spacing w:after="120"/>
      </w:pPr>
      <w:r>
        <w:rPr>
          <w:i/>
          <w:color w:val="6B6660"/>
          <w:sz w:val="19"/>
        </w:rPr>
        <w:t>Cover: the tagging scheme (Project, Environment, Owner, CostCentre, DataClassification, AZ).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4.12 Backup</w:t>
      </w:r>
    </w:p>
    <w:p>
      <w:pPr>
        <w:spacing w:after="120"/>
      </w:pPr>
      <w:r>
        <w:rPr>
          <w:i/>
          <w:color w:val="6B6660"/>
          <w:sz w:val="19"/>
        </w:rPr>
        <w:t>Cover: the backup baseline and any cross-Region copy / retention design.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4.13 Recovery objectives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RTO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Overall service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meets target ]</w:t>
            </w:r>
          </w:p>
        </w:tc>
      </w:tr>
    </w:tbl>
    <w:p/>
    <w:p>
      <w:pPr>
        <w:pStyle w:val="Heading3"/>
      </w:pPr>
      <w:r>
        <w:t>4.14 Components requiring vertical scaling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(designed)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4.15 Single points of failure removed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hardened an existing system (cross-reference §3.2);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SPOF (from §3.2)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Mitigation in this design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5. Web-scale Design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scale a web application for growth or a global / multi-region user base (a fixed-capacity design marks this Not applicable); otherwise mark this section “Not applicable — [reason]”.</w:t>
      </w:r>
    </w:p>
    <w:p>
      <w:pPr>
        <w:pStyle w:val="Heading3"/>
      </w:pPr>
      <w:r>
        <w:t>5.1 Web-scaling needs</w:t>
      </w:r>
    </w:p>
    <w:p>
      <w:pPr>
        <w:spacing w:after="120"/>
      </w:pPr>
      <w:r>
        <w:rPr>
          <w:i/>
          <w:color w:val="6B6660"/>
          <w:sz w:val="19"/>
        </w:rPr>
        <w:t>The scaling drivers this design must meet — load growth, a global / multi-region user base, and the peak-demand profile — confirmed against the business needs.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5.2 Scaling by layer</w:t>
      </w:r>
    </w:p>
    <w:p>
      <w:pPr>
        <w:spacing w:after="120"/>
      </w:pPr>
      <w:r>
        <w:rPr>
          <w:i/>
          <w:color w:val="6B6660"/>
          <w:sz w:val="19"/>
        </w:rPr>
        <w:t>For each layer, the cloud service used and how it scales network, compute and storage as utilisation increases.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How it scales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Edge / network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CDN, latency routing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Compute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Caching / read path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5.3 Global delivery</w:t>
      </w:r>
    </w:p>
    <w:p>
      <w:pPr>
        <w:spacing w:after="120"/>
      </w:pPr>
      <w:r>
        <w:rPr>
          <w:i/>
          <w:color w:val="6B6660"/>
          <w:sz w:val="19"/>
        </w:rPr>
        <w:t>How a global / multi-region user base is served with acceptable latency — edge delivery, routing, and what is served from the edge versus the origin.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5.4 Web-scale component choices</w:t>
      </w:r>
    </w:p>
    <w:p>
      <w:pPr>
        <w:spacing w:after="120"/>
      </w:pPr>
      <w:r>
        <w:rPr>
          <w:i/>
          <w:color w:val="6B6660"/>
          <w:sz w:val="19"/>
        </w:rPr>
        <w:t>Justify the component choices across the web-scale options: SQL vs NoSQL databases, monolithic vs microservice architecture, virtual / container / serverless compute, and content delivery networks and in-memory data stores — each chosen where it fits.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5.5 Availability and security maintained</w:t>
      </w:r>
    </w:p>
    <w:p>
      <w:pPr>
        <w:spacing w:after="120"/>
      </w:pPr>
      <w:r>
        <w:rPr>
          <w:i/>
          <w:color w:val="6B6660"/>
          <w:sz w:val="19"/>
        </w:rPr>
        <w:t>Confirm the scaling changes preserve availability and security, and note the review that checked this against the requirements.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6. Microservice and Serverless Design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include a microservice or serverless component (an infrastructure-only design marks this Not applicable); otherwise mark this section “Not applicable — [reason]”.</w:t>
      </w:r>
    </w:p>
    <w:p>
      <w:pPr>
        <w:pStyle w:val="Heading3"/>
      </w:pPr>
      <w:r>
        <w:t>6.1 Microservices and data transactions</w:t>
      </w:r>
    </w:p>
    <w:p>
      <w:pPr>
        <w:spacing w:after="120"/>
      </w:pPr>
      <w:r>
        <w:rPr>
          <w:i/>
          <w:color w:val="6B6660"/>
          <w:sz w:val="19"/>
        </w:rPr>
        <w:t>Identify the microservice(s) and the data transaction(s) each handles, according to business needs — one responsibility per service.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6.2 Supporting cloud services</w:t>
      </w:r>
    </w:p>
    <w:p>
      <w:pPr>
        <w:spacing w:after="120"/>
      </w:pPr>
      <w:r>
        <w:rPr>
          <w:i/>
          <w:color w:val="6B6660"/>
          <w:sz w:val="19"/>
        </w:rPr>
        <w:t>The cloud services that support the microservice architecture, by concern.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Ingress / API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Messaging / queuing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Compute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Persistent storage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6.3 Microservice architecture</w:t>
      </w:r>
    </w:p>
    <w:p>
      <w:pPr>
        <w:spacing w:after="120"/>
      </w:pPr>
      <w:r>
        <w:rPr>
          <w:i/>
          <w:color w:val="6B6660"/>
          <w:sz w:val="19"/>
        </w:rPr>
        <w:t>The architecture and event / data flow — how the services are composed, and how the design keeps them highly cohesive and loosely coupled.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6.4 Interface / integration contract</w:t>
      </w:r>
    </w:p>
    <w:p>
      <w:pPr>
        <w:spacing w:after="120"/>
      </w:pPr>
      <w:r>
        <w:rPr>
          <w:i/>
          <w:color w:val="6B6660"/>
          <w:sz w:val="19"/>
        </w:rPr>
        <w:t>The API / webhook contract the rest of the system integrates through — endpoint, method and payload schema — the single coupling point between the service and its callers.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Implementation Sequencing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into a running system, where order and rollback matter;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The order the changes are applied, with per-change duration, expected impact, a verification step, and a rollback if it fails. State the total window and buffer.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impact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none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8. Simulation and Verification Plan</w:t>
      </w:r>
    </w:p>
    <w:p>
      <w:pPr>
        <w:spacing w:after="120"/>
      </w:pPr>
      <w:r>
        <w:rPr>
          <w:i/>
          <w:color w:val="C5613B"/>
          <w:sz w:val="18"/>
        </w:rPr>
        <w:t>Applicability: complete for resilience / high-availability designs (the plan the Deployment Report then executes); otherwise mark this section “Not applicable — [reason]”.</w:t>
      </w:r>
    </w:p>
    <w:p>
      <w:pPr>
        <w:pStyle w:val="Heading3"/>
      </w:pPr>
      <w:r>
        <w:t>8.1 Failure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8.2 Resize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8.3 Verification criteria</w:t>
      </w:r>
    </w:p>
    <w:p>
      <w:pPr>
        <w:spacing w:after="120"/>
      </w:pPr>
      <w:r>
        <w:rPr>
          <w:i/>
          <w:color w:val="6B6660"/>
          <w:sz w:val="19"/>
        </w:rPr>
        <w:t>The success criteria — what evidence will demonstrate the design works as intended.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9. Out of Scope</w:t>
      </w:r>
    </w:p>
    <w:p>
      <w:pPr>
        <w:spacing w:after="120"/>
      </w:pPr>
      <w:r>
        <w:rPr>
          <w:i/>
          <w:color w:val="6B6660"/>
          <w:sz w:val="19"/>
        </w:rPr>
        <w:t>What this design deliberately does not address, and why (e.g. cross-Region active-active DR, application-layer HA, items owned by another team).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10. References</w:t>
      </w:r>
    </w:p>
    <w:p>
      <w:pPr>
        <w:spacing w:after="120"/>
      </w:pPr>
      <w:r>
        <w:rPr>
          <w:i/>
          <w:color w:val="6B6660"/>
          <w:sz w:val="19"/>
        </w:rPr>
        <w:t>The source documents and standards informing this design (requirements, baseline design, application specification, reference architectures, industry standards), with external sources cited with access dates.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11. Review and Approval</w:t>
      </w:r>
    </w:p>
    <w:p>
      <w:pPr>
        <w:spacing w:after="120"/>
      </w:pPr>
      <w:r>
        <w:rPr>
          <w:i/>
          <w:color w:val="6B6660"/>
          <w:sz w:val="19"/>
        </w:rPr>
        <w:t>The completed design is submitted to the accepting authority / superior for review. The reviewer records their feedback below; the author records how each point was addressed; the reviewer then signs off on the design before it is implemented.</w:t>
      </w:r>
    </w:p>
    <w:p>
      <w:pPr>
        <w:pStyle w:val="Heading3"/>
      </w:pPr>
      <w:r>
        <w:t>11.1 Reviewer feedback and author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Reviewer feedback / comment</w:t>
            </w:r>
          </w:p>
        </w:tc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Author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change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11.2 Sign-off</w:t>
      </w:r>
    </w:p>
    <w:p>
      <w:pPr>
        <w:spacing w:after="120"/>
      </w:pPr>
      <w:r>
        <w:rPr>
          <w:i/>
          <w:color w:val="6B6660"/>
          <w:sz w:val="19"/>
        </w:rPr>
        <w:t>The accepting authority records their decision. “Approved with comments” means the design proceeds subject to the changes recorded above.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60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1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4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3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 (author)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and approved by (accepting authority)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Approved / Approved with comments / Rejected ]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Supersedes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any baseline design this replaces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Implemented by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Deployment Report that builds this design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Approval status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Pending / Approved / Rejected with comments ]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