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ICTICT517 Match ICT needs with the strategic direction of the organisation</w:t>
            </w:r>
          </w:p>
          <w:p>
            <w:pPr/>
            <w:r>
              <w:t>ICTCLD401 Configure cloud services</w:t>
            </w:r>
          </w:p>
          <w:p>
            <w:pPr/>
            <w:r>
              <w:t>ICTCLD502 Design and implement highly-available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AT2 — Cloud Foundation Build: YAT LMS Migration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2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spacing w:after="160"/>
            </w:pPr>
            <w:r>
              <w:t>You are assessed on building a cloud platform for the YAT LMS migration, following the build run sheet in the second half of this document, and on the evidence and answers you record in it as you go.</w:t>
            </w:r>
          </w:p>
          <w:p>
            <w:pPr>
              <w:pStyle w:val="Assessortext"/>
              <w:spacing w:after="160"/>
            </w:pPr>
            <w:r>
              <w:t>This is an open-book practical assessment. You may use the YAT intranet, the AWS Academy lab environment, AWS documentation and course materials throughout.</w:t>
            </w:r>
          </w:p>
          <w:p>
            <w:pPr>
              <w:pStyle w:val="Assessortext"/>
              <w:spacing w:after="160"/>
            </w:pPr>
            <w:r>
              <w:t>AT2 is the second of three assessment tasks in the S1-CL1 Cloud Design and Build cluster. It follows AT1 (the Business Case engagement) and feeds into AT3 (high-availability hardening). You continue in the same MTS consultant role across all three.</w:t>
            </w:r>
          </w:p>
          <w:p>
            <w:pPr>
              <w:pStyle w:val="Assessortext"/>
              <w:spacing w:after="160"/>
            </w:pPr>
            <w:r>
              <w:t>Submission: this document, completed — every screenshot box filled and every question answered — submitted via the LMS.</w:t>
            </w:r>
          </w:p>
          <w:p>
            <w:pPr>
              <w:pStyle w:val="Assessortext"/>
              <w:spacing w:after="160"/>
            </w:pPr>
            <w:r>
              <w:t>The assessment will not proceed if for any reason it is not safe to do so. The assessor must advise you of the reason for suspending the assessment, what safety action should be taken, and of revised arrangements when it is safe to resume.</w:t>
            </w:r>
          </w:p>
          <w:p>
            <w:pPr>
              <w:pStyle w:val="Assessortext"/>
              <w:spacing w:after="160"/>
            </w:pPr>
            <w:r>
              <w:t>There is zero tolerance for plagiarism, cheating and collusion. You will be expected to make a declaration that all work is your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spacing w:after="160"/>
            </w:pPr>
            <w:r>
              <w:t>Following the YAT board's approval of your action plan in AT1, MTS Senior Architecture worked with YAT IT to turn that direction into a cloud architecture design, and an MTS implementation lead turned the design into a build run sheet for the engagement.</w:t>
            </w:r>
          </w:p>
          <w:p>
            <w:pPr>
              <w:pStyle w:val="Assessortext"/>
              <w:spacing w:after="160"/>
            </w:pPr>
            <w:r>
              <w:t>You are the implementer. Your work has three parts, all recorded in this one document:</w:t>
            </w:r>
          </w:p>
          <w:p>
            <w:pPr>
              <w:pStyle w:val="Assessortext"/>
              <w:spacing w:after="80"/>
              <w:ind w:left="280"/>
            </w:pPr>
            <w:r>
              <w:t>• Work through the build run sheet, creating each piece of the platform to the settings given, and paste the screenshot each task asks for into the box provided.</w:t>
            </w:r>
          </w:p>
          <w:p>
            <w:pPr>
              <w:pStyle w:val="Assessortext"/>
              <w:spacing w:after="80"/>
              <w:ind w:left="280"/>
            </w:pPr>
            <w:r>
              <w:t>• Run the five tests and paste in what each one returned.</w:t>
            </w:r>
          </w:p>
          <w:p>
            <w:pPr>
              <w:pStyle w:val="Assessortext"/>
              <w:spacing w:after="80"/>
              <w:ind w:left="280"/>
            </w:pPr>
            <w:r>
              <w:t>• Answer the six knowledge questions about the platform you built, then record where you filed the completed document.</w:t>
            </w:r>
          </w:p>
          <w:p>
            <w:pPr>
              <w:pStyle w:val="Assessortext"/>
              <w:spacing w:after="160"/>
            </w:pPr>
            <w:r>
              <w:t>This phase is the foundation build only. The platform is deliberately single-zone at this stage — high-availability hardening is the next phase and is out of scope here.</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spacing w:after="80" w:before="160"/>
            </w:pPr>
            <w:r>
              <w:rPr>
                <w:b/>
              </w:rPr>
              <w:t>Provided to you</w:t>
            </w:r>
          </w:p>
          <w:p>
            <w:pPr>
              <w:pStyle w:val="Assessortext"/>
              <w:spacing w:after="80"/>
              <w:ind w:left="280"/>
            </w:pPr>
            <w:r>
              <w:t>• This document, containing the build run sheet you work through</w:t>
            </w:r>
          </w:p>
          <w:p>
            <w:pPr>
              <w:pStyle w:val="Assessortext"/>
              <w:spacing w:after="80"/>
              <w:ind w:left="280"/>
            </w:pPr>
            <w:r>
              <w:t>• LMS Application Specification (on the YAT intranet) — the workload your two sizing decisions are justified against</w:t>
            </w:r>
          </w:p>
          <w:p>
            <w:pPr>
              <w:pStyle w:val="Assessortext"/>
              <w:spacing w:after="80"/>
              <w:ind w:left="280"/>
            </w:pPr>
            <w:r>
              <w:t>• Records Management Policy (on the YAT intranet) — where a completed engagement document has to be filed</w:t>
            </w:r>
          </w:p>
          <w:p>
            <w:pPr>
              <w:pStyle w:val="Assessortext"/>
              <w:spacing w:after="80" w:before="160"/>
            </w:pPr>
            <w:r>
              <w:rPr>
                <w:b/>
              </w:rPr>
              <w:t>Provided externally</w:t>
            </w:r>
          </w:p>
          <w:p>
            <w:pPr>
              <w:pStyle w:val="Assessortext"/>
              <w:spacing w:after="80"/>
              <w:ind w:left="280"/>
            </w:pPr>
            <w:r>
              <w:t>• AWS Academy lab access</w:t>
            </w:r>
          </w:p>
          <w:p>
            <w:pPr>
              <w:pStyle w:val="Assessortext"/>
              <w:spacing w:after="80" w:before="160"/>
            </w:pPr>
            <w:r>
              <w:rPr>
                <w:b/>
              </w:rPr>
              <w:t>You supply</w:t>
            </w:r>
          </w:p>
          <w:p>
            <w:pPr>
              <w:pStyle w:val="Assessortext"/>
              <w:spacing w:after="80"/>
              <w:ind w:left="280"/>
            </w:pPr>
            <w:r>
              <w:t>• Computer with a web browser</w:t>
            </w:r>
          </w:p>
          <w:p>
            <w:pPr>
              <w:pStyle w:val="Assessortext"/>
              <w:spacing w:after="80"/>
              <w:ind w:left="280"/>
            </w:pPr>
            <w:r>
              <w:t>• Word-processing software (Microsoft Word or equivalent)</w:t>
            </w:r>
          </w:p>
          <w:p>
            <w:pPr>
              <w:pStyle w:val="Assessortext"/>
              <w:spacing w:after="80"/>
              <w:ind w:left="280"/>
            </w:pPr>
            <w:r>
              <w:t>• A screenshot tool</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pPr>
              <w:spacing w:after="160"/>
            </w:pPr>
            <w:r>
              <w:t>To receive a Satisfactory result for AT2 you must:</w:t>
            </w:r>
          </w:p>
          <w:p>
            <w:pPr>
              <w:spacing w:after="80"/>
              <w:ind w:left="280"/>
            </w:pPr>
            <w:r>
              <w:t>• Achieve Satisfactory on every criterion in the Assessment Criteria table (below)</w:t>
            </w:r>
          </w:p>
          <w:p>
            <w:pPr>
              <w:spacing w:after="80"/>
              <w:ind w:left="280"/>
            </w:pPr>
            <w:r>
              <w:t>• Complete every task in the run sheet, with the screenshot each one asks for</w:t>
            </w:r>
          </w:p>
          <w:p>
            <w:pPr>
              <w:spacing w:after="80"/>
              <w:ind w:left="280"/>
            </w:pPr>
            <w:r>
              <w:t>• Run all five tests and record what each returned</w:t>
            </w:r>
          </w:p>
          <w:p>
            <w:pPr>
              <w:spacing w:after="80"/>
              <w:ind w:left="280"/>
            </w:pPr>
            <w:r>
              <w:t>• Answer all six knowledge questions with reference to your own build</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spacing w:after="160"/>
            </w:pPr>
            <w:r>
              <w:t>If you are deemed not satisfactory for this assessment,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r>
        <w:tc>
          <w:tcPr>
            <w:tcW w:type="dxa" w:w="2807"/>
          </w:tcPr>
          <w:p>
            <w:r>
              <w:rPr>
                <w:b/>
              </w:rPr>
              <w:t>How To Submit</w:t>
            </w:r>
          </w:p>
        </w:tc>
        <w:tc>
          <w:tcPr>
            <w:tcW w:type="dxa" w:w="7938"/>
          </w:tcPr>
          <w:p>
            <w:pPr>
              <w:spacing w:after="160"/>
            </w:pPr>
            <w:r>
              <w:t>Submit this completed document to the LMS by the due date. Everything is recorded in it — there are no separate files to submit.</w:t>
            </w:r>
          </w:p>
        </w:tc>
      </w:tr>
    </w:tbl>
    <w:p w14:paraId="56F88704" w14:textId="77777777" w:rsidR="00FE5400" w:rsidRPr="00C677AA" w:rsidRDefault="00FE5400" w:rsidP="00FE5400">
      <w:pPr>
        <w:pStyle w:val="NoSpacing"/>
        <w:rPr>
          <w:color w:val="4F81BD" w:themeColor="accent1"/>
        </w:rPr>
      </w:pP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A1 - Network foundation (tasks 2-7) — you built the VPC, the five subnets across two zones, the internet and NAT gateways, the route tables, and the three security groups with the database reachable only from the application tier</w:t>
            </w:r>
          </w:p>
        </w:tc>
        <w:tc>
          <w:tcPr>
            <w:tcW w:type="dxa" w:w="1943"/>
          </w:tcPr>
          <w:p>
            <w:r>
              <w:t>☐ Yes  ☐ No</w:t>
            </w:r>
          </w:p>
        </w:tc>
      </w:tr>
      <w:tr>
        <w:tc>
          <w:tcPr>
            <w:tcW w:type="dxa" w:w="8797"/>
          </w:tcPr>
          <w:p>
            <w:r>
              <w:t>A2 - Identity and access (tasks 1, 8-9) — you accessed the platform, worked through the group and user creation and captured the result, and reviewed the role your servers use</w:t>
            </w:r>
          </w:p>
        </w:tc>
        <w:tc>
          <w:tcPr>
            <w:tcW w:type="dxa" w:w="1943"/>
          </w:tcPr>
          <w:p>
            <w:r>
              <w:t>☐ Yes  ☐ No</w:t>
            </w:r>
          </w:p>
        </w:tc>
      </w:tr>
      <w:tr>
        <w:tc>
          <w:tcPr>
            <w:tcW w:type="dxa" w:w="8797"/>
          </w:tcPr>
          <w:p>
            <w:r>
              <w:t>A3 - Compute and load balancing (tasks 10-13) — you created the launch template, the target group, the load balancer and the Auto Scaling group, and the group is attached to the target group</w:t>
            </w:r>
          </w:p>
        </w:tc>
        <w:tc>
          <w:tcPr>
            <w:tcW w:type="dxa" w:w="1943"/>
          </w:tcPr>
          <w:p>
            <w:r>
              <w:t>☐ Yes  ☐ No</w:t>
            </w:r>
          </w:p>
        </w:tc>
      </w:tr>
      <w:tr>
        <w:tc>
          <w:tcPr>
            <w:tcW w:type="dxa" w:w="8797"/>
          </w:tcPr>
          <w:p>
            <w:r>
              <w:t>A4 - Database (tasks 14-15) — you created the subnet group across two zones and deployed the database: single-zone, encrypted, not publicly accessible, and in the database security group</w:t>
            </w:r>
          </w:p>
        </w:tc>
        <w:tc>
          <w:tcPr>
            <w:tcW w:type="dxa" w:w="1943"/>
          </w:tcPr>
          <w:p>
            <w:r>
              <w:t>☐ Yes  ☐ No</w:t>
            </w:r>
          </w:p>
        </w:tc>
      </w:tr>
      <w:tr>
        <w:tc>
          <w:tcPr>
            <w:tcW w:type="dxa" w:w="8797"/>
          </w:tcPr>
          <w:p>
            <w:r>
              <w:t>A5 - Monitoring (task 16) — you created both alarms with the metrics and thresholds given</w:t>
            </w:r>
          </w:p>
        </w:tc>
        <w:tc>
          <w:tcPr>
            <w:tcW w:type="dxa" w:w="1943"/>
          </w:tcPr>
          <w:p>
            <w:r>
              <w:t>☐ Yes  ☐ No</w:t>
            </w:r>
          </w:p>
        </w:tc>
      </w:tr>
      <w:tr>
        <w:tc>
          <w:tcPr>
            <w:tcW w:type="dxa" w:w="8797"/>
          </w:tcPr>
          <w:p>
            <w:r>
              <w:t>A6 - Configuration decisions (tasks 10 and 15) — for each of the two decisions the run sheet leaves open, you named the option you did not choose, stated the one you did, and justified it against the YAT LMS workload</w:t>
            </w:r>
          </w:p>
        </w:tc>
        <w:tc>
          <w:tcPr>
            <w:tcW w:type="dxa" w:w="1943"/>
          </w:tcPr>
          <w:p>
            <w:r>
              <w:t>☐ Yes  ☐ No</w:t>
            </w:r>
          </w:p>
        </w:tc>
      </w:tr>
      <w:tr>
        <w:tc>
          <w:tcPr>
            <w:tcW w:type="dxa" w:w="8797"/>
          </w:tcPr>
          <w:p>
            <w:r>
              <w:t>A7 - Testing (tests 1-5) — you connected to the application server, reached the internet, the database and the load balancer, and demonstrated the Auto Scaling group scaling out and back in on its own. Each screenshot shows what its box asks for</w:t>
            </w:r>
          </w:p>
        </w:tc>
        <w:tc>
          <w:tcPr>
            <w:tcW w:type="dxa" w:w="1943"/>
          </w:tcPr>
          <w:p>
            <w:r>
              <w:t>☐ Yes  ☐ No</w:t>
            </w:r>
          </w:p>
        </w:tc>
      </w:tr>
      <w:tr>
        <w:tc>
          <w:tcPr>
            <w:tcW w:type="dxa" w:w="8797"/>
          </w:tcPr>
          <w:p>
            <w:r>
              <w:t>A8 - Knowledge questions (Q1-Q6) — you answered all six with reference to your own build, not in general terms, in clear written English</w:t>
            </w:r>
          </w:p>
        </w:tc>
        <w:tc>
          <w:tcPr>
            <w:tcW w:type="dxa" w:w="1943"/>
          </w:tcPr>
          <w:p>
            <w:r>
              <w:t>☐ Yes  ☐ No</w:t>
            </w:r>
          </w:p>
        </w:tc>
      </w:tr>
      <w:tr>
        <w:tc>
          <w:tcPr>
            <w:tcW w:type="dxa" w:w="8797"/>
          </w:tcPr>
          <w:p>
            <w:r>
              <w:t>A9 - Handover — you stated where you filed the completed document and which YAT policy required that location</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YAT College is migrating their Learning Management System from on-premises to AWS. You are an MTS Consultant on this engagement, reporting to Pat Lin (MTS Senior Consultant). Sam Walker (YAT IT Manager) is your primary YAT-side stakeholder.</w:t>
      </w:r>
    </w:p>
    <w:p>
      <w:pPr>
        <w:spacing w:after="160"/>
      </w:pPr>
      <w:r>
        <w:rPr>
          <w:b w:val="0"/>
          <w:i w:val="0"/>
          <w:sz w:val="21"/>
        </w:rPr>
        <w:t>At the end of the AT1 engagement the YAT board approved your action plan. MTS Senior Architecture then worked with YAT IT to turn that direction into a cloud architecture design, and an MTS implementation lead turned the design into the build run sheet that forms the second half of this document.</w:t>
      </w:r>
    </w:p>
    <w:p>
      <w:pPr>
        <w:spacing w:after="160"/>
      </w:pPr>
      <w:r>
        <w:rPr>
          <w:b w:val="0"/>
          <w:i w:val="0"/>
          <w:sz w:val="21"/>
        </w:rPr>
        <w:t>Your job is to work through that run sheet and stand up the infrastructure. You are the implementer: the design decisions have been made, and the run sheet tells you what to build and what to build it to.</w:t>
      </w:r>
    </w:p>
    <w:p>
      <w:pPr>
        <w:pStyle w:val="Heading1"/>
      </w:pPr>
      <w:r>
        <w:t>Required resources (assessment conditions)</w:t>
      </w:r>
    </w:p>
    <w:p>
      <w:pPr>
        <w:spacing w:after="120"/>
        <w:ind w:left="340"/>
      </w:pPr>
      <w:r>
        <w:rPr>
          <w:sz w:val="21"/>
        </w:rPr>
        <w:t xml:space="preserve">•  </w:t>
      </w:r>
      <w:hyperlink r:id="rId17">
        <w:r>
          <w:rPr>
            <w:sz w:val="21"/>
            <w:color w:val="0563C1"/>
            <w:u w:val="single"/>
          </w:rPr>
          <w:t>LMS Application Specification — the workload your two sizing decisions are justified against</w:t>
        </w:r>
      </w:hyperlink>
    </w:p>
    <w:p>
      <w:pPr>
        <w:spacing w:after="120"/>
        <w:ind w:left="340"/>
      </w:pPr>
      <w:r>
        <w:rPr>
          <w:sz w:val="21"/>
        </w:rPr>
        <w:t xml:space="preserve">•  </w:t>
      </w:r>
      <w:hyperlink r:id="rId18">
        <w:r>
          <w:rPr>
            <w:sz w:val="21"/>
            <w:color w:val="0563C1"/>
            <w:u w:val="single"/>
          </w:rPr>
          <w:t>Records Management Policy — where a completed engagement document has to be filed</w:t>
        </w:r>
      </w:hyperlink>
    </w:p>
    <w:p>
      <w:pPr>
        <w:pStyle w:val="Heading1"/>
      </w:pPr>
      <w:r>
        <w:t>Instructions to Student</w:t>
      </w:r>
    </w:p>
    <w:p>
      <w:pPr>
        <w:spacing w:after="160"/>
      </w:pPr>
      <w:r>
        <w:rPr>
          <w:b w:val="0"/>
          <w:i w:val="0"/>
          <w:sz w:val="21"/>
        </w:rPr>
        <w:t>Work the tasks in order. Each one tells you what to build and the settings to build it to; finding your way around the console is left to you.</w:t>
      </w:r>
    </w:p>
    <w:p>
      <w:pPr>
        <w:spacing w:after="160"/>
      </w:pPr>
      <w:r>
        <w:rPr>
          <w:b w:val="0"/>
          <w:i w:val="0"/>
          <w:sz w:val="21"/>
        </w:rPr>
        <w:t>Take each screenshot as you finish the task, not at the end. Recreating a screen after you have moved on is painful and sometimes impossible. A task you cannot evidence cannot be assessed as satisfactory.</w:t>
      </w:r>
    </w:p>
    <w:p>
      <w:pPr>
        <w:spacing w:after="160"/>
      </w:pPr>
      <w:r>
        <w:rPr>
          <w:b w:val="0"/>
          <w:i w:val="0"/>
          <w:sz w:val="21"/>
        </w:rPr>
        <w:t>Two tasks ask you to choose between two options. Name the one you did not pick as well as the one you did — a choice with no alternative beside it is not a comparison.</w:t>
      </w:r>
    </w:p>
    <w:p>
      <w:pPr>
        <w:spacing w:after="160"/>
      </w:pPr>
      <w:r>
        <w:rPr>
          <w:b w:val="0"/>
          <w:i w:val="0"/>
          <w:sz w:val="21"/>
        </w:rPr>
        <w:t>Run the tests yourself and screenshot what actually happened. If a test fails, fix it, run it again, and say what you changed.</w:t>
      </w:r>
    </w:p>
    <w:p>
      <w:pPr>
        <w:spacing w:after="160"/>
      </w:pPr>
      <w:r>
        <w:rPr>
          <w:b w:val="0"/>
          <w:i w:val="0"/>
          <w:sz w:val="21"/>
        </w:rPr>
        <w:t>Answer the knowledge questions about your own build. Generic answers about cloud computing will not pass.</w:t>
      </w:r>
    </w:p>
    <w:p>
      <w:pPr>
        <w:spacing w:after="200"/>
      </w:pPr>
      <w:r>
        <w:rPr>
          <w:b w:val="0"/>
          <w:i w:val="0"/>
          <w:sz w:val="21"/>
        </w:rPr>
        <w:t>This engagement's production region is ap-southeast-2 (Sydney). The build environment for this work is us-east-1 — build there, and treat it as standing in for Sydney throughout.</w:t>
      </w:r>
    </w:p>
    <w:p>
      <w:pPr>
        <w:spacing w:before="200" w:after="0"/>
      </w:pPr>
      <w:r>
        <w:rPr>
          <w:b/>
          <w:color w:val="1F5A5C"/>
          <w:sz w:val="16"/>
        </w:rPr>
        <w:t>TASK 1</w:t>
      </w:r>
    </w:p>
    <w:p>
      <w:pPr>
        <w:pStyle w:val="Heading2"/>
      </w:pPr>
      <w:r>
        <w:t>Sign in and confirm your working region</w:t>
      </w:r>
    </w:p>
    <w:p>
      <w:pPr>
        <w:spacing w:after="120"/>
      </w:pPr>
      <w:r>
        <w:rPr>
          <w:b w:val="0"/>
          <w:i w:val="0"/>
          <w:sz w:val="21"/>
        </w:rPr>
        <w:t>Sign in to the AWS console for this engagement and set your region.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console with the region selector visible, showing the correct region.</w:t>
            </w:r>
          </w:p>
        </w:tc>
      </w:tr>
    </w:tbl>
    <w:p/>
    <w:p>
      <w:pPr>
        <w:spacing w:before="200" w:after="0"/>
      </w:pPr>
      <w:r>
        <w:rPr>
          <w:b/>
          <w:color w:val="1F5A5C"/>
          <w:sz w:val="16"/>
        </w:rPr>
        <w:t>TASK 2</w:t>
      </w:r>
    </w:p>
    <w:p>
      <w:pPr>
        <w:pStyle w:val="Heading2"/>
      </w:pPr>
      <w:r>
        <w:t>Create the VPC</w:t>
      </w:r>
    </w:p>
    <w:p>
      <w:pPr>
        <w:spacing w:after="120"/>
      </w:pPr>
      <w:r>
        <w:rPr>
          <w:b w:val="0"/>
          <w:i w:val="0"/>
          <w:sz w:val="21"/>
        </w:rPr>
        <w:t>Create the virtual private cloud all of this engagement's infrastructure sits in.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IPv4 CIDR</w:t>
            </w:r>
          </w:p>
        </w:tc>
        <w:tc>
          <w:tcPr>
            <w:tcW w:type="dxa" w:w="6576"/>
            <w:tcBorders>
              <w:top w:val="single" w:sz="4" w:space="0" w:color="E4DED3"/>
              <w:left w:val="single" w:sz="4" w:space="0" w:color="E4DED3"/>
              <w:bottom w:val="single" w:sz="4" w:space="0" w:color="E4DED3"/>
              <w:right w:val="single" w:sz="4" w:space="0" w:color="E4DED3"/>
            </w:tcBorders>
          </w:tcPr>
          <w:p>
            <w:r>
              <w:rPr>
                <w:sz w:val="19"/>
              </w:rPr>
              <w:t>10.0.0.0/16</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hostnames</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resolution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bl>
    <w:p/>
    <w:p>
      <w:pPr>
        <w:spacing w:after="60"/>
      </w:pPr>
      <w:r>
        <w:rPr>
          <w:b/>
          <w:i w:val="0"/>
          <w:sz w:val="21"/>
        </w:rPr>
        <w:t>Evidence</w:t>
      </w:r>
    </w:p>
    <w:p>
      <w:pPr>
        <w:spacing w:after="200"/>
      </w:pPr>
      <w:r>
        <w:rPr>
          <w:b w:val="0"/>
          <w:i/>
          <w:color w:val="6B6660"/>
          <w:sz w:val="19"/>
        </w:rPr>
        <w:t>No screenshot required. Creating the VPC is not an assessable action on its own — it is the prerequisite for everything that follows, all of which is built inside it.</w:t>
      </w:r>
    </w:p>
    <w:p>
      <w:pPr>
        <w:spacing w:before="200" w:after="0"/>
      </w:pPr>
      <w:r>
        <w:rPr>
          <w:b/>
          <w:color w:val="1F5A5C"/>
          <w:sz w:val="16"/>
        </w:rPr>
        <w:t>TASK 3</w:t>
      </w:r>
    </w:p>
    <w:p>
      <w:pPr>
        <w:pStyle w:val="Heading2"/>
      </w:pPr>
      <w:r>
        <w:t>Create the subnets</w:t>
      </w:r>
    </w:p>
    <w:p>
      <w:pPr>
        <w:spacing w:after="120"/>
      </w:pPr>
      <w:r>
        <w:rPr>
          <w:b w:val="0"/>
          <w:i w:val="0"/>
          <w:sz w:val="21"/>
        </w:rPr>
        <w:t>Create five subnets, using the names, address ranges and zones below. Set the zone yourself on every one — the console picks a default, and if two subnets that are meant to be in different zones end up in the same one, the load balancer and the database will both refuse to create later.</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public-web-a</w:t>
            </w:r>
          </w:p>
        </w:tc>
        <w:tc>
          <w:tcPr>
            <w:tcW w:type="dxa" w:w="6576"/>
            <w:tcBorders>
              <w:top w:val="single" w:sz="4" w:space="0" w:color="E4DED3"/>
              <w:left w:val="single" w:sz="4" w:space="0" w:color="E4DED3"/>
              <w:bottom w:val="single" w:sz="4" w:space="0" w:color="E4DED3"/>
              <w:right w:val="single" w:sz="4" w:space="0" w:color="E4DED3"/>
            </w:tcBorders>
          </w:tcPr>
          <w:p>
            <w:r>
              <w:rPr>
                <w:sz w:val="19"/>
              </w:rPr>
              <w:t>10.0.1.0/24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public-web-b</w:t>
            </w:r>
          </w:p>
        </w:tc>
        <w:tc>
          <w:tcPr>
            <w:tcW w:type="dxa" w:w="6576"/>
            <w:tcBorders>
              <w:top w:val="single" w:sz="4" w:space="0" w:color="E4DED3"/>
              <w:left w:val="single" w:sz="4" w:space="0" w:color="E4DED3"/>
              <w:bottom w:val="single" w:sz="4" w:space="0" w:color="E4DED3"/>
              <w:right w:val="single" w:sz="4" w:space="0" w:color="E4DED3"/>
            </w:tcBorders>
          </w:tcPr>
          <w:p>
            <w:r>
              <w:rPr>
                <w:sz w:val="19"/>
              </w:rPr>
              <w:t>10.0.2.0/24  —  zone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private-app-a</w:t>
            </w:r>
          </w:p>
        </w:tc>
        <w:tc>
          <w:tcPr>
            <w:tcW w:type="dxa" w:w="6576"/>
            <w:tcBorders>
              <w:top w:val="single" w:sz="4" w:space="0" w:color="E4DED3"/>
              <w:left w:val="single" w:sz="4" w:space="0" w:color="E4DED3"/>
              <w:bottom w:val="single" w:sz="4" w:space="0" w:color="E4DED3"/>
              <w:right w:val="single" w:sz="4" w:space="0" w:color="E4DED3"/>
            </w:tcBorders>
          </w:tcPr>
          <w:p>
            <w:r>
              <w:rPr>
                <w:sz w:val="19"/>
              </w:rPr>
              <w:t>10.0.11.0/24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private-data-a</w:t>
            </w:r>
          </w:p>
        </w:tc>
        <w:tc>
          <w:tcPr>
            <w:tcW w:type="dxa" w:w="6576"/>
            <w:tcBorders>
              <w:top w:val="single" w:sz="4" w:space="0" w:color="E4DED3"/>
              <w:left w:val="single" w:sz="4" w:space="0" w:color="E4DED3"/>
              <w:bottom w:val="single" w:sz="4" w:space="0" w:color="E4DED3"/>
              <w:right w:val="single" w:sz="4" w:space="0" w:color="E4DED3"/>
            </w:tcBorders>
          </w:tcPr>
          <w:p>
            <w:r>
              <w:rPr>
                <w:sz w:val="19"/>
              </w:rPr>
              <w:t>10.0.21.0/24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private-data-b</w:t>
            </w:r>
          </w:p>
        </w:tc>
        <w:tc>
          <w:tcPr>
            <w:tcW w:type="dxa" w:w="6576"/>
            <w:tcBorders>
              <w:top w:val="single" w:sz="4" w:space="0" w:color="E4DED3"/>
              <w:left w:val="single" w:sz="4" w:space="0" w:color="E4DED3"/>
              <w:bottom w:val="single" w:sz="4" w:space="0" w:color="E4DED3"/>
              <w:right w:val="single" w:sz="4" w:space="0" w:color="E4DED3"/>
            </w:tcBorders>
          </w:tcPr>
          <w:p>
            <w:r>
              <w:rPr>
                <w:sz w:val="19"/>
              </w:rPr>
              <w:t>10.0.22.0/24  —  zone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Why five</w:t>
            </w:r>
          </w:p>
        </w:tc>
        <w:tc>
          <w:tcPr>
            <w:tcW w:type="dxa" w:w="6576"/>
            <w:tcBorders>
              <w:top w:val="single" w:sz="4" w:space="0" w:color="E4DED3"/>
              <w:left w:val="single" w:sz="4" w:space="0" w:color="E4DED3"/>
              <w:bottom w:val="single" w:sz="4" w:space="0" w:color="E4DED3"/>
              <w:right w:val="single" w:sz="4" w:space="0" w:color="E4DED3"/>
            </w:tcBorders>
          </w:tcPr>
          <w:p>
            <w:r>
              <w:rPr>
                <w:sz w:val="19"/>
              </w:rPr>
              <w:t>three carry your workload, all in us-east-1a. The two in us-east-1b exist only because the load balancer and the database subnet group each refuse to be created unless you give them subnets in two zones. Nothing is placed in those two</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subnet list filtered to your VPC, showing all five with their address ranges and, in particular, the Availability Zone column.</w:t>
            </w:r>
          </w:p>
        </w:tc>
      </w:tr>
    </w:tbl>
    <w:p/>
    <w:p>
      <w:pPr>
        <w:spacing w:before="200" w:after="0"/>
      </w:pPr>
      <w:r>
        <w:rPr>
          <w:b/>
          <w:color w:val="1F5A5C"/>
          <w:sz w:val="16"/>
        </w:rPr>
        <w:t>TASK 4</w:t>
      </w:r>
    </w:p>
    <w:p>
      <w:pPr>
        <w:pStyle w:val="Heading2"/>
      </w:pPr>
      <w:r>
        <w:t>Create the internet gateway</w:t>
      </w:r>
    </w:p>
    <w:p>
      <w:pPr>
        <w:spacing w:after="120"/>
      </w:pPr>
      <w:r>
        <w:rPr>
          <w:b w:val="0"/>
          <w:i w:val="0"/>
          <w:sz w:val="21"/>
        </w:rPr>
        <w:t>Create the gateway that gives the public subnet a path to the internet, and attach it to your VPC.</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yat-lms-igw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Attach to</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internet gateway showing State: Attached, and the VPC it is attached to.</w:t>
            </w:r>
          </w:p>
        </w:tc>
      </w:tr>
    </w:tbl>
    <w:p/>
    <w:p>
      <w:pPr>
        <w:spacing w:before="200" w:after="0"/>
      </w:pPr>
      <w:r>
        <w:rPr>
          <w:b/>
          <w:color w:val="1F5A5C"/>
          <w:sz w:val="16"/>
        </w:rPr>
        <w:t>TASK 5</w:t>
      </w:r>
    </w:p>
    <w:p>
      <w:pPr>
        <w:pStyle w:val="Heading2"/>
      </w:pPr>
      <w:r>
        <w:t>Create the NAT gateway</w:t>
      </w:r>
    </w:p>
    <w:p>
      <w:pPr>
        <w:spacing w:after="120"/>
      </w:pPr>
      <w:r>
        <w:rPr>
          <w:b w:val="0"/>
          <w:i w:val="0"/>
          <w:sz w:val="21"/>
        </w:rPr>
        <w:t>Create a NAT gateway, using the settings below. It lets the application servers reach out to the internet for updates and external services without anything on the internet being able to reach them. It sits in the public subnet and takes a few minutes to become available.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yat-lms-nat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public-web-a — the NAT gateway goes in the public subnet, not the one it serves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Connectivity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Elastic IP</w:t>
            </w:r>
          </w:p>
        </w:tc>
        <w:tc>
          <w:tcPr>
            <w:tcW w:type="dxa" w:w="6576"/>
            <w:tcBorders>
              <w:top w:val="single" w:sz="4" w:space="0" w:color="E4DED3"/>
              <w:left w:val="single" w:sz="4" w:space="0" w:color="E4DED3"/>
              <w:bottom w:val="single" w:sz="4" w:space="0" w:color="E4DED3"/>
              <w:right w:val="single" w:sz="4" w:space="0" w:color="E4DED3"/>
            </w:tcBorders>
          </w:tcPr>
          <w:p>
            <w:r>
              <w:rPr>
                <w:sz w:val="19"/>
              </w:rPr>
              <w:t>allocate a new one here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Before moving on</w:t>
            </w:r>
          </w:p>
        </w:tc>
        <w:tc>
          <w:tcPr>
            <w:tcW w:type="dxa" w:w="6576"/>
            <w:tcBorders>
              <w:top w:val="single" w:sz="4" w:space="0" w:color="E4DED3"/>
              <w:left w:val="single" w:sz="4" w:space="0" w:color="E4DED3"/>
              <w:bottom w:val="single" w:sz="4" w:space="0" w:color="E4DED3"/>
              <w:right w:val="single" w:sz="4" w:space="0" w:color="E4DED3"/>
            </w:tcBorders>
          </w:tcPr>
          <w:p>
            <w:r>
              <w:rPr>
                <w:sz w:val="19"/>
              </w:rPr>
              <w:t>wait until its state reads Available — you cannot route to it until then</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NAT gateway showing State: Available, its subnet and its Elastic IP.</w:t>
            </w:r>
          </w:p>
        </w:tc>
      </w:tr>
    </w:tbl>
    <w:p/>
    <w:p>
      <w:pPr>
        <w:spacing w:before="200" w:after="0"/>
      </w:pPr>
      <w:r>
        <w:rPr>
          <w:b/>
          <w:color w:val="1F5A5C"/>
          <w:sz w:val="16"/>
        </w:rPr>
        <w:t>TASK 6</w:t>
      </w:r>
    </w:p>
    <w:p>
      <w:pPr>
        <w:pStyle w:val="Heading2"/>
      </w:pPr>
      <w:r>
        <w:t>Create the route tables</w:t>
      </w:r>
    </w:p>
    <w:p>
      <w:pPr>
        <w:spacing w:after="120"/>
      </w:pPr>
      <w:r>
        <w:rPr>
          <w:b w:val="0"/>
          <w:i w:val="0"/>
          <w:sz w:val="21"/>
        </w:rPr>
        <w:t>Create two route tables, using the settings below. The data subnets are deliberately left on the default route table the VPC already has, which carries no internet route at all — which is exactly what a database tier should have.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public-web-a AND public-web-b; 0.0.0.0/0 → the internet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private-app-rt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private-app-a; 0.0.0.0/0 → the NAT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 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them alone — no route table of your own</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both route tables, showing their routes and their subnet associations.</w:t>
            </w:r>
          </w:p>
        </w:tc>
      </w:tr>
    </w:tbl>
    <w:p/>
    <w:p>
      <w:pPr>
        <w:spacing w:before="200" w:after="0"/>
      </w:pPr>
      <w:r>
        <w:rPr>
          <w:b/>
          <w:color w:val="1F5A5C"/>
          <w:sz w:val="16"/>
        </w:rPr>
        <w:t>TASK 7</w:t>
      </w:r>
    </w:p>
    <w:p>
      <w:pPr>
        <w:pStyle w:val="Heading2"/>
      </w:pPr>
      <w:r>
        <w:t>Create the three security groups</w:t>
      </w:r>
    </w:p>
    <w:p>
      <w:pPr>
        <w:spacing w:after="120"/>
      </w:pPr>
      <w:r>
        <w:rPr>
          <w:b w:val="0"/>
          <w:i w:val="0"/>
          <w:sz w:val="21"/>
        </w:rPr>
        <w:t>Create three security groups, using the names and rules below. Create all three as empty shells first, then go back and add the rules — each one names the others as a source, which you cannot do until they exist. AWS will not accept a name starting with sg- : that prefix is reserved for the IDs it generates.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yat-lms-alb-sg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0.0.0.0/0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yat-lms-app-sg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yat-lms-alb-sg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yat-lms-db-sg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MySQL 3306 from yat-lms-app-sg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Outbound</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 default allow-all on all three</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all three security groups with their inbound rules expanded.</w:t>
            </w:r>
          </w:p>
        </w:tc>
      </w:tr>
    </w:tbl>
    <w:p/>
    <w:p>
      <w:pPr>
        <w:spacing w:before="200" w:after="0"/>
      </w:pPr>
      <w:r>
        <w:rPr>
          <w:b/>
          <w:color w:val="1F5A5C"/>
          <w:sz w:val="16"/>
        </w:rPr>
        <w:t>TASK 8</w:t>
      </w:r>
    </w:p>
    <w:p>
      <w:pPr>
        <w:pStyle w:val="Heading2"/>
      </w:pPr>
      <w:r>
        <w:t>Configure the access model</w:t>
      </w:r>
    </w:p>
    <w:p>
      <w:pPr>
        <w:spacing w:after="120"/>
      </w:pPr>
      <w:r>
        <w:rPr>
          <w:b w:val="0"/>
          <w:i w:val="0"/>
          <w:sz w:val="21"/>
        </w:rPr>
        <w:t>Create the group that will operate the platform after handover, and a user in it. Complete each form with the values below, submit it, and capture the result.</w:t>
      </w:r>
    </w:p>
    <w:p>
      <w:pPr>
        <w:spacing w:before="80" w:after="160"/>
        <w:ind w:left="227"/>
      </w:pPr>
      <w:r>
        <w:rPr>
          <w:b/>
          <w:color w:val="C5613B"/>
          <w:sz w:val="19"/>
        </w:rPr>
        <w:t xml:space="preserve">Environment constraint </w:t>
      </w:r>
      <w:r>
        <w:rPr>
          <w:i/>
          <w:color w:val="C5613B"/>
          <w:sz w:val="19"/>
        </w:rPr>
        <w:t>the lab environment does not permit groups or users to be created. This is a known constraint of the AWS educational environment, not a fault in your work — you will be refused, and the refusal is what you capture.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Group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YAT-ICT-Admins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ReadOnlyAccess  — filter for it and pick the policy named exactly that, not one of the service-specific ones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User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swalker  (Sam Walker, YAT IT Manager)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user</w:t>
            </w:r>
          </w:p>
        </w:tc>
        <w:tc>
          <w:tcPr>
            <w:tcW w:type="dxa" w:w="6576"/>
            <w:tcBorders>
              <w:top w:val="single" w:sz="4" w:space="0" w:color="E4DED3"/>
              <w:left w:val="single" w:sz="4" w:space="0" w:color="E4DED3"/>
              <w:bottom w:val="single" w:sz="4" w:space="0" w:color="E4DED3"/>
              <w:right w:val="single" w:sz="4" w:space="0" w:color="E4DED3"/>
            </w:tcBorders>
          </w:tcPr>
          <w:p>
            <w:r>
              <w:rPr>
                <w:sz w:val="19"/>
              </w:rPr>
              <w:t>CloudWatchFullAccess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Expected result</w:t>
            </w:r>
          </w:p>
        </w:tc>
        <w:tc>
          <w:tcPr>
            <w:tcW w:type="dxa" w:w="6576"/>
            <w:tcBorders>
              <w:top w:val="single" w:sz="4" w:space="0" w:color="E4DED3"/>
              <w:left w:val="single" w:sz="4" w:space="0" w:color="E4DED3"/>
              <w:bottom w:val="single" w:sz="4" w:space="0" w:color="E4DED3"/>
              <w:right w:val="single" w:sz="4" w:space="0" w:color="E4DED3"/>
            </w:tcBorders>
          </w:tcPr>
          <w:p>
            <w:r>
              <w:rPr>
                <w:sz w:val="19"/>
              </w:rPr>
              <w:t>both submissions are refused with a permissions error</w:t>
            </w:r>
          </w:p>
        </w:tc>
      </w:tr>
    </w:tbl>
    <w:p/>
    <w:p>
      <w:pPr>
        <w:spacing w:after="60"/>
      </w:pPr>
      <w:r>
        <w:rPr>
          <w:b/>
          <w:i w:val="0"/>
          <w:sz w:val="21"/>
        </w:rPr>
        <w:t>Your decision</w:t>
      </w:r>
    </w:p>
    <w:p>
      <w:pPr>
        <w:spacing w:after="120"/>
      </w:pPr>
      <w:r>
        <w:rPr>
          <w:b w:val="0"/>
          <w:i/>
          <w:color w:val="6B6660"/>
          <w:sz w:val="19"/>
        </w:rPr>
        <w:t>Why does this group get read access to everything but no ability to change identity settings, when it is the group that operates the whole platform?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completed group form — YAT-ICT-Admins with ReadOnlyAccess attached — and the error returned.</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completed user form — swalker with CloudWatchFullAccess attached — and the error returned.</w:t>
            </w:r>
          </w:p>
        </w:tc>
      </w:tr>
    </w:tbl>
    <w:p/>
    <w:p>
      <w:pPr>
        <w:spacing w:before="200" w:after="0"/>
      </w:pPr>
      <w:r>
        <w:rPr>
          <w:b/>
          <w:color w:val="1F5A5C"/>
          <w:sz w:val="16"/>
        </w:rPr>
        <w:t>TASK 9</w:t>
      </w:r>
    </w:p>
    <w:p>
      <w:pPr>
        <w:pStyle w:val="Heading2"/>
      </w:pPr>
      <w:r>
        <w:t>Review the instance role</w:t>
      </w:r>
    </w:p>
    <w:p>
      <w:pPr>
        <w:spacing w:after="120"/>
      </w:pPr>
      <w:r>
        <w:rPr>
          <w:b w:val="0"/>
          <w:i w:val="0"/>
          <w:sz w:val="21"/>
        </w:rPr>
        <w:t>Open the role named below and look at the policies attached to it, then write its name down. Your servers reach the storage buckets and the logging service through this role, so no credentials are ever stored on a server. You select it in the next task.</w:t>
      </w:r>
    </w:p>
    <w:p>
      <w:pPr>
        <w:spacing w:before="80" w:after="160"/>
        <w:ind w:left="227"/>
      </w:pPr>
      <w:r>
        <w:rPr>
          <w:b/>
          <w:color w:val="C5613B"/>
          <w:sz w:val="19"/>
        </w:rPr>
        <w:t xml:space="preserve">Environment constraint </w:t>
      </w:r>
      <w:r>
        <w:rPr>
          <w:i/>
          <w:color w:val="C5613B"/>
          <w:sz w:val="19"/>
        </w:rPr>
        <w:t>the lab environment supplies this role ready-made and does not permit you to create your own, so this task is a review rather than a build.</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Go to</w:t>
            </w:r>
          </w:p>
        </w:tc>
        <w:tc>
          <w:tcPr>
            <w:tcW w:type="dxa" w:w="6576"/>
            <w:tcBorders>
              <w:top w:val="single" w:sz="4" w:space="0" w:color="E4DED3"/>
              <w:left w:val="single" w:sz="4" w:space="0" w:color="E4DED3"/>
              <w:bottom w:val="single" w:sz="4" w:space="0" w:color="E4DED3"/>
              <w:right w:val="single" w:sz="4" w:space="0" w:color="E4DED3"/>
            </w:tcBorders>
          </w:tcPr>
          <w:p>
            <w:r>
              <w:rPr>
                <w:sz w:val="19"/>
              </w:rPr>
              <w:t>IAM → Roles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Open</w:t>
            </w:r>
          </w:p>
        </w:tc>
        <w:tc>
          <w:tcPr>
            <w:tcW w:type="dxa" w:w="6576"/>
            <w:tcBorders>
              <w:top w:val="single" w:sz="4" w:space="0" w:color="E4DED3"/>
              <w:left w:val="single" w:sz="4" w:space="0" w:color="E4DED3"/>
              <w:bottom w:val="single" w:sz="4" w:space="0" w:color="E4DED3"/>
              <w:right w:val="single" w:sz="4" w:space="0" w:color="E4DED3"/>
            </w:tcBorders>
          </w:tcPr>
          <w:p>
            <w:r>
              <w:rPr>
                <w:sz w:val="19"/>
              </w:rPr>
              <w:t>LabRole  (the role the environment provides)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Look at</w:t>
            </w:r>
          </w:p>
        </w:tc>
        <w:tc>
          <w:tcPr>
            <w:tcW w:type="dxa" w:w="6576"/>
            <w:tcBorders>
              <w:top w:val="single" w:sz="4" w:space="0" w:color="E4DED3"/>
              <w:left w:val="single" w:sz="4" w:space="0" w:color="E4DED3"/>
              <w:bottom w:val="single" w:sz="4" w:space="0" w:color="E4DED3"/>
              <w:right w:val="single" w:sz="4" w:space="0" w:color="E4DED3"/>
            </w:tcBorders>
          </w:tcPr>
          <w:p>
            <w:r>
              <w:rPr>
                <w:sz w:val="19"/>
              </w:rPr>
              <w:t>the Permissions tab — the policies attached to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Answer for yourself</w:t>
            </w:r>
          </w:p>
        </w:tc>
        <w:tc>
          <w:tcPr>
            <w:tcW w:type="dxa" w:w="6576"/>
            <w:tcBorders>
              <w:top w:val="single" w:sz="4" w:space="0" w:color="E4DED3"/>
              <w:left w:val="single" w:sz="4" w:space="0" w:color="E4DED3"/>
              <w:bottom w:val="single" w:sz="4" w:space="0" w:color="E4DED3"/>
              <w:right w:val="single" w:sz="4" w:space="0" w:color="E4DED3"/>
            </w:tcBorders>
          </w:tcPr>
          <w:p>
            <w:r>
              <w:rPr>
                <w:sz w:val="19"/>
              </w:rPr>
              <w:t>which services does it let your servers reach?</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Write down</w:t>
            </w:r>
          </w:p>
        </w:tc>
        <w:tc>
          <w:tcPr>
            <w:tcW w:type="dxa" w:w="6576"/>
            <w:tcBorders>
              <w:top w:val="single" w:sz="4" w:space="0" w:color="E4DED3"/>
              <w:left w:val="single" w:sz="4" w:space="0" w:color="E4DED3"/>
              <w:bottom w:val="single" w:sz="4" w:space="0" w:color="E4DED3"/>
              <w:right w:val="single" w:sz="4" w:space="0" w:color="E4DED3"/>
            </w:tcBorders>
          </w:tcPr>
          <w:p>
            <w:r>
              <w:rPr>
                <w:sz w:val="19"/>
              </w:rPr>
              <w:t>the role name, exactly as shown — task 10 asks for it</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LabRole summary page with the Permissions tab open, showing the policies attached to it.</w:t>
            </w:r>
          </w:p>
        </w:tc>
      </w:tr>
    </w:tbl>
    <w:p/>
    <w:p>
      <w:pPr>
        <w:spacing w:before="200" w:after="0"/>
      </w:pPr>
      <w:r>
        <w:rPr>
          <w:b/>
          <w:color w:val="1F5A5C"/>
          <w:sz w:val="16"/>
        </w:rPr>
        <w:t>TASK 10</w:t>
      </w:r>
    </w:p>
    <w:p>
      <w:pPr>
        <w:pStyle w:val="Heading2"/>
      </w:pPr>
      <w:r>
        <w:t>Create the launch template</w:t>
      </w:r>
    </w:p>
    <w:p>
      <w:pPr>
        <w:spacing w:after="120"/>
      </w:pPr>
      <w:r>
        <w:rPr>
          <w:b w:val="0"/>
          <w:i w:val="0"/>
          <w:sz w:val="21"/>
        </w:rPr>
        <w:t>Create a launch template, using the settings below. It defines how every application server is built. The Auto Scaling group creates servers from it, so nothing is configured on a server by hand.</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AMI</w:t>
            </w:r>
          </w:p>
        </w:tc>
        <w:tc>
          <w:tcPr>
            <w:tcW w:type="dxa" w:w="6576"/>
            <w:tcBorders>
              <w:top w:val="single" w:sz="4" w:space="0" w:color="E4DED3"/>
              <w:left w:val="single" w:sz="4" w:space="0" w:color="E4DED3"/>
              <w:bottom w:val="single" w:sz="4" w:space="0" w:color="E4DED3"/>
              <w:right w:val="single" w:sz="4" w:space="0" w:color="E4DED3"/>
            </w:tcBorders>
          </w:tcPr>
          <w:p>
            <w:r>
              <w:rPr>
                <w:sz w:val="19"/>
              </w:rPr>
              <w:t>Windows Server (latest available)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Key pair</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 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 one — the Auto Scaling group supplies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yat-lms-app-sg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Root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30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add a second volume: gp3, 8 GB, device name xvdb. The console will not accept the volume without a device name, and the /dev/sd... names are greyed out because this is a Windows image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IAM instance profile</w:t>
            </w:r>
          </w:p>
        </w:tc>
        <w:tc>
          <w:tcPr>
            <w:tcW w:type="dxa" w:w="6576"/>
            <w:tcBorders>
              <w:top w:val="single" w:sz="4" w:space="0" w:color="E4DED3"/>
              <w:left w:val="single" w:sz="4" w:space="0" w:color="E4DED3"/>
              <w:bottom w:val="single" w:sz="4" w:space="0" w:color="E4DED3"/>
              <w:right w:val="single" w:sz="4" w:space="0" w:color="E4DED3"/>
            </w:tcBorders>
          </w:tcPr>
          <w:p>
            <w:r>
              <w:rPr>
                <w:sz w:val="19"/>
              </w:rPr>
              <w:t>LabInstanceProfile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User data</w:t>
            </w:r>
          </w:p>
        </w:tc>
        <w:tc>
          <w:tcPr>
            <w:tcW w:type="dxa" w:w="6576"/>
            <w:tcBorders>
              <w:top w:val="single" w:sz="4" w:space="0" w:color="E4DED3"/>
              <w:left w:val="single" w:sz="4" w:space="0" w:color="E4DED3"/>
              <w:bottom w:val="single" w:sz="4" w:space="0" w:color="E4DED3"/>
              <w:right w:val="single" w:sz="4" w:space="0" w:color="E4DED3"/>
            </w:tcBorders>
          </w:tcPr>
          <w:p>
            <w:r>
              <w:rPr>
                <w:sz w:val="19"/>
              </w:rPr>
              <w:t>the script below, exactly as written</w:t>
            </w:r>
          </w:p>
        </w:tc>
      </w:tr>
    </w:tbl>
    <w:p/>
    <w:p>
      <w:pPr>
        <w:spacing w:after="60"/>
      </w:pPr>
      <w:r>
        <w:rPr>
          <w:b/>
          <w:i w:val="0"/>
          <w:sz w:val="21"/>
        </w:rPr>
        <w:t>User data</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&lt;powershell&gt;</w:t>
            </w:r>
          </w:p>
          <w:p>
            <w:pPr>
              <w:spacing w:after="0"/>
            </w:pPr>
            <w:r>
              <w:rPr>
                <w:rFonts w:ascii="Consolas" w:hAnsi="Consolas"/>
                <w:sz w:val="18"/>
              </w:rPr>
              <w:t>Install-WindowsFeature -Name Web-Server -IncludeManagementTools</w:t>
            </w:r>
          </w:p>
          <w:p>
            <w:pPr>
              <w:spacing w:after="0"/>
            </w:pPr>
            <w:r>
              <w:rPr>
                <w:rFonts w:ascii="Consolas" w:hAnsi="Consolas"/>
                <w:sz w:val="18"/>
              </w:rPr>
              <w:t>Set-Content -Path "C:\inetpub\wwwroot\index.html" -Value "&lt;html&gt;&lt;body&gt;</w:t>
            </w:r>
          </w:p>
          <w:p>
            <w:pPr>
              <w:spacing w:after="0"/>
            </w:pPr>
            <w:r>
              <w:rPr>
                <w:rFonts w:ascii="Consolas" w:hAnsi="Consolas"/>
                <w:sz w:val="18"/>
              </w:rPr>
              <w:t>&lt;h1&gt;YAT LMS&lt;/h1&gt;&lt;p&gt;Infrastructure ready - awaiting application</w:t>
            </w:r>
          </w:p>
          <w:p>
            <w:pPr>
              <w:spacing w:after="0"/>
            </w:pPr>
            <w:r>
              <w:rPr>
                <w:rFonts w:ascii="Consolas" w:hAnsi="Consolas"/>
                <w:sz w:val="18"/>
              </w:rPr>
              <w:t>deployment.&lt;/p&gt;&lt;/body&gt;&lt;/html&gt;"</w:t>
            </w:r>
          </w:p>
          <w:p>
            <w:pPr>
              <w:spacing w:after="0"/>
            </w:pPr>
            <w:r>
              <w:rPr>
                <w:rFonts w:ascii="Consolas" w:hAnsi="Consolas"/>
                <w:sz w:val="18"/>
              </w:rPr>
              <w:t>&lt;/powershell&gt;</w:t>
            </w:r>
          </w:p>
        </w:tc>
      </w:tr>
    </w:tbl>
    <w:p/>
    <w:p>
      <w:pPr>
        <w:spacing w:after="60"/>
      </w:pPr>
      <w:r>
        <w:rPr>
          <w:b/>
          <w:i w:val="0"/>
          <w:sz w:val="21"/>
        </w:rPr>
        <w:t>Your decision</w:t>
      </w:r>
    </w:p>
    <w:p>
      <w:pPr>
        <w:spacing w:after="120"/>
      </w:pPr>
      <w:r>
        <w:rPr>
          <w:b w:val="0"/>
          <w:i/>
          <w:color w:val="6B6660"/>
          <w:sz w:val="19"/>
        </w:rPr>
        <w:t>Choose the instance type for the application tier: t3.micro or t3.small. Name the one you did not choose, say which you chose, and explain why against the LMS workload described in the LMS Application Specification.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launch template summary, showing the AMI, instance type, instance profile, security group and both volumes.</w:t>
            </w:r>
          </w:p>
        </w:tc>
      </w:tr>
    </w:tbl>
    <w:p/>
    <w:p>
      <w:pPr>
        <w:spacing w:before="200" w:after="0"/>
      </w:pPr>
      <w:r>
        <w:rPr>
          <w:b/>
          <w:color w:val="1F5A5C"/>
          <w:sz w:val="16"/>
        </w:rPr>
        <w:t>TASK 11</w:t>
      </w:r>
    </w:p>
    <w:p>
      <w:pPr>
        <w:pStyle w:val="Heading2"/>
      </w:pPr>
      <w:r>
        <w:t>Create the target group</w:t>
      </w:r>
    </w:p>
    <w:p>
      <w:pPr>
        <w:spacing w:after="120"/>
      </w:pPr>
      <w:r>
        <w:rPr>
          <w:b w:val="0"/>
          <w:i w:val="0"/>
          <w:sz w:val="21"/>
        </w:rPr>
        <w:t>Create a target group, using the settings below. It is the list of servers the load balancer will send traffic to, and the health check that decides which of them are fit to receive it.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Instances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Protocol and port</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port 80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 protocol</w:t>
            </w:r>
          </w:p>
        </w:tc>
        <w:tc>
          <w:tcPr>
            <w:tcW w:type="dxa" w:w="6576"/>
            <w:tcBorders>
              <w:top w:val="single" w:sz="4" w:space="0" w:color="E4DED3"/>
              <w:left w:val="single" w:sz="4" w:space="0" w:color="E4DED3"/>
              <w:bottom w:val="single" w:sz="4" w:space="0" w:color="E4DED3"/>
              <w:right w:val="single" w:sz="4" w:space="0" w:color="E4DED3"/>
            </w:tcBorders>
          </w:tcPr>
          <w:p>
            <w:r>
              <w:rPr>
                <w:sz w:val="19"/>
              </w:rPr>
              <w:t>HTTP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 path</w:t>
            </w:r>
          </w:p>
        </w:tc>
        <w:tc>
          <w:tcPr>
            <w:tcW w:type="dxa" w:w="6576"/>
            <w:tcBorders>
              <w:top w:val="single" w:sz="4" w:space="0" w:color="E4DED3"/>
              <w:left w:val="single" w:sz="4" w:space="0" w:color="E4DED3"/>
              <w:bottom w:val="single" w:sz="4" w:space="0" w:color="E4DED3"/>
              <w:right w:val="single" w:sz="4" w:space="0" w:color="E4DED3"/>
            </w:tcBorders>
          </w:tcPr>
          <w:p>
            <w:r>
              <w:rPr>
                <w:sz w:val="19"/>
              </w:rPr>
              <w: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Interval</w:t>
            </w:r>
          </w:p>
        </w:tc>
        <w:tc>
          <w:tcPr>
            <w:tcW w:type="dxa" w:w="6576"/>
            <w:tcBorders>
              <w:top w:val="single" w:sz="4" w:space="0" w:color="E4DED3"/>
              <w:left w:val="single" w:sz="4" w:space="0" w:color="E4DED3"/>
              <w:bottom w:val="single" w:sz="4" w:space="0" w:color="E4DED3"/>
              <w:right w:val="single" w:sz="4" w:space="0" w:color="E4DED3"/>
            </w:tcBorders>
          </w:tcPr>
          <w:p>
            <w:r>
              <w:rPr>
                <w:sz w:val="19"/>
              </w:rPr>
              <w:t>30 seconds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Unhealthy threshold</w:t>
            </w:r>
          </w:p>
        </w:tc>
        <w:tc>
          <w:tcPr>
            <w:tcW w:type="dxa" w:w="6576"/>
            <w:tcBorders>
              <w:top w:val="single" w:sz="4" w:space="0" w:color="E4DED3"/>
              <w:left w:val="single" w:sz="4" w:space="0" w:color="E4DED3"/>
              <w:bottom w:val="single" w:sz="4" w:space="0" w:color="E4DED3"/>
              <w:right w:val="single" w:sz="4" w:space="0" w:color="E4DED3"/>
            </w:tcBorders>
          </w:tcPr>
          <w:p>
            <w:r>
              <w:rPr>
                <w:sz w:val="19"/>
              </w:rPr>
              <w:t>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Register targets</w:t>
            </w:r>
          </w:p>
        </w:tc>
        <w:tc>
          <w:tcPr>
            <w:tcW w:type="dxa" w:w="6576"/>
            <w:tcBorders>
              <w:top w:val="single" w:sz="4" w:space="0" w:color="E4DED3"/>
              <w:left w:val="single" w:sz="4" w:space="0" w:color="E4DED3"/>
              <w:bottom w:val="single" w:sz="4" w:space="0" w:color="E4DED3"/>
              <w:right w:val="single" w:sz="4" w:space="0" w:color="E4DED3"/>
            </w:tcBorders>
          </w:tcPr>
          <w:p>
            <w:r>
              <w:rPr>
                <w:sz w:val="19"/>
              </w:rPr>
              <w:t>skip this step and create the group with no targets. The Auto Scaling group registers them for you in task 13</w:t>
            </w:r>
          </w:p>
        </w:tc>
      </w:tr>
    </w:tbl>
    <w:p/>
    <w:p>
      <w:pPr>
        <w:spacing w:after="60"/>
      </w:pPr>
      <w:r>
        <w:rPr>
          <w:b/>
          <w:i w:val="0"/>
          <w:sz w:val="21"/>
        </w:rPr>
        <w:t>Evidence</w:t>
      </w:r>
    </w:p>
    <w:p>
      <w:pPr>
        <w:spacing w:after="200"/>
      </w:pPr>
      <w:r>
        <w:rPr>
          <w:b w:val="0"/>
          <w:i/>
          <w:color w:val="6B6660"/>
          <w:sz w:val="19"/>
        </w:rPr>
        <w:t>No screenshot required. Creating the target group is not an assessable action on its own — it is the prerequisite for the load balancer, which sends traffic to it, and the Auto Scaling group, which fills it with servers.</w:t>
      </w:r>
    </w:p>
    <w:p>
      <w:pPr>
        <w:spacing w:before="200" w:after="0"/>
      </w:pPr>
      <w:r>
        <w:rPr>
          <w:b/>
          <w:color w:val="1F5A5C"/>
          <w:sz w:val="16"/>
        </w:rPr>
        <w:t>TASK 12</w:t>
      </w:r>
    </w:p>
    <w:p>
      <w:pPr>
        <w:pStyle w:val="Heading2"/>
      </w:pPr>
      <w:r>
        <w:t>Create the load balancer</w:t>
      </w:r>
    </w:p>
    <w:p>
      <w:pPr>
        <w:spacing w:after="120"/>
      </w:pPr>
      <w:r>
        <w:rPr>
          <w:b w:val="0"/>
          <w:i w:val="0"/>
          <w:sz w:val="21"/>
        </w:rPr>
        <w:t>Create an Application Load Balancer, using the settings below. It sits in front of the application tier and sends traffic only to servers the target group reports as healthy.</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Type</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Load Balancer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yat-lms-alb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Scheme</w:t>
            </w:r>
          </w:p>
        </w:tc>
        <w:tc>
          <w:tcPr>
            <w:tcW w:type="dxa" w:w="6576"/>
            <w:tcBorders>
              <w:top w:val="single" w:sz="4" w:space="0" w:color="E4DED3"/>
              <w:left w:val="single" w:sz="4" w:space="0" w:color="E4DED3"/>
              <w:bottom w:val="single" w:sz="4" w:space="0" w:color="E4DED3"/>
              <w:right w:val="single" w:sz="4" w:space="0" w:color="E4DED3"/>
            </w:tcBorders>
          </w:tcPr>
          <w:p>
            <w:r>
              <w:rPr>
                <w:sz w:val="19"/>
              </w:rPr>
              <w:t>Internet-facing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public-web-a and public-web-b. It requires two zones and will not create with only 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yat-lms-alb-sg. Remove the default group if the console adds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Listener</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on port 80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Listener forwards to</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yat-lms-tg</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load balancer summary, showing its scheme, DNS name, subnets and security group.</w:t>
            </w:r>
          </w:p>
        </w:tc>
      </w:tr>
    </w:tbl>
    <w:p/>
    <w:p>
      <w:pPr>
        <w:spacing w:before="200" w:after="0"/>
      </w:pPr>
      <w:r>
        <w:rPr>
          <w:b/>
          <w:color w:val="1F5A5C"/>
          <w:sz w:val="16"/>
        </w:rPr>
        <w:t>TASK 13</w:t>
      </w:r>
    </w:p>
    <w:p>
      <w:pPr>
        <w:pStyle w:val="Heading2"/>
      </w:pPr>
      <w:r>
        <w:t>Create the Auto Scaling group</w:t>
      </w:r>
    </w:p>
    <w:p>
      <w:pPr>
        <w:spacing w:after="120"/>
      </w:pPr>
      <w:r>
        <w:rPr>
          <w:b w:val="0"/>
          <w:i w:val="0"/>
          <w:sz w:val="21"/>
        </w:rPr>
        <w:t>Create an Auto Scaling group, using the settings below. It adds and removes application servers on its own, without anyone touching the instance count.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1 — Launch 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2 — 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2 — 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private-app-a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3 — Load balancing</w:t>
            </w:r>
          </w:p>
        </w:tc>
        <w:tc>
          <w:tcPr>
            <w:tcW w:type="dxa" w:w="6576"/>
            <w:tcBorders>
              <w:top w:val="single" w:sz="4" w:space="0" w:color="E4DED3"/>
              <w:left w:val="single" w:sz="4" w:space="0" w:color="E4DED3"/>
              <w:bottom w:val="single" w:sz="4" w:space="0" w:color="E4DED3"/>
              <w:right w:val="single" w:sz="4" w:space="0" w:color="E4DED3"/>
            </w:tcBorders>
          </w:tcPr>
          <w:p>
            <w:r>
              <w:rPr>
                <w:sz w:val="19"/>
              </w:rPr>
              <w:t>choose Attach to an existing load balancer, then Choose from your load balancer target groups, and select yat-lms-tg. This step defaults to No load balancer, so it is easily skipped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3 — Health check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tick Turn on Elastic Load Balancing health checks; grace period 300 seconds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Group size</w:t>
            </w:r>
          </w:p>
        </w:tc>
        <w:tc>
          <w:tcPr>
            <w:tcW w:type="dxa" w:w="6576"/>
            <w:tcBorders>
              <w:top w:val="single" w:sz="4" w:space="0" w:color="E4DED3"/>
              <w:left w:val="single" w:sz="4" w:space="0" w:color="E4DED3"/>
              <w:bottom w:val="single" w:sz="4" w:space="0" w:color="E4DED3"/>
              <w:right w:val="single" w:sz="4" w:space="0" w:color="E4DED3"/>
            </w:tcBorders>
          </w:tcPr>
          <w:p>
            <w:r>
              <w:rPr>
                <w:sz w:val="19"/>
              </w:rPr>
              <w:t>desired 1, minimum 1, maximum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Scaling policy</w:t>
            </w:r>
          </w:p>
        </w:tc>
        <w:tc>
          <w:tcPr>
            <w:tcW w:type="dxa" w:w="6576"/>
            <w:tcBorders>
              <w:top w:val="single" w:sz="4" w:space="0" w:color="E4DED3"/>
              <w:left w:val="single" w:sz="4" w:space="0" w:color="E4DED3"/>
              <w:bottom w:val="single" w:sz="4" w:space="0" w:color="E4DED3"/>
              <w:right w:val="single" w:sz="4" w:space="0" w:color="E4DED3"/>
            </w:tcBorders>
          </w:tcPr>
          <w:p>
            <w:r>
              <w:rPr>
                <w:sz w:val="19"/>
              </w:rPr>
              <w:t>Target tracking, Average CPU utilization, target value 70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Warm-up</w:t>
            </w:r>
          </w:p>
        </w:tc>
        <w:tc>
          <w:tcPr>
            <w:tcW w:type="dxa" w:w="6576"/>
            <w:tcBorders>
              <w:top w:val="single" w:sz="4" w:space="0" w:color="E4DED3"/>
              <w:left w:val="single" w:sz="4" w:space="0" w:color="E4DED3"/>
              <w:bottom w:val="single" w:sz="4" w:space="0" w:color="E4DED3"/>
              <w:right w:val="single" w:sz="4" w:space="0" w:color="E4DED3"/>
            </w:tcBorders>
          </w:tcPr>
          <w:p>
            <w:r>
              <w:rPr>
                <w:sz w:val="19"/>
              </w:rPr>
              <w:t>60 seconds</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Auto Scaling group details, showing group size, the attached target group and the scaling policy.</w:t>
            </w:r>
          </w:p>
        </w:tc>
      </w:tr>
    </w:tbl>
    <w:p/>
    <w:p>
      <w:pPr>
        <w:spacing w:before="200" w:after="0"/>
      </w:pPr>
      <w:r>
        <w:rPr>
          <w:b/>
          <w:color w:val="1F5A5C"/>
          <w:sz w:val="16"/>
        </w:rPr>
        <w:t>TASK 14</w:t>
      </w:r>
    </w:p>
    <w:p>
      <w:pPr>
        <w:pStyle w:val="Heading2"/>
      </w:pPr>
      <w:r>
        <w:t>Create the database subnet group</w:t>
      </w:r>
    </w:p>
    <w:p>
      <w:pPr>
        <w:spacing w:after="120"/>
      </w:pPr>
      <w:r>
        <w:rPr>
          <w:b w:val="0"/>
          <w:i w:val="0"/>
          <w:sz w:val="21"/>
        </w:rPr>
        <w:t>Create a database subnet group, using the settings below. It tells the database service which subnets it is allowed to place the database in.</w:t>
      </w:r>
    </w:p>
    <w:p>
      <w:pPr>
        <w:spacing w:before="80" w:after="160"/>
        <w:ind w:left="227"/>
      </w:pPr>
      <w:r>
        <w:rPr>
          <w:b/>
          <w:color w:val="C5613B"/>
          <w:sz w:val="19"/>
        </w:rPr>
        <w:t xml:space="preserve">Environment constraint </w:t>
      </w:r>
      <w:r>
        <w:rPr>
          <w:i/>
          <w:color w:val="C5613B"/>
          <w:sz w:val="19"/>
        </w:rPr>
        <w:t>create this in the RDS console, not the VPC console — RDS → Subnet groups → Create DB subnet group. It is easy to go looking for it where the subnets themselves live.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Availability Zones</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us-east-1a and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private-data-a and private-data-b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Why two</w:t>
            </w:r>
          </w:p>
        </w:tc>
        <w:tc>
          <w:tcPr>
            <w:tcW w:type="dxa" w:w="6576"/>
            <w:tcBorders>
              <w:top w:val="single" w:sz="4" w:space="0" w:color="E4DED3"/>
              <w:left w:val="single" w:sz="4" w:space="0" w:color="E4DED3"/>
              <w:bottom w:val="single" w:sz="4" w:space="0" w:color="E4DED3"/>
              <w:right w:val="single" w:sz="4" w:space="0" w:color="E4DED3"/>
            </w:tcBorders>
          </w:tcPr>
          <w:p>
            <w:r>
              <w:rPr>
                <w:sz w:val="19"/>
              </w:rPr>
              <w:t>the service requires subnets in two zones even though this database is single-AZ. The second one stays empty until the next phase</w:t>
            </w:r>
          </w:p>
        </w:tc>
      </w:tr>
    </w:tbl>
    <w:p/>
    <w:p>
      <w:pPr>
        <w:spacing w:after="60"/>
      </w:pPr>
      <w:r>
        <w:rPr>
          <w:b/>
          <w:i w:val="0"/>
          <w:sz w:val="21"/>
        </w:rPr>
        <w:t>Evidence</w:t>
      </w:r>
    </w:p>
    <w:p>
      <w:pPr>
        <w:spacing w:after="200"/>
      </w:pPr>
      <w:r>
        <w:rPr>
          <w:b w:val="0"/>
          <w:i/>
          <w:color w:val="6B6660"/>
          <w:sz w:val="19"/>
        </w:rPr>
        <w:t>No screenshot required. Creating the subnet group is not an assessable action on its own — it is the prerequisite for the database, which cannot be created without one.</w:t>
      </w:r>
    </w:p>
    <w:p>
      <w:pPr>
        <w:spacing w:before="200" w:after="0"/>
      </w:pPr>
      <w:r>
        <w:rPr>
          <w:b/>
          <w:color w:val="1F5A5C"/>
          <w:sz w:val="16"/>
        </w:rPr>
        <w:t>TASK 15</w:t>
      </w:r>
    </w:p>
    <w:p>
      <w:pPr>
        <w:pStyle w:val="Heading2"/>
      </w:pPr>
      <w:r>
        <w:t>Deploy the database</w:t>
      </w:r>
    </w:p>
    <w:p>
      <w:pPr>
        <w:spacing w:after="120"/>
      </w:pPr>
      <w:r>
        <w:rPr>
          <w:b w:val="0"/>
          <w:i w:val="0"/>
          <w:sz w:val="21"/>
        </w:rPr>
        <w:t>Create the database, using the settings below. Create it empty — loading the schema and the data is YAT ICT job, not yours.</w:t>
      </w:r>
    </w:p>
    <w:p>
      <w:pPr>
        <w:spacing w:before="80" w:after="160"/>
        <w:ind w:left="227"/>
      </w:pPr>
      <w:r>
        <w:rPr>
          <w:b/>
          <w:color w:val="C5613B"/>
          <w:sz w:val="19"/>
        </w:rPr>
        <w:t xml:space="preserve">Environment constraint </w:t>
      </w:r>
      <w:r>
        <w:rPr>
          <w:i/>
          <w:color w:val="C5613B"/>
          <w:sz w:val="19"/>
        </w:rPr>
        <w:t>use Standard create, not Easy create. Easy create chooses the network, the subnet group, the security group and the public-access setting for you and does not let you change them, which is four of the settings this task specifies.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Creation method</w:t>
            </w:r>
          </w:p>
        </w:tc>
        <w:tc>
          <w:tcPr>
            <w:tcW w:type="dxa" w:w="6576"/>
            <w:tcBorders>
              <w:top w:val="single" w:sz="4" w:space="0" w:color="E4DED3"/>
              <w:left w:val="single" w:sz="4" w:space="0" w:color="E4DED3"/>
              <w:bottom w:val="single" w:sz="4" w:space="0" w:color="E4DED3"/>
              <w:right w:val="single" w:sz="4" w:space="0" w:color="E4DED3"/>
            </w:tcBorders>
          </w:tcPr>
          <w:p>
            <w:r>
              <w:rPr>
                <w:sz w:val="19"/>
              </w:rPr>
              <w:t>Standard create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Engine</w:t>
            </w:r>
          </w:p>
        </w:tc>
        <w:tc>
          <w:tcPr>
            <w:tcW w:type="dxa" w:w="6576"/>
            <w:tcBorders>
              <w:top w:val="single" w:sz="4" w:space="0" w:color="E4DED3"/>
              <w:left w:val="single" w:sz="4" w:space="0" w:color="E4DED3"/>
              <w:bottom w:val="single" w:sz="4" w:space="0" w:color="E4DED3"/>
              <w:right w:val="single" w:sz="4" w:space="0" w:color="E4DED3"/>
            </w:tcBorders>
          </w:tcPr>
          <w:p>
            <w:r>
              <w:rPr>
                <w:sz w:val="19"/>
              </w:rPr>
              <w:t>MySQL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Free tier, if offered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class</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20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Multi-AZ</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create a standby. This build is deliberately single-AZ</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 access</w:t>
            </w:r>
          </w:p>
        </w:tc>
        <w:tc>
          <w:tcPr>
            <w:tcW w:type="dxa" w:w="6576"/>
            <w:tcBorders>
              <w:top w:val="single" w:sz="4" w:space="0" w:color="E4DED3"/>
              <w:left w:val="single" w:sz="4" w:space="0" w:color="E4DED3"/>
              <w:bottom w:val="single" w:sz="4" w:space="0" w:color="E4DED3"/>
              <w:right w:val="single" w:sz="4" w:space="0" w:color="E4DED3"/>
            </w:tcBorders>
          </w:tcPr>
          <w:p>
            <w:r>
              <w:rPr>
                <w:sz w:val="19"/>
              </w:rPr>
              <w:t>No</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yat-lms-db-sg. Remove the default group if the console adds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Encryption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Backup retention</w:t>
            </w:r>
          </w:p>
        </w:tc>
        <w:tc>
          <w:tcPr>
            <w:tcW w:type="dxa" w:w="6576"/>
            <w:tcBorders>
              <w:top w:val="single" w:sz="4" w:space="0" w:color="E4DED3"/>
              <w:left w:val="single" w:sz="4" w:space="0" w:color="E4DED3"/>
              <w:bottom w:val="single" w:sz="4" w:space="0" w:color="E4DED3"/>
              <w:right w:val="single" w:sz="4" w:space="0" w:color="E4DED3"/>
            </w:tcBorders>
          </w:tcPr>
          <w:p>
            <w:r>
              <w:rPr>
                <w:sz w:val="19"/>
              </w:rPr>
              <w:t>7 days</w:t>
            </w:r>
          </w:p>
        </w:tc>
      </w:tr>
    </w:tbl>
    <w:p/>
    <w:p>
      <w:pPr>
        <w:spacing w:after="60"/>
      </w:pPr>
      <w:r>
        <w:rPr>
          <w:b/>
          <w:i w:val="0"/>
          <w:sz w:val="21"/>
        </w:rPr>
        <w:t>Your decision</w:t>
      </w:r>
    </w:p>
    <w:p>
      <w:pPr>
        <w:spacing w:after="120"/>
      </w:pPr>
      <w:r>
        <w:rPr>
          <w:b w:val="0"/>
          <w:i/>
          <w:color w:val="6B6660"/>
          <w:sz w:val="19"/>
        </w:rPr>
        <w:t>Choose the database instance class: db.t3.micro or db.t3.small. Name the one you did not choose, say which you chose, and explain why against the workload.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database summary showing Available, its class, encryption enabled and public access set to No.</w:t>
            </w:r>
          </w:p>
        </w:tc>
      </w:tr>
    </w:tbl>
    <w:p/>
    <w:p>
      <w:pPr>
        <w:spacing w:before="200" w:after="0"/>
      </w:pPr>
      <w:r>
        <w:rPr>
          <w:b/>
          <w:color w:val="1F5A5C"/>
          <w:sz w:val="16"/>
        </w:rPr>
        <w:t>TASK 16</w:t>
      </w:r>
    </w:p>
    <w:p>
      <w:pPr>
        <w:pStyle w:val="Heading2"/>
      </w:pPr>
      <w:r>
        <w:t>Create the two monitoring alarms</w:t>
      </w:r>
    </w:p>
    <w:p>
      <w:pPr>
        <w:spacing w:after="120"/>
      </w:pPr>
      <w:r>
        <w:rPr>
          <w:b w:val="0"/>
          <w:i w:val="0"/>
          <w:sz w:val="21"/>
        </w:rPr>
        <w:t>Create two CloudWatch alarms, using the settings below. They are the baseline monitoring that tells the platform when something is wrong — one watching whether the application tier is serving, one watching whether the database is running out of room.</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 topic</w:t>
            </w:r>
          </w:p>
        </w:tc>
        <w:tc>
          <w:tcPr>
            <w:tcW w:type="dxa" w:w="6576"/>
            <w:tcBorders>
              <w:top w:val="single" w:sz="4" w:space="0" w:color="E4DED3"/>
              <w:left w:val="single" w:sz="4" w:space="0" w:color="E4DED3"/>
              <w:bottom w:val="single" w:sz="4" w:space="0" w:color="E4DED3"/>
              <w:right w:val="single" w:sz="4" w:space="0" w:color="E4DED3"/>
            </w:tcBorders>
          </w:tcPr>
          <w:p>
            <w:r>
              <w:rPr>
                <w:sz w:val="19"/>
              </w:rPr>
              <w:t>create an SNS topic named yat-lms-alerts with your own email address, and use it for both alarms. You do not need to confirm the subscription email for the alarm to be created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1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application tier is not serving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ELB → Per AppELB, per TG Metrics → UnHealthyHostCount, filtered to yat-lms-alb and yat-lms-tg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Maximum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1 minute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Threshold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Static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Whenever UnHealthyHostCount is Greater/Equal than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1 out of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Missing data treatment</w:t>
            </w:r>
          </w:p>
        </w:tc>
        <w:tc>
          <w:tcPr>
            <w:tcW w:type="dxa" w:w="6576"/>
            <w:tcBorders>
              <w:top w:val="single" w:sz="4" w:space="0" w:color="E4DED3"/>
              <w:left w:val="single" w:sz="4" w:space="0" w:color="E4DED3"/>
              <w:bottom w:val="single" w:sz="4" w:space="0" w:color="E4DED3"/>
              <w:right w:val="single" w:sz="4" w:space="0" w:color="E4DED3"/>
            </w:tcBorders>
          </w:tcPr>
          <w:p>
            <w:r>
              <w:rPr>
                <w:sz w:val="19"/>
              </w:rPr>
              <w:t>Treat missing data as missing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w:t>
            </w:r>
          </w:p>
        </w:tc>
        <w:tc>
          <w:tcPr>
            <w:tcW w:type="dxa" w:w="6576"/>
            <w:tcBorders>
              <w:top w:val="single" w:sz="4" w:space="0" w:color="E4DED3"/>
              <w:left w:val="single" w:sz="4" w:space="0" w:color="E4DED3"/>
              <w:bottom w:val="single" w:sz="4" w:space="0" w:color="E4DED3"/>
              <w:right w:val="single" w:sz="4" w:space="0" w:color="E4DED3"/>
            </w:tcBorders>
          </w:tcPr>
          <w:p>
            <w:r>
              <w:rPr>
                <w:sz w:val="19"/>
              </w:rPr>
              <w:t>In alarm → yat-lms-alerts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yat-lms-unhealthy-hosts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Description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any target behind the load balancer has failed its health check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2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database is running out of room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RDS → DBInstanceIdentifier, then filter for FreeStorageSpace and tick the row for your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Minimum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5 minutes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Threshold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Static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Whenever FreeStorageSpace is Lower than 3221225472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About that number</w:t>
            </w:r>
          </w:p>
        </w:tc>
        <w:tc>
          <w:tcPr>
            <w:tcW w:type="dxa" w:w="6576"/>
            <w:tcBorders>
              <w:top w:val="single" w:sz="4" w:space="0" w:color="E4DED3"/>
              <w:left w:val="single" w:sz="4" w:space="0" w:color="E4DED3"/>
              <w:bottom w:val="single" w:sz="4" w:space="0" w:color="E4DED3"/>
              <w:right w:val="single" w:sz="4" w:space="0" w:color="E4DED3"/>
            </w:tcBorders>
          </w:tcPr>
          <w:p>
            <w:r>
              <w:rPr>
                <w:sz w:val="19"/>
              </w:rPr>
              <w:t>it is bytes — 15% of the 20 GiB you allocated. Type the raw digits, no commas and no units. The graph above the field renders in GB, but the field itself is bytes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2 out of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Missing data treatment</w:t>
            </w:r>
          </w:p>
        </w:tc>
        <w:tc>
          <w:tcPr>
            <w:tcW w:type="dxa" w:w="6576"/>
            <w:tcBorders>
              <w:top w:val="single" w:sz="4" w:space="0" w:color="E4DED3"/>
              <w:left w:val="single" w:sz="4" w:space="0" w:color="E4DED3"/>
              <w:bottom w:val="single" w:sz="4" w:space="0" w:color="E4DED3"/>
              <w:right w:val="single" w:sz="4" w:space="0" w:color="E4DED3"/>
            </w:tcBorders>
          </w:tcPr>
          <w:p>
            <w:r>
              <w:rPr>
                <w:sz w:val="19"/>
              </w:rPr>
              <w:t>Treat missing data as missing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w:t>
            </w:r>
          </w:p>
        </w:tc>
        <w:tc>
          <w:tcPr>
            <w:tcW w:type="dxa" w:w="6576"/>
            <w:tcBorders>
              <w:top w:val="single" w:sz="4" w:space="0" w:color="E4DED3"/>
              <w:left w:val="single" w:sz="4" w:space="0" w:color="E4DED3"/>
              <w:bottom w:val="single" w:sz="4" w:space="0" w:color="E4DED3"/>
              <w:right w:val="single" w:sz="4" w:space="0" w:color="E4DED3"/>
            </w:tcBorders>
          </w:tcPr>
          <w:p>
            <w:r>
              <w:rPr>
                <w:sz w:val="19"/>
              </w:rPr>
              <w:t>In alarm → yat-lms-alerts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yat-lms-db-storage-low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Description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record the allocated size the threshold is based on — 15% of 20 GiB allocated. The number alone does not tell anyone whether it is still correct after the storage is resized</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alarm list showing both alarms with their metrics, thresholds and current state.</w:t>
            </w:r>
          </w:p>
        </w:tc>
      </w:tr>
    </w:tbl>
    <w:p/>
    <w:p>
      <w:pPr>
        <w:spacing w:before="200" w:after="0"/>
      </w:pPr>
      <w:r>
        <w:rPr>
          <w:b/>
          <w:color w:val="1F5A5C"/>
          <w:sz w:val="16"/>
        </w:rPr>
        <w:t>TASK 17</w:t>
      </w:r>
    </w:p>
    <w:p>
      <w:pPr>
        <w:pStyle w:val="Heading2"/>
      </w:pPr>
      <w:r>
        <w:t>Assign the security responsibilities</w:t>
      </w:r>
    </w:p>
    <w:p>
      <w:pPr>
        <w:spacing w:after="120"/>
      </w:pPr>
      <w:r>
        <w:rPr>
          <w:b w:val="0"/>
          <w:i w:val="0"/>
          <w:sz w:val="21"/>
        </w:rPr>
        <w:t>The platform is built. Work through it component by component and record who is responsible for securing each part — AWS or YAT — and what securing it actually involves. Answer for the environment you have just built, naming your own resources; this is not a question about cloud computing in general.</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physical facilities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data centres, hardware and network the platform runs on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server operating system</w:t>
            </w:r>
          </w:p>
        </w:tc>
        <w:tc>
          <w:tcPr>
            <w:tcW w:type="dxa" w:w="6576"/>
            <w:tcBorders>
              <w:top w:val="single" w:sz="4" w:space="0" w:color="E4DED3"/>
              <w:left w:val="single" w:sz="4" w:space="0" w:color="E4DED3"/>
              <w:bottom w:val="single" w:sz="4" w:space="0" w:color="E4DED3"/>
              <w:right w:val="single" w:sz="4" w:space="0" w:color="E4DED3"/>
            </w:tcBorders>
          </w:tcPr>
          <w:p>
            <w:r>
              <w:rPr>
                <w:sz w:val="19"/>
              </w:rPr>
              <w:t>the instances your Auto Scaling group launches from the launch template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database engine and its host</w:t>
            </w:r>
          </w:p>
        </w:tc>
        <w:tc>
          <w:tcPr>
            <w:tcW w:type="dxa" w:w="6576"/>
            <w:tcBorders>
              <w:top w:val="single" w:sz="4" w:space="0" w:color="E4DED3"/>
              <w:left w:val="single" w:sz="4" w:space="0" w:color="E4DED3"/>
              <w:bottom w:val="single" w:sz="4" w:space="0" w:color="E4DED3"/>
              <w:right w:val="single" w:sz="4" w:space="0" w:color="E4DED3"/>
            </w:tcBorders>
          </w:tcPr>
          <w:p>
            <w:r>
              <w:rPr>
                <w:sz w:val="19"/>
              </w:rPr>
              <w:t>the managed database you deployed in task 15</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 access rules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three security groups and the route tables you built in tasks 6 and 7</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Identity and permissions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group and user from task 8, and the instance role from task 9</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 itself</w:t>
            </w:r>
          </w:p>
        </w:tc>
        <w:tc>
          <w:tcPr>
            <w:tcW w:type="dxa" w:w="6576"/>
            <w:tcBorders>
              <w:top w:val="single" w:sz="4" w:space="0" w:color="E4DED3"/>
              <w:left w:val="single" w:sz="4" w:space="0" w:color="E4DED3"/>
              <w:bottom w:val="single" w:sz="4" w:space="0" w:color="E4DED3"/>
              <w:right w:val="single" w:sz="4" w:space="0" w:color="E4DED3"/>
            </w:tcBorders>
          </w:tcPr>
          <w:p>
            <w:r>
              <w:rPr>
                <w:sz w:val="19"/>
              </w:rPr>
              <w:t>what the LMS stores in the database and on its volumes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For each one</w:t>
            </w:r>
          </w:p>
        </w:tc>
        <w:tc>
          <w:tcPr>
            <w:tcW w:type="dxa" w:w="6576"/>
            <w:tcBorders>
              <w:top w:val="single" w:sz="4" w:space="0" w:color="E4DED3"/>
              <w:left w:val="single" w:sz="4" w:space="0" w:color="E4DED3"/>
              <w:bottom w:val="single" w:sz="4" w:space="0" w:color="E4DED3"/>
              <w:right w:val="single" w:sz="4" w:space="0" w:color="E4DED3"/>
            </w:tcBorders>
          </w:tcPr>
          <w:p>
            <w:r>
              <w:rPr>
                <w:sz w:val="19"/>
              </w:rPr>
              <w:t>name the responsible party, and say in one sentence what that party actually does to secure it</w:t>
            </w:r>
          </w:p>
        </w:tc>
      </w:tr>
    </w:tbl>
    <w:p/>
    <w:p>
      <w:pPr>
        <w:spacing w:after="60"/>
      </w:pPr>
      <w:r>
        <w:rPr>
          <w:b/>
          <w:i w:val="0"/>
          <w:sz w:val="21"/>
        </w:rPr>
        <w:t>Your assignment</w:t>
      </w:r>
    </w:p>
    <w:p>
      <w:pPr>
        <w:spacing w:after="120"/>
      </w:pPr>
      <w:r>
        <w:rPr>
          <w:b w:val="0"/>
          <w:i/>
          <w:color w:val="6B6660"/>
          <w:sz w:val="19"/>
        </w:rPr>
        <w:t>For each component above, name who secures it and what securing it involves. Then answer one more question: which of these responsibilities moved from YAT to AWS because the design uses a managed database rather than the database engine installed on a server — and which did not move?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p>
      <w:pPr>
        <w:spacing w:after="200"/>
      </w:pPr>
      <w:r>
        <w:rPr>
          <w:b w:val="0"/>
          <w:i/>
          <w:color w:val="6B6660"/>
          <w:sz w:val="19"/>
        </w:rPr>
        <w:t>No screenshot required. Your written assignment above is the evidence for this task.</w:t>
      </w:r>
    </w:p>
    <w:p>
      <w:pPr>
        <w:pStyle w:val="Heading1"/>
      </w:pPr>
      <w:r>
        <w:t>Testing</w:t>
      </w:r>
    </w:p>
    <w:p>
      <w:pPr>
        <w:spacing w:after="200"/>
      </w:pPr>
      <w:r>
        <w:rPr>
          <w:b w:val="0"/>
          <w:i/>
          <w:color w:val="6B6660"/>
          <w:sz w:val="19"/>
        </w:rPr>
        <w:t>Five tests confirm the build works. Each tells you what it demonstrates and the steps to run it. Follow the steps, then paste the screenshot into the box. If a test does not pass, fix the problem, run it again, and note what you changed.</w:t>
      </w:r>
    </w:p>
    <w:p>
      <w:pPr>
        <w:spacing w:before="200" w:after="0"/>
      </w:pPr>
      <w:r>
        <w:rPr>
          <w:b/>
          <w:color w:val="1F5A5C"/>
          <w:sz w:val="16"/>
        </w:rPr>
        <w:t>TEST 1</w:t>
      </w:r>
    </w:p>
    <w:p>
      <w:pPr>
        <w:pStyle w:val="Heading2"/>
      </w:pPr>
      <w:r>
        <w:t>Connect to the application server</w:t>
      </w:r>
    </w:p>
    <w:p>
      <w:pPr>
        <w:spacing w:after="120"/>
      </w:pPr>
      <w:r>
        <w:rPr>
          <w:b w:val="0"/>
          <w:i w:val="0"/>
          <w:sz w:val="21"/>
        </w:rPr>
        <w:t>Connect to your application server using Session Manager, then run the command below. This shows you can reach the server you built.</w:t>
      </w:r>
    </w:p>
    <w:p>
      <w:pPr>
        <w:spacing w:after="60"/>
        <w:ind w:left="340"/>
      </w:pPr>
      <w:r>
        <w:rPr>
          <w:b/>
          <w:sz w:val="21"/>
        </w:rPr>
        <w:t xml:space="preserve">1.  </w:t>
      </w:r>
      <w:r>
        <w:rPr>
          <w:sz w:val="21"/>
        </w:rPr>
        <w:t>Open EC2 → Instances and select the running instance.</w:t>
      </w:r>
    </w:p>
    <w:p>
      <w:pPr>
        <w:spacing w:after="60"/>
        <w:ind w:left="340"/>
      </w:pPr>
      <w:r>
        <w:rPr>
          <w:b/>
          <w:sz w:val="21"/>
        </w:rPr>
        <w:t xml:space="preserve">2.  </w:t>
      </w:r>
      <w:r>
        <w:rPr>
          <w:sz w:val="21"/>
        </w:rPr>
        <w:t>Choose Connect, then the Session Manager tab, then Connect.</w:t>
      </w:r>
    </w:p>
    <w:p>
      <w:pPr>
        <w:spacing w:after="60"/>
        <w:ind w:left="340"/>
      </w:pPr>
      <w:r>
        <w:rPr>
          <w:b/>
          <w:sz w:val="21"/>
        </w:rPr>
        <w:t xml:space="preserve">3.  </w:t>
      </w:r>
      <w:r>
        <w:rPr>
          <w:sz w:val="21"/>
        </w:rPr>
        <w:t>A PowerShell session opens in the browser. Run the command below.</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hostname</w:t>
            </w:r>
          </w:p>
        </w:tc>
      </w:tr>
    </w:tbl>
    <w:p/>
    <w:p>
      <w:pPr>
        <w:spacing w:before="80" w:after="160"/>
        <w:ind w:left="227"/>
      </w:pPr>
      <w:r>
        <w:rPr>
          <w:b/>
          <w:color w:val="C5613B"/>
          <w:sz w:val="19"/>
        </w:rPr>
        <w:t xml:space="preserve">Environment constraint </w:t>
      </w:r>
      <w:r>
        <w:rPr>
          <w:i/>
          <w:color w:val="C5613B"/>
          <w:sz w:val="19"/>
        </w:rPr>
        <w:t>Session Manager needs no key pair, no open port and no public IP address. That is why your server can sit in a private subnet with nothing exposed to the internet and still be reachable by you.</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session window, showing the connection open and the hostname it returned.</w:t>
            </w:r>
          </w:p>
        </w:tc>
      </w:tr>
    </w:tbl>
    <w:p/>
    <w:p>
      <w:pPr>
        <w:spacing w:before="200" w:after="0"/>
      </w:pPr>
      <w:r>
        <w:rPr>
          <w:b/>
          <w:color w:val="1F5A5C"/>
          <w:sz w:val="16"/>
        </w:rPr>
        <w:t>TEST 2</w:t>
      </w:r>
    </w:p>
    <w:p>
      <w:pPr>
        <w:pStyle w:val="Heading2"/>
      </w:pPr>
      <w:r>
        <w:t>Reach the internet from the application server</w:t>
      </w:r>
    </w:p>
    <w:p>
      <w:pPr>
        <w:spacing w:after="120"/>
      </w:pPr>
      <w:r>
        <w:rPr>
          <w:b w:val="0"/>
          <w:i w:val="0"/>
          <w:sz w:val="21"/>
        </w:rPr>
        <w:t>Run the command below in the session you opened in test 1. This shows the server can reach the internet through the NAT gateway.</w:t>
      </w:r>
    </w:p>
    <w:p>
      <w:pPr>
        <w:spacing w:after="60"/>
        <w:ind w:left="340"/>
      </w:pPr>
      <w:r>
        <w:rPr>
          <w:b/>
          <w:sz w:val="21"/>
        </w:rPr>
        <w:t xml:space="preserve">1.  </w:t>
      </w:r>
      <w:r>
        <w:rPr>
          <w:sz w:val="21"/>
        </w:rPr>
        <w:t>Run the command below.</w:t>
      </w:r>
    </w:p>
    <w:p>
      <w:pPr>
        <w:spacing w:after="60"/>
        <w:ind w:left="340"/>
      </w:pPr>
      <w:r>
        <w:rPr>
          <w:b/>
          <w:sz w:val="21"/>
        </w:rPr>
        <w:t xml:space="preserve">2.  </w:t>
      </w:r>
      <w:r>
        <w:rPr>
          <w:sz w:val="21"/>
        </w:rPr>
        <w:t>Confirm it returns StatusCode 200.</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Invoke-WebRequest -Uri https://aws.amazon.com -UseBasicParsing |</w:t>
            </w:r>
          </w:p>
          <w:p>
            <w:pPr>
              <w:spacing w:after="0"/>
            </w:pPr>
            <w:r>
              <w:rPr>
                <w:rFonts w:ascii="Consolas" w:hAnsi="Consolas"/>
                <w:sz w:val="18"/>
              </w:rPr>
              <w:t xml:space="preserve">    Select-Object StatusCode</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command and the status code it returned.</w:t>
            </w:r>
          </w:p>
        </w:tc>
      </w:tr>
    </w:tbl>
    <w:p/>
    <w:p>
      <w:pPr>
        <w:spacing w:before="200" w:after="0"/>
      </w:pPr>
      <w:r>
        <w:rPr>
          <w:b/>
          <w:color w:val="1F5A5C"/>
          <w:sz w:val="16"/>
        </w:rPr>
        <w:t>TEST 3</w:t>
      </w:r>
    </w:p>
    <w:p>
      <w:pPr>
        <w:pStyle w:val="Heading2"/>
      </w:pPr>
      <w:r>
        <w:t>Reach the database from the application server</w:t>
      </w:r>
    </w:p>
    <w:p>
      <w:pPr>
        <w:spacing w:after="120"/>
      </w:pPr>
      <w:r>
        <w:rPr>
          <w:b w:val="0"/>
          <w:i w:val="0"/>
          <w:sz w:val="21"/>
        </w:rPr>
        <w:t>Run the command below in the same session. This shows the application tier can reach the database tier privately, over the database port.</w:t>
      </w:r>
    </w:p>
    <w:p>
      <w:pPr>
        <w:spacing w:after="60"/>
        <w:ind w:left="340"/>
      </w:pPr>
      <w:r>
        <w:rPr>
          <w:b/>
          <w:sz w:val="21"/>
        </w:rPr>
        <w:t xml:space="preserve">1.  </w:t>
      </w:r>
      <w:r>
        <w:rPr>
          <w:sz w:val="21"/>
        </w:rPr>
        <w:t>Open RDS → Databases → your database → Connectivity &amp; security, and copy the Endpoint. It looks like yat-lms-db.something.us-east-1.rds.amazonaws.com</w:t>
      </w:r>
    </w:p>
    <w:p>
      <w:pPr>
        <w:spacing w:after="60"/>
        <w:ind w:left="340"/>
      </w:pPr>
      <w:r>
        <w:rPr>
          <w:b/>
          <w:sz w:val="21"/>
        </w:rPr>
        <w:t xml:space="preserve">2.  </w:t>
      </w:r>
      <w:r>
        <w:rPr>
          <w:sz w:val="21"/>
        </w:rPr>
        <w:t>Run the command below, replacing &lt;YOUR-DB-ENDPOINT&gt; with the address you just copied. Do not paste the command as it is written — it will fail to resolve.</w:t>
      </w:r>
    </w:p>
    <w:p>
      <w:pPr>
        <w:spacing w:after="60"/>
        <w:ind w:left="340"/>
      </w:pPr>
      <w:r>
        <w:rPr>
          <w:b/>
          <w:sz w:val="21"/>
        </w:rPr>
        <w:t xml:space="preserve">3.  </w:t>
      </w:r>
      <w:r>
        <w:rPr>
          <w:sz w:val="21"/>
        </w:rPr>
        <w:t>Confirm the result reads TcpTestSucceeded : True.</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Test-NetConnection &lt;YOUR-DB-ENDPOINT&gt; -Port 3306</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command and its output showing TcpTestSucceeded : True.</w:t>
            </w:r>
          </w:p>
        </w:tc>
      </w:tr>
    </w:tbl>
    <w:p/>
    <w:p>
      <w:pPr>
        <w:spacing w:before="200" w:after="0"/>
      </w:pPr>
      <w:r>
        <w:rPr>
          <w:b/>
          <w:color w:val="1F5A5C"/>
          <w:sz w:val="16"/>
        </w:rPr>
        <w:t>TEST 4</w:t>
      </w:r>
    </w:p>
    <w:p>
      <w:pPr>
        <w:pStyle w:val="Heading2"/>
      </w:pPr>
      <w:r>
        <w:t>Reach the application through the load balancer</w:t>
      </w:r>
    </w:p>
    <w:p>
      <w:pPr>
        <w:spacing w:after="120"/>
      </w:pPr>
      <w:r>
        <w:rPr>
          <w:b w:val="0"/>
          <w:i w:val="0"/>
          <w:sz w:val="21"/>
        </w:rPr>
        <w:t>Open your load balancer address in a web browser on your own computer. This shows the whole path works — the internet reaches the load balancer, the load balancer reaches your private server, and the server serves the page.</w:t>
      </w:r>
    </w:p>
    <w:p>
      <w:pPr>
        <w:spacing w:after="60"/>
        <w:ind w:left="340"/>
      </w:pPr>
      <w:r>
        <w:rPr>
          <w:b/>
          <w:sz w:val="21"/>
        </w:rPr>
        <w:t xml:space="preserve">1.  </w:t>
      </w:r>
      <w:r>
        <w:rPr>
          <w:sz w:val="21"/>
        </w:rPr>
        <w:t>Open EC2 → Load Balancers and copy the DNS name of yat-lms-alb.</w:t>
      </w:r>
    </w:p>
    <w:p>
      <w:pPr>
        <w:spacing w:after="60"/>
        <w:ind w:left="340"/>
      </w:pPr>
      <w:r>
        <w:rPr>
          <w:b/>
          <w:sz w:val="21"/>
        </w:rPr>
        <w:t xml:space="preserve">2.  </w:t>
      </w:r>
      <w:r>
        <w:rPr>
          <w:sz w:val="21"/>
        </w:rPr>
        <w:t>Paste it into a browser tab on your own machine, with http:// in front of it.</w:t>
      </w:r>
    </w:p>
    <w:p>
      <w:pPr>
        <w:spacing w:after="60"/>
        <w:ind w:left="340"/>
      </w:pPr>
      <w:r>
        <w:rPr>
          <w:b/>
          <w:sz w:val="21"/>
        </w:rPr>
        <w:t xml:space="preserve">3.  </w:t>
      </w:r>
      <w:r>
        <w:rPr>
          <w:sz w:val="21"/>
        </w:rPr>
        <w:t>Confirm the placeholder page loads.</w:t>
      </w:r>
    </w:p>
    <w:p/>
    <w:p>
      <w:pPr>
        <w:spacing w:before="80" w:after="160"/>
        <w:ind w:left="227"/>
      </w:pPr>
      <w:r>
        <w:rPr>
          <w:b/>
          <w:color w:val="C5613B"/>
          <w:sz w:val="19"/>
        </w:rPr>
        <w:t xml:space="preserve">Environment constraint </w:t>
      </w:r>
      <w:r>
        <w:rPr>
          <w:i/>
          <w:color w:val="C5613B"/>
          <w:sz w:val="19"/>
        </w:rPr>
        <w:t>your server has no public address, so what you are reaching is the load balancer. It is the only thing allowed to talk to the server, which is what the security groups enforce.</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browser showing the page, with the load balancer address visible in the address bar.</w:t>
            </w:r>
          </w:p>
        </w:tc>
      </w:tr>
    </w:tbl>
    <w:p/>
    <w:p>
      <w:pPr>
        <w:spacing w:before="200" w:after="0"/>
      </w:pPr>
      <w:r>
        <w:rPr>
          <w:b/>
          <w:color w:val="1F5A5C"/>
          <w:sz w:val="16"/>
        </w:rPr>
        <w:t>TEST 5</w:t>
      </w:r>
    </w:p>
    <w:p>
      <w:pPr>
        <w:pStyle w:val="Heading2"/>
      </w:pPr>
      <w:r>
        <w:t>Automatic scaling</w:t>
      </w:r>
    </w:p>
    <w:p>
      <w:pPr>
        <w:spacing w:after="120"/>
      </w:pPr>
      <w:r>
        <w:rPr>
          <w:b w:val="0"/>
          <w:i w:val="0"/>
          <w:sz w:val="21"/>
        </w:rPr>
        <w:t>Change the scaling policy as described below and watch what happens. This shows the Auto Scaling group adds and removes servers on its own, without you changing the instance count.</w:t>
      </w:r>
    </w:p>
    <w:p>
      <w:pPr>
        <w:spacing w:after="60"/>
        <w:ind w:left="340"/>
      </w:pPr>
      <w:r>
        <w:rPr>
          <w:b/>
          <w:sz w:val="21"/>
        </w:rPr>
        <w:t xml:space="preserve">1.  </w:t>
      </w:r>
      <w:r>
        <w:rPr>
          <w:sz w:val="21"/>
        </w:rPr>
        <w:t>Open EC2 → Instances, select your running instance and open the Monitoring tab. Read the CPU utilization figure — on an idle server it will be low, often only one or two percent.</w:t>
      </w:r>
    </w:p>
    <w:p>
      <w:pPr>
        <w:spacing w:after="60"/>
        <w:ind w:left="340"/>
      </w:pPr>
      <w:r>
        <w:rPr>
          <w:b/>
          <w:sz w:val="21"/>
        </w:rPr>
        <w:t xml:space="preserve">2.  </w:t>
      </w:r>
      <w:r>
        <w:rPr>
          <w:sz w:val="21"/>
        </w:rPr>
        <w:t>Open your Auto Scaling group and go to the Automatic scaling tab.</w:t>
      </w:r>
    </w:p>
    <w:p>
      <w:pPr>
        <w:spacing w:after="60"/>
        <w:ind w:left="340"/>
      </w:pPr>
      <w:r>
        <w:rPr>
          <w:b/>
          <w:sz w:val="21"/>
        </w:rPr>
        <w:t xml:space="preserve">3.  </w:t>
      </w:r>
      <w:r>
        <w:rPr>
          <w:sz w:val="21"/>
        </w:rPr>
        <w:t>Edit the target tracking policy and set the target value BELOW the figure you just read, then save. The policy keeps average CPU at the target, so a target above current usage tells it to scale in rather than out. If your reading is very low, use 1.</w:t>
      </w:r>
    </w:p>
    <w:p>
      <w:pPr>
        <w:spacing w:after="60"/>
        <w:ind w:left="340"/>
      </w:pPr>
      <w:r>
        <w:rPr>
          <w:b/>
          <w:sz w:val="21"/>
        </w:rPr>
        <w:t xml:space="preserve">4.  </w:t>
      </w:r>
      <w:r>
        <w:rPr>
          <w:sz w:val="21"/>
        </w:rPr>
        <w:t>Watch the Activity tab until a second instance launches and enters service.</w:t>
      </w:r>
    </w:p>
    <w:p>
      <w:pPr>
        <w:spacing w:after="60"/>
        <w:ind w:left="340"/>
      </w:pPr>
      <w:r>
        <w:rPr>
          <w:b/>
          <w:sz w:val="21"/>
        </w:rPr>
        <w:t xml:space="preserve">5.  </w:t>
      </w:r>
      <w:r>
        <w:rPr>
          <w:sz w:val="21"/>
        </w:rPr>
        <w:t>Edit the policy again, raise the target value to 90, and save.</w:t>
      </w:r>
    </w:p>
    <w:p>
      <w:pPr>
        <w:spacing w:after="60"/>
        <w:ind w:left="340"/>
      </w:pPr>
      <w:r>
        <w:rPr>
          <w:b/>
          <w:sz w:val="21"/>
        </w:rPr>
        <w:t xml:space="preserve">6.  </w:t>
      </w:r>
      <w:r>
        <w:rPr>
          <w:sz w:val="21"/>
        </w:rPr>
        <w:t>Watch the Activity tab until the group scales back to one instance.</w:t>
      </w:r>
    </w:p>
    <w:p>
      <w:pPr>
        <w:spacing w:after="60"/>
        <w:ind w:left="340"/>
      </w:pPr>
      <w:r>
        <w:rPr>
          <w:b/>
          <w:sz w:val="21"/>
        </w:rPr>
        <w:t xml:space="preserve">7.  </w:t>
      </w:r>
      <w:r>
        <w:rPr>
          <w:sz w:val="21"/>
        </w:rPr>
        <w:t>Set the target value back to 70.</w:t>
      </w:r>
    </w:p>
    <w:p/>
    <w:p>
      <w:pPr>
        <w:spacing w:before="80" w:after="160"/>
        <w:ind w:left="227"/>
      </w:pPr>
      <w:r>
        <w:rPr>
          <w:b/>
          <w:color w:val="C5613B"/>
          <w:sz w:val="19"/>
        </w:rPr>
        <w:t xml:space="preserve">Environment constraint </w:t>
      </w:r>
      <w:r>
        <w:rPr>
          <w:i/>
          <w:color w:val="C5613B"/>
          <w:sz w:val="19"/>
        </w:rPr>
        <w:t>scaling in is slower than scaling out — give it several minutes before deciding it has not worked.</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Activity tab, showing both the scale-out and the scale-in entries with their times.</w:t>
            </w:r>
          </w:p>
        </w:tc>
      </w:tr>
    </w:tbl>
    <w:p/>
    <w:p>
      <w:pPr>
        <w:pStyle w:val="Heading1"/>
      </w:pPr>
      <w:r>
        <w:t>Knowledge questions</w:t>
      </w:r>
    </w:p>
    <w:p>
      <w:pPr>
        <w:spacing w:after="200"/>
      </w:pPr>
      <w:r>
        <w:rPr>
          <w:b w:val="0"/>
          <w:i/>
          <w:color w:val="6B6660"/>
          <w:sz w:val="19"/>
        </w:rPr>
        <w:t>Answer each question about your own build, not in general terms. Refer to what you actually created and the choices you actually made.</w:t>
      </w:r>
    </w:p>
    <w:p>
      <w:pPr>
        <w:spacing w:before="200" w:after="0"/>
      </w:pPr>
      <w:r>
        <w:rPr>
          <w:b/>
          <w:color w:val="1F5A5C"/>
          <w:sz w:val="16"/>
        </w:rPr>
        <w:t>QUESTION 1</w:t>
      </w:r>
    </w:p>
    <w:p>
      <w:pPr>
        <w:pStyle w:val="Heading2"/>
      </w:pPr>
      <w:r>
        <w:t>Name the compute, networking and scaling services you depl...</w:t>
      </w:r>
    </w:p>
    <w:p>
      <w:pPr>
        <w:spacing w:after="120"/>
      </w:pPr>
      <w:r>
        <w:rPr>
          <w:b w:val="0"/>
          <w:i w:val="0"/>
          <w:sz w:val="21"/>
        </w:rPr>
        <w:t>Name the compute, networking and scaling services you deployed. For each, explain the feature it provides and how it supports the YAT LMS specifically.</w:t>
      </w:r>
    </w:p>
    <w:p>
      <w:pPr>
        <w:spacing w:after="60"/>
      </w:pPr>
      <w:r>
        <w:rPr>
          <w:b/>
          <w:i w:val="0"/>
          <w:sz w:val="21"/>
        </w:rPr>
        <w:t>Related resources</w:t>
      </w:r>
    </w:p>
    <w:p>
      <w:pPr>
        <w:spacing w:after="80"/>
        <w:ind w:left="340"/>
      </w:pPr>
      <w:r>
        <w:rPr>
          <w:sz w:val="21"/>
        </w:rPr>
        <w:t xml:space="preserve">•  </w:t>
      </w:r>
      <w:hyperlink r:id="rId17">
        <w:r>
          <w:rPr>
            <w:sz w:val="21"/>
            <w:color w:val="0563C1"/>
            <w:u w:val="single"/>
          </w:rPr>
          <w:t>LMS Application Specification — the user population, concurrent load and service-level expectations your services have to support</w:t>
        </w:r>
      </w:hyperlink>
    </w:p>
    <w:p>
      <w:pPr>
        <w:spacing w:after="80"/>
        <w:ind w:left="340"/>
      </w:pPr>
      <w:r>
        <w:rPr>
          <w:sz w:val="21"/>
        </w:rPr>
        <w:t xml:space="preserve">•  </w:t>
      </w:r>
      <w:hyperlink r:id="rId19">
        <w:r>
          <w:rPr>
            <w:sz w:val="21"/>
            <w:color w:val="0563C1"/>
            <w:u w:val="single"/>
          </w:rPr>
          <w:t>LMS Cloud Architecture — Baseline Design — the design your build implements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t>In your build: (a) why a managed database service rather t...</w:t>
      </w:r>
    </w:p>
    <w:p>
      <w:pPr>
        <w:spacing w:after="120"/>
      </w:pPr>
      <w:r>
        <w:rPr>
          <w:b w:val="0"/>
          <w:i w:val="0"/>
          <w:sz w:val="21"/>
        </w:rPr>
        <w:t>In your build: (a) why a managed database service rather than running the database on the server yourself? (b) your build uses block storage in two places — the volumes on the server and the storage behind the database. Explain how block storage differs from object storage, and when each is the right choice for an LMS. (c) why scale horizontally rather than vertically, and what does that trade off?</w:t>
      </w:r>
    </w:p>
    <w:p>
      <w:pPr>
        <w:spacing w:after="60"/>
      </w:pPr>
      <w:r>
        <w:rPr>
          <w:b/>
          <w:i w:val="0"/>
          <w:sz w:val="21"/>
        </w:rPr>
        <w:t>Related resources</w:t>
      </w:r>
    </w:p>
    <w:p>
      <w:pPr>
        <w:spacing w:after="80"/>
        <w:ind w:left="340"/>
      </w:pPr>
      <w:r>
        <w:rPr>
          <w:sz w:val="21"/>
        </w:rPr>
        <w:t xml:space="preserve">•  </w:t>
      </w:r>
      <w:hyperlink r:id="rId19">
        <w:r>
          <w:rPr>
            <w:sz w:val="21"/>
            <w:color w:val="0563C1"/>
            <w:u w:val="single"/>
          </w:rPr>
          <w:t>LMS Cloud Architecture — Baseline Design — why the design chose a managed database and a scaling group rather than a single larger server</w:t>
        </w:r>
      </w:hyperlink>
    </w:p>
    <w:p>
      <w:pPr>
        <w:spacing w:after="80"/>
        <w:ind w:left="340"/>
      </w:pPr>
      <w:r>
        <w:rPr>
          <w:sz w:val="21"/>
        </w:rPr>
        <w:t xml:space="preserve">•  </w:t>
      </w:r>
      <w:hyperlink r:id="rId17">
        <w:r>
          <w:rPr>
            <w:sz w:val="21"/>
            <w:color w:val="0563C1"/>
            <w:u w:val="single"/>
          </w:rPr>
          <w:t>LMS Application Specification — what the LMS stores, which is what the storage choices have to suit</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t>Using your own environment, name two responsibilities that...</w:t>
      </w:r>
    </w:p>
    <w:p>
      <w:pPr>
        <w:spacing w:after="120"/>
      </w:pPr>
      <w:r>
        <w:rPr>
          <w:b w:val="0"/>
          <w:i w:val="0"/>
          <w:sz w:val="21"/>
        </w:rPr>
        <w:t>Using your own environment, name two responsibilities that remain YAT's and one that shifted to AWS under the shared-responsibility model, and say why each falls where it does.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4</w:t>
      </w:r>
    </w:p>
    <w:p>
      <w:pPr>
        <w:pStyle w:val="Heading2"/>
      </w:pPr>
      <w:r>
        <w:t>Pick one IAM group you created. Describe the permissions y...</w:t>
      </w:r>
    </w:p>
    <w:p>
      <w:pPr>
        <w:spacing w:after="120"/>
      </w:pPr>
      <w:r>
        <w:rPr>
          <w:b w:val="0"/>
          <w:i w:val="0"/>
          <w:sz w:val="21"/>
        </w:rPr>
        <w:t>Pick one IAM group you created. Describe the permissions you gave it, the job function it serves, and why its permissions differ from another group in your build.</w:t>
      </w:r>
    </w:p>
    <w:p>
      <w:pPr>
        <w:spacing w:after="60"/>
      </w:pPr>
      <w:r>
        <w:rPr>
          <w:b/>
          <w:i w:val="0"/>
          <w:sz w:val="21"/>
        </w:rPr>
        <w:t>Related resources</w:t>
      </w:r>
    </w:p>
    <w:p>
      <w:pPr>
        <w:spacing w:after="80"/>
        <w:ind w:left="340"/>
      </w:pPr>
      <w:r>
        <w:rPr>
          <w:sz w:val="21"/>
        </w:rPr>
        <w:t xml:space="preserve">•  </w:t>
      </w:r>
      <w:hyperlink r:id="rId20">
        <w:r>
          <w:rPr>
            <w:sz w:val="21"/>
            <w:color w:val="0563C1"/>
            <w:u w:val="single"/>
          </w:rPr>
          <w:t>User Access Policy — YAT's role-based access model, its role groups and permissions matrix, and its rules on privileged access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5</w:t>
      </w:r>
    </w:p>
    <w:p>
      <w:pPr>
        <w:pStyle w:val="Heading2"/>
      </w:pPr>
      <w:r>
        <w:t>The yat-lms-db-sg security group you created in task 7 per...</w:t>
      </w:r>
    </w:p>
    <w:p>
      <w:pPr>
        <w:spacing w:after="120"/>
      </w:pPr>
      <w:r>
        <w:rPr>
          <w:b w:val="0"/>
          <w:i w:val="0"/>
          <w:sz w:val="21"/>
        </w:rPr>
        <w:t>The yat-lms-db-sg security group you created in task 7 permits MySQL traffic on port 3306 from one source only. State the rule exactly as you configured it, explain why the database is restricted this way rather than being reachable from the internet, and describe the risk to YAT if that restriction were removed.</w:t>
      </w:r>
    </w:p>
    <w:p>
      <w:pPr>
        <w:spacing w:after="60"/>
      </w:pPr>
      <w:r>
        <w:rPr>
          <w:b/>
          <w:i w:val="0"/>
          <w:sz w:val="21"/>
        </w:rPr>
        <w:t>Related resources</w:t>
      </w:r>
    </w:p>
    <w:p>
      <w:pPr>
        <w:spacing w:after="80"/>
        <w:ind w:left="340"/>
      </w:pPr>
      <w:r>
        <w:rPr>
          <w:sz w:val="21"/>
        </w:rPr>
        <w:t xml:space="preserve">•  </w:t>
      </w:r>
      <w:hyperlink r:id="rId21">
        <w:r>
          <w:rPr>
            <w:sz w:val="21"/>
            <w:color w:val="0563C1"/>
            <w:u w:val="single"/>
          </w:rPr>
          <w:t>LMS Application Specification § 4, Data stored — what the MySQL database actually holds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6</w:t>
      </w:r>
    </w:p>
    <w:p>
      <w:pPr>
        <w:pStyle w:val="Heading2"/>
      </w:pPr>
      <w:r>
        <w:t>When a YAT staff member types the LMS address into their b...</w:t>
      </w:r>
    </w:p>
    <w:p>
      <w:pPr>
        <w:spacing w:after="120"/>
      </w:pPr>
      <w:r>
        <w:rPr>
          <w:b w:val="0"/>
          <w:i w:val="0"/>
          <w:sz w:val="21"/>
        </w:rPr>
        <w:t>When a YAT staff member types the LMS address into their browser, DNS resolution has to happen before anything else can. Explain what DNS does at that moment in your deployment, and what would fail for YAT if it were misconfigured.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Handover</w:t>
      </w:r>
    </w:p>
    <w:p>
      <w:pPr>
        <w:pStyle w:val="Heading2"/>
      </w:pPr>
      <w:r>
        <w:t>File the completed run sheet</w:t>
      </w:r>
    </w:p>
    <w:p>
      <w:pPr>
        <w:spacing w:after="120"/>
      </w:pPr>
      <w:r>
        <w:rPr>
          <w:b w:val="0"/>
          <w:i w:val="0"/>
          <w:sz w:val="21"/>
        </w:rPr>
        <w:t>You have now built the platform, tested it and answered the questions. Hand the build over by filing this completed run sheet where YAT records procedures require, so YAT ICT can find it after the engagement ends. Do this last.</w:t>
      </w:r>
    </w:p>
    <w:p>
      <w:pPr>
        <w:spacing w:after="120"/>
      </w:pPr>
      <w:r>
        <w:rPr>
          <w:b w:val="0"/>
          <w:i/>
          <w:color w:val="6B6660"/>
          <w:sz w:val="19"/>
        </w:rPr>
        <w:t>State where you filed it and which YAT policy required that location.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1-at2/ict/lms-application-spec" TargetMode="External"/><Relationship Id="rId18" Type="http://schemas.openxmlformats.org/officeDocument/2006/relationships/hyperlink" Target="https://yat.timbaird.com/intranet/s1-cl1-at2/policies/records-management" TargetMode="External"/><Relationship Id="rId19" Type="http://schemas.openxmlformats.org/officeDocument/2006/relationships/hyperlink" Target="https://yat.timbaird.com/intranet/s1-cl1-at2/projects/lms-cloud-infrastructure/cloud-architecture-baseline" TargetMode="External"/><Relationship Id="rId20" Type="http://schemas.openxmlformats.org/officeDocument/2006/relationships/hyperlink" Target="https://yat.timbaird.com/intranet/s1-cl1-at2/policies/user-access" TargetMode="External"/><Relationship Id="rId21" Type="http://schemas.openxmlformats.org/officeDocument/2006/relationships/hyperlink" Target="https://yat.timbaird.com/intranet/s1-cl1-at2/ict/lms-application-spec#4-data-sto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