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Team Plan</w:t>
      </w:r>
    </w:p>
    <w:p>
      <w:r>
        <w:rPr>
          <w:b/>
          <w:color w:val="C5613B"/>
          <w:sz w:val="30"/>
        </w:rPr>
        <w:t>Ledgerline Cloud Infrastructure Improvement</w:t>
      </w:r>
    </w:p>
    <w:p>
      <w:r>
        <w:rPr>
          <w:i/>
          <w:color w:val="6B6660"/>
          <w:sz w:val="20"/>
        </w:rPr>
        <w:t>Assessor exemplar — internal marking reference (not for distribution to students)</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for</w:t>
            </w:r>
          </w:p>
        </w:tc>
        <w:tc>
          <w:tcPr>
            <w:tcW w:type="dxa" w:w="6803"/>
            <w:tcBorders>
              <w:top w:val="single" w:sz="4" w:space="0" w:color="E4DED3"/>
              <w:left w:val="single" w:sz="4" w:space="0" w:color="E4DED3"/>
              <w:bottom w:val="single" w:sz="4" w:space="0" w:color="E4DED3"/>
              <w:right w:val="single" w:sz="4" w:space="0" w:color="E4DED3"/>
            </w:tcBorders>
          </w:tcPr>
          <w:p>
            <w:r>
              <w:rPr>
                <w:sz w:val="20"/>
              </w:rPr>
              <w:t>Pat Lin, MTS Senior Consultant (engagement supervision)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Improvement Team Lead — engagement-setup phase</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Ledgerline Cloud Infrastructure Improvement — S1-CL3</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Team</w:t>
            </w:r>
          </w:p>
        </w:tc>
        <w:tc>
          <w:tcPr>
            <w:tcW w:type="dxa" w:w="6803"/>
            <w:tcBorders>
              <w:top w:val="single" w:sz="4" w:space="0" w:color="E4DED3"/>
              <w:left w:val="single" w:sz="4" w:space="0" w:color="E4DED3"/>
              <w:bottom w:val="single" w:sz="4" w:space="0" w:color="E4DED3"/>
              <w:right w:val="single" w:sz="4" w:space="0" w:color="E4DED3"/>
            </w:tcBorders>
          </w:tcPr>
          <w:p>
            <w:r>
              <w:rPr>
                <w:sz w:val="20"/>
              </w:rPr>
              <w:t>MTS improvement team of four — one member per improvement dimension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Document 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Internal — MTS / YAT</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Purpose and team objectives</w:t>
      </w:r>
    </w:p>
    <w:p>
      <w:pPr>
        <w:spacing w:after="120"/>
      </w:pPr>
      <w:r>
        <w:rPr>
          <w:i/>
          <w:color w:val="1F5A5C"/>
          <w:sz w:val="17"/>
        </w:rPr>
        <w:t>Evidences: [BSBXTW401 PC 1.1]</w:t>
      </w:r>
    </w:p>
    <w:p>
      <w:r>
        <w:rPr>
          <w:sz w:val="21"/>
        </w:rPr>
        <w:t>MP Tech Solutions (MTS) has been engaged by YAT College to improve the cloud infrastructure of its Ledgerline (Accounting) system, following YAT's India-campus partnership. This Team Plan sets out how our improvement team will work to deliver the engagement. It is the team lead's plan; the team-lead role rotates, and each member leads at least one working session.</w:t>
      </w:r>
    </w:p>
    <w:p>
      <w:r>
        <w:rPr>
          <w:sz w:val="21"/>
        </w:rPr>
        <w:t>Common objective. Deliver one integrated improvement to Ledgerline's cloud infrastructure — confirmed stable, reliable, fit for purpose, and compliant with the Indian regulatory requirements — proposed to YAT in an approved business case (AT2) and implemented and signed off (AT3), within YAT's budget and Change Management Procedure.</w:t>
      </w:r>
    </w:p>
    <w:p>
      <w:r>
        <w:rPr>
          <w:sz w:val="21"/>
        </w:rPr>
        <w:t>Responsibilities. Each member owns one improvement dimension (security, reliability, scalability, cost) through the analysis, the design and the implementation, and contributes their dimension to the team's single integrated architecture. The team lead coordinates, chairs the working session in their rotation, and is the point of contact with the MTS Senior Consultant (Pat Lin) and the YAT ICT Manager (Sam Walker).</w:t>
      </w:r>
    </w:p>
    <w:p>
      <w:r>
        <w:rPr>
          <w:sz w:val="21"/>
        </w:rPr>
        <w:t>Required outcomes. Two outcomes gate the engagement: the deploy sign-off on the Improvement Business Case at the end of AT2, and the final sign-off on the implemented improvements at the end of AT3.</w:t>
      </w:r>
    </w:p>
    <w:p>
      <w:pPr>
        <w:pStyle w:val="Heading1"/>
      </w:pPr>
      <w:r>
        <w:t>2. Team structure and dimension ownership</w:t>
      </w:r>
    </w:p>
    <w:p>
      <w:pPr>
        <w:spacing w:after="120"/>
      </w:pPr>
      <w:r>
        <w:rPr>
          <w:i/>
          <w:color w:val="1F5A5C"/>
          <w:sz w:val="17"/>
        </w:rPr>
        <w:t>Evidences: [BSBXTW401 PC 1.1] (responsibilities)</w:t>
      </w:r>
    </w:p>
    <w:p>
      <w:r>
        <w:rPr>
          <w:sz w:val="21"/>
        </w:rPr>
        <w:t>The team is four members, each owning one improvement dimension so that the team's integrated architecture addresses all four. The team-lead role rotates across the working sessions.</w:t>
      </w:r>
    </w:p>
    <w:tbl>
      <w:tblPr>
        <w:tblW w:type="auto" w:w="0"/>
        <w:jc w:val="center"/>
        <w:tblLook w:firstColumn="1" w:firstRow="1" w:lastColumn="0" w:lastRow="0" w:noHBand="0" w:noVBand="1" w:val="04A0"/>
      </w:tblPr>
      <w:tblGrid>
        <w:gridCol w:w="3137"/>
        <w:gridCol w:w="3137"/>
        <w:gridCol w:w="3137"/>
      </w:tblGrid>
      <w:tr>
        <w:tc>
          <w:tcPr>
            <w:tcW w:type="dxa" w:w="238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Member</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Dimension owned</w:t>
            </w:r>
          </w:p>
        </w:tc>
        <w:tc>
          <w:tcPr>
            <w:tcW w:type="dxa" w:w="470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Focus of the dimension</w:t>
            </w:r>
          </w:p>
        </w:tc>
      </w:tr>
      <w:tr>
        <w:tc>
          <w:tcPr>
            <w:tcW w:type="dxa" w:w="2381"/>
            <w:tcBorders>
              <w:top w:val="single" w:sz="4" w:space="0" w:color="E4DED3"/>
              <w:left w:val="single" w:sz="4" w:space="0" w:color="E4DED3"/>
              <w:bottom w:val="single" w:sz="4" w:space="0" w:color="E4DED3"/>
              <w:right w:val="single" w:sz="4" w:space="0" w:color="E4DED3"/>
            </w:tcBorders>
          </w:tcPr>
          <w:p>
            <w:r>
              <w:rPr>
                <w:b/>
                <w:sz w:val="18"/>
              </w:rPr>
              <w:t>Maya N. (lead, this phase)</w:t>
            </w:r>
          </w:p>
        </w:tc>
        <w:tc>
          <w:tcPr>
            <w:tcW w:type="dxa" w:w="1701"/>
            <w:tcBorders>
              <w:top w:val="single" w:sz="4" w:space="0" w:color="E4DED3"/>
              <w:left w:val="single" w:sz="4" w:space="0" w:color="E4DED3"/>
              <w:bottom w:val="single" w:sz="4" w:space="0" w:color="E4DED3"/>
              <w:right w:val="single" w:sz="4" w:space="0" w:color="E4DED3"/>
            </w:tcBorders>
          </w:tcPr>
          <w:p>
            <w:r>
              <w:rPr>
                <w:sz w:val="18"/>
              </w:rPr>
              <w:t>Security</w:t>
            </w:r>
          </w:p>
        </w:tc>
        <w:tc>
          <w:tcPr>
            <w:tcW w:type="dxa" w:w="4706"/>
            <w:tcBorders>
              <w:top w:val="single" w:sz="4" w:space="0" w:color="E4DED3"/>
              <w:left w:val="single" w:sz="4" w:space="0" w:color="E4DED3"/>
              <w:bottom w:val="single" w:sz="4" w:space="0" w:color="E4DED3"/>
              <w:right w:val="single" w:sz="4" w:space="0" w:color="E4DED3"/>
            </w:tcBorders>
          </w:tcPr>
          <w:p>
            <w:r>
              <w:rPr>
                <w:sz w:val="18"/>
              </w:rPr>
              <w:t>IAM, encryption, network/security layers, and the controls that meet the Indian regulatory requirements (log residency, breach-reporting readiness).</w:t>
            </w:r>
          </w:p>
        </w:tc>
      </w:tr>
      <w:tr>
        <w:tc>
          <w:tcPr>
            <w:tcW w:type="dxa" w:w="2381"/>
            <w:tcBorders>
              <w:top w:val="single" w:sz="4" w:space="0" w:color="E4DED3"/>
              <w:left w:val="single" w:sz="4" w:space="0" w:color="E4DED3"/>
              <w:bottom w:val="single" w:sz="4" w:space="0" w:color="E4DED3"/>
              <w:right w:val="single" w:sz="4" w:space="0" w:color="E4DED3"/>
            </w:tcBorders>
          </w:tcPr>
          <w:p>
            <w:r>
              <w:rPr>
                <w:b/>
                <w:sz w:val="18"/>
              </w:rPr>
              <w:t>Theo R.</w:t>
            </w:r>
          </w:p>
        </w:tc>
        <w:tc>
          <w:tcPr>
            <w:tcW w:type="dxa" w:w="1701"/>
            <w:tcBorders>
              <w:top w:val="single" w:sz="4" w:space="0" w:color="E4DED3"/>
              <w:left w:val="single" w:sz="4" w:space="0" w:color="E4DED3"/>
              <w:bottom w:val="single" w:sz="4" w:space="0" w:color="E4DED3"/>
              <w:right w:val="single" w:sz="4" w:space="0" w:color="E4DED3"/>
            </w:tcBorders>
          </w:tcPr>
          <w:p>
            <w:r>
              <w:rPr>
                <w:sz w:val="18"/>
              </w:rPr>
              <w:t>Reliability</w:t>
            </w:r>
          </w:p>
        </w:tc>
        <w:tc>
          <w:tcPr>
            <w:tcW w:type="dxa" w:w="4706"/>
            <w:tcBorders>
              <w:top w:val="single" w:sz="4" w:space="0" w:color="E4DED3"/>
              <w:left w:val="single" w:sz="4" w:space="0" w:color="E4DED3"/>
              <w:bottom w:val="single" w:sz="4" w:space="0" w:color="E4DED3"/>
              <w:right w:val="single" w:sz="4" w:space="0" w:color="E4DED3"/>
            </w:tcBorders>
          </w:tcPr>
          <w:p>
            <w:r>
              <w:rPr>
                <w:sz w:val="18"/>
              </w:rPr>
              <w:t>Fault tolerance, backup and recovery, and availability appropriate to a business-hours finance system.</w:t>
            </w:r>
          </w:p>
        </w:tc>
      </w:tr>
      <w:tr>
        <w:tc>
          <w:tcPr>
            <w:tcW w:type="dxa" w:w="2381"/>
            <w:tcBorders>
              <w:top w:val="single" w:sz="4" w:space="0" w:color="E4DED3"/>
              <w:left w:val="single" w:sz="4" w:space="0" w:color="E4DED3"/>
              <w:bottom w:val="single" w:sz="4" w:space="0" w:color="E4DED3"/>
              <w:right w:val="single" w:sz="4" w:space="0" w:color="E4DED3"/>
            </w:tcBorders>
          </w:tcPr>
          <w:p>
            <w:r>
              <w:rPr>
                <w:b/>
                <w:sz w:val="18"/>
              </w:rPr>
              <w:t>Ina P.</w:t>
            </w:r>
          </w:p>
        </w:tc>
        <w:tc>
          <w:tcPr>
            <w:tcW w:type="dxa" w:w="1701"/>
            <w:tcBorders>
              <w:top w:val="single" w:sz="4" w:space="0" w:color="E4DED3"/>
              <w:left w:val="single" w:sz="4" w:space="0" w:color="E4DED3"/>
              <w:bottom w:val="single" w:sz="4" w:space="0" w:color="E4DED3"/>
              <w:right w:val="single" w:sz="4" w:space="0" w:color="E4DED3"/>
            </w:tcBorders>
          </w:tcPr>
          <w:p>
            <w:r>
              <w:rPr>
                <w:sz w:val="18"/>
              </w:rPr>
              <w:t>Scalability</w:t>
            </w:r>
          </w:p>
        </w:tc>
        <w:tc>
          <w:tcPr>
            <w:tcW w:type="dxa" w:w="4706"/>
            <w:tcBorders>
              <w:top w:val="single" w:sz="4" w:space="0" w:color="E4DED3"/>
              <w:left w:val="single" w:sz="4" w:space="0" w:color="E4DED3"/>
              <w:bottom w:val="single" w:sz="4" w:space="0" w:color="E4DED3"/>
              <w:right w:val="single" w:sz="4" w:space="0" w:color="E4DED3"/>
            </w:tcBorders>
          </w:tcPr>
          <w:p>
            <w:r>
              <w:rPr>
                <w:sz w:val="18"/>
              </w:rPr>
              <w:t>Compute/storage elasticity and performance headroom for period-end load.</w:t>
            </w:r>
          </w:p>
        </w:tc>
      </w:tr>
      <w:tr>
        <w:tc>
          <w:tcPr>
            <w:tcW w:type="dxa" w:w="2381"/>
            <w:tcBorders>
              <w:top w:val="single" w:sz="4" w:space="0" w:color="E4DED3"/>
              <w:left w:val="single" w:sz="4" w:space="0" w:color="E4DED3"/>
              <w:bottom w:val="single" w:sz="4" w:space="0" w:color="E4DED3"/>
              <w:right w:val="single" w:sz="4" w:space="0" w:color="E4DED3"/>
            </w:tcBorders>
          </w:tcPr>
          <w:p>
            <w:r>
              <w:rPr>
                <w:b/>
                <w:sz w:val="18"/>
              </w:rPr>
              <w:t>Cooper L.</w:t>
            </w:r>
          </w:p>
        </w:tc>
        <w:tc>
          <w:tcPr>
            <w:tcW w:type="dxa" w:w="1701"/>
            <w:tcBorders>
              <w:top w:val="single" w:sz="4" w:space="0" w:color="E4DED3"/>
              <w:left w:val="single" w:sz="4" w:space="0" w:color="E4DED3"/>
              <w:bottom w:val="single" w:sz="4" w:space="0" w:color="E4DED3"/>
              <w:right w:val="single" w:sz="4" w:space="0" w:color="E4DED3"/>
            </w:tcBorders>
          </w:tcPr>
          <w:p>
            <w:r>
              <w:rPr>
                <w:sz w:val="18"/>
              </w:rPr>
              <w:t>Cost</w:t>
            </w:r>
          </w:p>
        </w:tc>
        <w:tc>
          <w:tcPr>
            <w:tcW w:type="dxa" w:w="4706"/>
            <w:tcBorders>
              <w:top w:val="single" w:sz="4" w:space="0" w:color="E4DED3"/>
              <w:left w:val="single" w:sz="4" w:space="0" w:color="E4DED3"/>
              <w:bottom w:val="single" w:sz="4" w:space="0" w:color="E4DED3"/>
              <w:right w:val="single" w:sz="4" w:space="0" w:color="E4DED3"/>
            </w:tcBorders>
          </w:tcPr>
          <w:p>
            <w:r>
              <w:rPr>
                <w:sz w:val="18"/>
              </w:rPr>
              <w:t>Right-sizing, pricing models (reserved vs on-demand), and ongoing cost efficiency.</w:t>
            </w:r>
          </w:p>
        </w:tc>
      </w:tr>
    </w:tbl>
    <w:p/>
    <w:p>
      <w:pPr>
        <w:pStyle w:val="Heading1"/>
      </w:pPr>
      <w:r>
        <w:t>3. Performance expectations</w:t>
      </w:r>
    </w:p>
    <w:p>
      <w:pPr>
        <w:spacing w:after="120"/>
      </w:pPr>
      <w:r>
        <w:rPr>
          <w:i/>
          <w:color w:val="1F5A5C"/>
          <w:sz w:val="17"/>
        </w:rPr>
        <w:t>Evidences: [BSBXTW401 PC 1.2]</w:t>
      </w:r>
    </w:p>
    <w:p>
      <w:r>
        <w:rPr>
          <w:sz w:val="21"/>
        </w:rPr>
        <w:t>Each member's expected outcomes, goals and behaviours, set in line with the team objective and YAT's policies (the Change Management Procedure, the Security and Incident Response Policy, and the Privacy / Data Handling Policy).</w:t>
      </w:r>
    </w:p>
    <w:tbl>
      <w:tblPr>
        <w:tblW w:type="auto" w:w="0"/>
        <w:jc w:val="center"/>
        <w:tblLook w:firstColumn="1" w:firstRow="1" w:lastColumn="0" w:lastRow="0" w:noHBand="0" w:noVBand="1" w:val="04A0"/>
      </w:tblPr>
      <w:tblGrid>
        <w:gridCol w:w="2353"/>
        <w:gridCol w:w="2353"/>
        <w:gridCol w:w="2353"/>
        <w:gridCol w:w="2353"/>
      </w:tblGrid>
      <w:tr>
        <w:tc>
          <w:tcPr>
            <w:tcW w:type="dxa" w:w="192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Member (dimension)</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Expected outcomes</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Goals</w:t>
            </w:r>
          </w:p>
        </w:tc>
        <w:tc>
          <w:tcPr>
            <w:tcW w:type="dxa" w:w="232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Expected behaviours</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Maya N. (Security)</w:t>
            </w:r>
          </w:p>
        </w:tc>
        <w:tc>
          <w:tcPr>
            <w:tcW w:type="dxa" w:w="2268"/>
            <w:tcBorders>
              <w:top w:val="single" w:sz="4" w:space="0" w:color="E4DED3"/>
              <w:left w:val="single" w:sz="4" w:space="0" w:color="E4DED3"/>
              <w:bottom w:val="single" w:sz="4" w:space="0" w:color="E4DED3"/>
              <w:right w:val="single" w:sz="4" w:space="0" w:color="E4DED3"/>
            </w:tcBorders>
          </w:tcPr>
          <w:p>
            <w:r>
              <w:rPr>
                <w:sz w:val="18"/>
              </w:rPr>
              <w:t>A security/compliance improvement design and as-built record for the owned dimension.</w:t>
            </w:r>
          </w:p>
        </w:tc>
        <w:tc>
          <w:tcPr>
            <w:tcW w:type="dxa" w:w="2268"/>
            <w:tcBorders>
              <w:top w:val="single" w:sz="4" w:space="0" w:color="E4DED3"/>
              <w:left w:val="single" w:sz="4" w:space="0" w:color="E4DED3"/>
              <w:bottom w:val="single" w:sz="4" w:space="0" w:color="E4DED3"/>
              <w:right w:val="single" w:sz="4" w:space="0" w:color="E4DED3"/>
            </w:tcBorders>
          </w:tcPr>
          <w:p>
            <w:r>
              <w:rPr>
                <w:sz w:val="18"/>
              </w:rPr>
              <w:t>Close the compliance gaps identified in analysis; meet the security goals proportionately.</w:t>
            </w:r>
          </w:p>
        </w:tc>
        <w:tc>
          <w:tcPr>
            <w:tcW w:type="dxa" w:w="2324"/>
            <w:tcBorders>
              <w:top w:val="single" w:sz="4" w:space="0" w:color="E4DED3"/>
              <w:left w:val="single" w:sz="4" w:space="0" w:color="E4DED3"/>
              <w:bottom w:val="single" w:sz="4" w:space="0" w:color="E4DED3"/>
              <w:right w:val="single" w:sz="4" w:space="0" w:color="E4DED3"/>
            </w:tcBorders>
          </w:tcPr>
          <w:p>
            <w:r>
              <w:rPr>
                <w:sz w:val="18"/>
              </w:rPr>
              <w:t>Designs to the requirements; raises risks early; respects the change discipline.</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Theo R. (Reliability)</w:t>
            </w:r>
          </w:p>
        </w:tc>
        <w:tc>
          <w:tcPr>
            <w:tcW w:type="dxa" w:w="2268"/>
            <w:tcBorders>
              <w:top w:val="single" w:sz="4" w:space="0" w:color="E4DED3"/>
              <w:left w:val="single" w:sz="4" w:space="0" w:color="E4DED3"/>
              <w:bottom w:val="single" w:sz="4" w:space="0" w:color="E4DED3"/>
              <w:right w:val="single" w:sz="4" w:space="0" w:color="E4DED3"/>
            </w:tcBorders>
          </w:tcPr>
          <w:p>
            <w:r>
              <w:rPr>
                <w:sz w:val="18"/>
              </w:rPr>
              <w:t>A reliability improvement design and as-built record.</w:t>
            </w:r>
          </w:p>
        </w:tc>
        <w:tc>
          <w:tcPr>
            <w:tcW w:type="dxa" w:w="2268"/>
            <w:tcBorders>
              <w:top w:val="single" w:sz="4" w:space="0" w:color="E4DED3"/>
              <w:left w:val="single" w:sz="4" w:space="0" w:color="E4DED3"/>
              <w:bottom w:val="single" w:sz="4" w:space="0" w:color="E4DED3"/>
              <w:right w:val="single" w:sz="4" w:space="0" w:color="E4DED3"/>
            </w:tcBorders>
          </w:tcPr>
          <w:p>
            <w:r>
              <w:rPr>
                <w:sz w:val="18"/>
              </w:rPr>
              <w:t>Meet the agreed reliability goals without over-engineering a business-hours system.</w:t>
            </w:r>
          </w:p>
        </w:tc>
        <w:tc>
          <w:tcPr>
            <w:tcW w:type="dxa" w:w="2324"/>
            <w:tcBorders>
              <w:top w:val="single" w:sz="4" w:space="0" w:color="E4DED3"/>
              <w:left w:val="single" w:sz="4" w:space="0" w:color="E4DED3"/>
              <w:bottom w:val="single" w:sz="4" w:space="0" w:color="E4DED3"/>
              <w:right w:val="single" w:sz="4" w:space="0" w:color="E4DED3"/>
            </w:tcBorders>
          </w:tcPr>
          <w:p>
            <w:r>
              <w:rPr>
                <w:sz w:val="18"/>
              </w:rPr>
              <w:t>Justifies each change on the business need; tests against the metrics.</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Ina P. (Scalability)</w:t>
            </w:r>
          </w:p>
        </w:tc>
        <w:tc>
          <w:tcPr>
            <w:tcW w:type="dxa" w:w="2268"/>
            <w:tcBorders>
              <w:top w:val="single" w:sz="4" w:space="0" w:color="E4DED3"/>
              <w:left w:val="single" w:sz="4" w:space="0" w:color="E4DED3"/>
              <w:bottom w:val="single" w:sz="4" w:space="0" w:color="E4DED3"/>
              <w:right w:val="single" w:sz="4" w:space="0" w:color="E4DED3"/>
            </w:tcBorders>
          </w:tcPr>
          <w:p>
            <w:r>
              <w:rPr>
                <w:sz w:val="18"/>
              </w:rPr>
              <w:t>A scalability improvement design and as-built record.</w:t>
            </w:r>
          </w:p>
        </w:tc>
        <w:tc>
          <w:tcPr>
            <w:tcW w:type="dxa" w:w="2268"/>
            <w:tcBorders>
              <w:top w:val="single" w:sz="4" w:space="0" w:color="E4DED3"/>
              <w:left w:val="single" w:sz="4" w:space="0" w:color="E4DED3"/>
              <w:bottom w:val="single" w:sz="4" w:space="0" w:color="E4DED3"/>
              <w:right w:val="single" w:sz="4" w:space="0" w:color="E4DED3"/>
            </w:tcBorders>
          </w:tcPr>
          <w:p>
            <w:r>
              <w:rPr>
                <w:sz w:val="18"/>
              </w:rPr>
              <w:t>Provide proportionate headroom for period-end load.</w:t>
            </w:r>
          </w:p>
        </w:tc>
        <w:tc>
          <w:tcPr>
            <w:tcW w:type="dxa" w:w="2324"/>
            <w:tcBorders>
              <w:top w:val="single" w:sz="4" w:space="0" w:color="E4DED3"/>
              <w:left w:val="single" w:sz="4" w:space="0" w:color="E4DED3"/>
              <w:bottom w:val="single" w:sz="4" w:space="0" w:color="E4DED3"/>
              <w:right w:val="single" w:sz="4" w:space="0" w:color="E4DED3"/>
            </w:tcBorders>
          </w:tcPr>
          <w:p>
            <w:r>
              <w:rPr>
                <w:sz w:val="18"/>
              </w:rPr>
              <w:t>Measures before and after; avoids gold-plating.</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Cooper L. (Cost)</w:t>
            </w:r>
          </w:p>
        </w:tc>
        <w:tc>
          <w:tcPr>
            <w:tcW w:type="dxa" w:w="2268"/>
            <w:tcBorders>
              <w:top w:val="single" w:sz="4" w:space="0" w:color="E4DED3"/>
              <w:left w:val="single" w:sz="4" w:space="0" w:color="E4DED3"/>
              <w:bottom w:val="single" w:sz="4" w:space="0" w:color="E4DED3"/>
              <w:right w:val="single" w:sz="4" w:space="0" w:color="E4DED3"/>
            </w:tcBorders>
          </w:tcPr>
          <w:p>
            <w:r>
              <w:rPr>
                <w:sz w:val="18"/>
              </w:rPr>
              <w:t>A cost-optimisation design and as-built record.</w:t>
            </w:r>
          </w:p>
        </w:tc>
        <w:tc>
          <w:tcPr>
            <w:tcW w:type="dxa" w:w="2268"/>
            <w:tcBorders>
              <w:top w:val="single" w:sz="4" w:space="0" w:color="E4DED3"/>
              <w:left w:val="single" w:sz="4" w:space="0" w:color="E4DED3"/>
              <w:bottom w:val="single" w:sz="4" w:space="0" w:color="E4DED3"/>
              <w:right w:val="single" w:sz="4" w:space="0" w:color="E4DED3"/>
            </w:tcBorders>
          </w:tcPr>
          <w:p>
            <w:r>
              <w:rPr>
                <w:sz w:val="18"/>
              </w:rPr>
              <w:t>Keep the improvement cost-justified and the ongoing cost impact explicit.</w:t>
            </w:r>
          </w:p>
        </w:tc>
        <w:tc>
          <w:tcPr>
            <w:tcW w:type="dxa" w:w="2324"/>
            <w:tcBorders>
              <w:top w:val="single" w:sz="4" w:space="0" w:color="E4DED3"/>
              <w:left w:val="single" w:sz="4" w:space="0" w:color="E4DED3"/>
              <w:bottom w:val="single" w:sz="4" w:space="0" w:color="E4DED3"/>
              <w:right w:val="single" w:sz="4" w:space="0" w:color="E4DED3"/>
            </w:tcBorders>
          </w:tcPr>
          <w:p>
            <w:r>
              <w:rPr>
                <w:sz w:val="18"/>
              </w:rPr>
              <w:t>Brings the cost view to every design decision; flags cost risk.</w:t>
            </w:r>
          </w:p>
        </w:tc>
      </w:tr>
    </w:tbl>
    <w:p/>
    <w:p>
      <w:pPr>
        <w:pStyle w:val="Heading1"/>
      </w:pPr>
      <w:r>
        <w:t>4. Accountability strategies</w:t>
      </w:r>
    </w:p>
    <w:p>
      <w:pPr>
        <w:spacing w:after="120"/>
      </w:pPr>
      <w:r>
        <w:rPr>
          <w:i/>
          <w:color w:val="1F5A5C"/>
          <w:sz w:val="17"/>
        </w:rPr>
        <w:t>Evidences: [BSBXTW401 PC 1.3]</w:t>
      </w:r>
    </w:p>
    <w:p>
      <w:r>
        <w:rPr>
          <w:sz w:val="21"/>
        </w:rPr>
        <w:t>Members are held accountable for their roles and responsibilities through:</w:t>
      </w:r>
    </w:p>
    <w:p>
      <w:pPr>
        <w:pStyle w:val="ListBullet"/>
      </w:pPr>
      <w:r>
        <w:rPr>
          <w:sz w:val="21"/>
        </w:rPr>
        <w:t>Owned-dimension deliverables — each member is named against their dimension's analysis contribution, design and as-built record, so the work is individually attributable.</w:t>
      </w:r>
    </w:p>
    <w:p>
      <w:pPr>
        <w:pStyle w:val="ListBullet"/>
      </w:pPr>
      <w:r>
        <w:rPr>
          <w:sz w:val="21"/>
        </w:rPr>
        <w:t>The two sign-off gates — the AT2 deploy sign-off and the AT3 final sign-off are the formal accountability checkpoints with YAT.</w:t>
      </w:r>
    </w:p>
    <w:p>
      <w:pPr>
        <w:pStyle w:val="ListBullet"/>
      </w:pPr>
      <w:r>
        <w:rPr>
          <w:sz w:val="21"/>
        </w:rPr>
        <w:t>The led-meeting record — when a member chairs, the assessor's observation record captures how they led; the team's decisions are minuted against owners and due dates.</w:t>
      </w:r>
    </w:p>
    <w:p>
      <w:pPr>
        <w:pStyle w:val="ListBullet"/>
      </w:pPr>
      <w:r>
        <w:rPr>
          <w:sz w:val="21"/>
        </w:rPr>
        <w:t>Peer review at integration — each dimension's design is reviewed by the team before it is integrated, so gaps and conflicts surface before the business case.</w:t>
      </w:r>
    </w:p>
    <w:p>
      <w:pPr>
        <w:pStyle w:val="ListBullet"/>
      </w:pPr>
      <w:r>
        <w:rPr>
          <w:sz w:val="21"/>
        </w:rPr>
        <w:t>Escalation path — unresolved issues are escalated to the team lead, then to Pat Lin (MTS Senior Consultant), per the Engagement Role Brief.</w:t>
      </w:r>
    </w:p>
    <w:p>
      <w:pPr>
        <w:pStyle w:val="Heading1"/>
      </w:pPr>
      <w:r>
        <w:t>5. Task allocation</w:t>
      </w:r>
    </w:p>
    <w:p>
      <w:pPr>
        <w:spacing w:after="120"/>
      </w:pPr>
      <w:r>
        <w:rPr>
          <w:i/>
          <w:color w:val="1F5A5C"/>
          <w:sz w:val="17"/>
        </w:rPr>
        <w:t>Evidences: [BSBXTW401 PC 2.2] · [BSBXTW401 PE 1]</w:t>
      </w:r>
    </w:p>
    <w:p>
      <w:r>
        <w:rPr>
          <w:sz w:val="21"/>
        </w:rPr>
        <w:t>The improvement work is allocated by dimension, with the instruction each member needs and an allowance for the contingencies in §6. Each member carries their dimension across all three phases.</w:t>
      </w:r>
    </w:p>
    <w:tbl>
      <w:tblPr>
        <w:tblW w:type="auto" w:w="0"/>
        <w:jc w:val="center"/>
        <w:tblLook w:firstColumn="1" w:firstRow="1" w:lastColumn="0" w:lastRow="0" w:noHBand="0" w:noVBand="1" w:val="04A0"/>
      </w:tblPr>
      <w:tblGrid>
        <w:gridCol w:w="3137"/>
        <w:gridCol w:w="3137"/>
        <w:gridCol w:w="3137"/>
      </w:tblGrid>
      <w:tr>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Member</w:t>
            </w:r>
          </w:p>
        </w:tc>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Allocated tasks (AT1 → AT2 → AT3)</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Instruction / notes</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Maya N. (Security)</w:t>
            </w:r>
          </w:p>
        </w:tc>
        <w:tc>
          <w:tcPr>
            <w:tcW w:type="dxa" w:w="4252"/>
            <w:tcBorders>
              <w:top w:val="single" w:sz="4" w:space="0" w:color="E4DED3"/>
              <w:left w:val="single" w:sz="4" w:space="0" w:color="E4DED3"/>
              <w:bottom w:val="single" w:sz="4" w:space="0" w:color="E4DED3"/>
              <w:right w:val="single" w:sz="4" w:space="0" w:color="E4DED3"/>
            </w:tcBorders>
          </w:tcPr>
          <w:p>
            <w:r>
              <w:rPr>
                <w:sz w:val="18"/>
              </w:rPr>
              <w:t>Contribute the security &amp; compliance findings to the analysis; design the security improvement and the controls that meet the Indian Regulatory Requirements; implement, test and document them.</w:t>
            </w:r>
          </w:p>
        </w:tc>
        <w:tc>
          <w:tcPr>
            <w:tcW w:type="dxa" w:w="2835"/>
            <w:tcBorders>
              <w:top w:val="single" w:sz="4" w:space="0" w:color="E4DED3"/>
              <w:left w:val="single" w:sz="4" w:space="0" w:color="E4DED3"/>
              <w:bottom w:val="single" w:sz="4" w:space="0" w:color="E4DED3"/>
              <w:right w:val="single" w:sz="4" w:space="0" w:color="E4DED3"/>
            </w:tcBorders>
          </w:tcPr>
          <w:p>
            <w:r>
              <w:rPr>
                <w:sz w:val="18"/>
              </w:rPr>
              <w:t>Work to the Indian Regulatory Requirements as provided; the Compliance area owns the law. Coordinate with Cost on any licensing impact.</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Theo R. (Reliability)</w:t>
            </w:r>
          </w:p>
        </w:tc>
        <w:tc>
          <w:tcPr>
            <w:tcW w:type="dxa" w:w="4252"/>
            <w:tcBorders>
              <w:top w:val="single" w:sz="4" w:space="0" w:color="E4DED3"/>
              <w:left w:val="single" w:sz="4" w:space="0" w:color="E4DED3"/>
              <w:bottom w:val="single" w:sz="4" w:space="0" w:color="E4DED3"/>
              <w:right w:val="single" w:sz="4" w:space="0" w:color="E4DED3"/>
            </w:tcBorders>
          </w:tcPr>
          <w:p>
            <w:r>
              <w:rPr>
                <w:sz w:val="18"/>
              </w:rPr>
              <w:t>Reliability findings → reliability design (backups/recovery/availability) → implement and test against the reliability metrics.</w:t>
            </w:r>
          </w:p>
        </w:tc>
        <w:tc>
          <w:tcPr>
            <w:tcW w:type="dxa" w:w="2835"/>
            <w:tcBorders>
              <w:top w:val="single" w:sz="4" w:space="0" w:color="E4DED3"/>
              <w:left w:val="single" w:sz="4" w:space="0" w:color="E4DED3"/>
              <w:bottom w:val="single" w:sz="4" w:space="0" w:color="E4DED3"/>
              <w:right w:val="single" w:sz="4" w:space="0" w:color="E4DED3"/>
            </w:tcBorders>
          </w:tcPr>
          <w:p>
            <w:r>
              <w:rPr>
                <w:sz w:val="18"/>
              </w:rPr>
              <w:t>Keep proportionate to a business-hours finance system; align recovery with Finance's expectations.</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Ina P. (Scalability)</w:t>
            </w:r>
          </w:p>
        </w:tc>
        <w:tc>
          <w:tcPr>
            <w:tcW w:type="dxa" w:w="4252"/>
            <w:tcBorders>
              <w:top w:val="single" w:sz="4" w:space="0" w:color="E4DED3"/>
              <w:left w:val="single" w:sz="4" w:space="0" w:color="E4DED3"/>
              <w:bottom w:val="single" w:sz="4" w:space="0" w:color="E4DED3"/>
              <w:right w:val="single" w:sz="4" w:space="0" w:color="E4DED3"/>
            </w:tcBorders>
          </w:tcPr>
          <w:p>
            <w:r>
              <w:rPr>
                <w:sz w:val="18"/>
              </w:rPr>
              <w:t>Scalability findings → scalability design (elasticity/headroom) → implement and load-test.</w:t>
            </w:r>
          </w:p>
        </w:tc>
        <w:tc>
          <w:tcPr>
            <w:tcW w:type="dxa" w:w="2835"/>
            <w:tcBorders>
              <w:top w:val="single" w:sz="4" w:space="0" w:color="E4DED3"/>
              <w:left w:val="single" w:sz="4" w:space="0" w:color="E4DED3"/>
              <w:bottom w:val="single" w:sz="4" w:space="0" w:color="E4DED3"/>
              <w:right w:val="single" w:sz="4" w:space="0" w:color="E4DED3"/>
            </w:tcBorders>
          </w:tcPr>
          <w:p>
            <w:r>
              <w:rPr>
                <w:sz w:val="18"/>
              </w:rPr>
              <w:t>Measure period-end load first; avoid standing capacity that Cost would flag.</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Cooper L. (Cost)</w:t>
            </w:r>
          </w:p>
        </w:tc>
        <w:tc>
          <w:tcPr>
            <w:tcW w:type="dxa" w:w="4252"/>
            <w:tcBorders>
              <w:top w:val="single" w:sz="4" w:space="0" w:color="E4DED3"/>
              <w:left w:val="single" w:sz="4" w:space="0" w:color="E4DED3"/>
              <w:bottom w:val="single" w:sz="4" w:space="0" w:color="E4DED3"/>
              <w:right w:val="single" w:sz="4" w:space="0" w:color="E4DED3"/>
            </w:tcBorders>
          </w:tcPr>
          <w:p>
            <w:r>
              <w:rPr>
                <w:sz w:val="18"/>
              </w:rPr>
              <w:t>Cost baseline and findings → cost-optimisation design and the business-case costings → implement and verify the cost impact.</w:t>
            </w:r>
          </w:p>
        </w:tc>
        <w:tc>
          <w:tcPr>
            <w:tcW w:type="dxa" w:w="2835"/>
            <w:tcBorders>
              <w:top w:val="single" w:sz="4" w:space="0" w:color="E4DED3"/>
              <w:left w:val="single" w:sz="4" w:space="0" w:color="E4DED3"/>
              <w:bottom w:val="single" w:sz="4" w:space="0" w:color="E4DED3"/>
              <w:right w:val="single" w:sz="4" w:space="0" w:color="E4DED3"/>
            </w:tcBorders>
          </w:tcPr>
          <w:p>
            <w:r>
              <w:rPr>
                <w:sz w:val="18"/>
              </w:rPr>
              <w:t>Owns the business-case cost view; reconcile every dimension's design against budget.</w:t>
            </w:r>
          </w:p>
        </w:tc>
      </w:tr>
    </w:tbl>
    <w:p/>
    <w:p>
      <w:pPr>
        <w:pStyle w:val="Heading1"/>
      </w:pPr>
      <w:r>
        <w:t>6. Contingency planning</w:t>
      </w:r>
    </w:p>
    <w:p>
      <w:pPr>
        <w:spacing w:after="120"/>
      </w:pPr>
      <w:r>
        <w:rPr>
          <w:i/>
          <w:color w:val="1F5A5C"/>
          <w:sz w:val="17"/>
        </w:rPr>
        <w:t>Evidences: [BSBXTW401 PC 1.4]</w:t>
      </w:r>
    </w:p>
    <w:p>
      <w:r>
        <w:rPr>
          <w:sz w:val="21"/>
        </w:rPr>
        <w:t>The contingencies most likely to impact a small four-person team on a time-boxed engagement, and the plan for each.</w:t>
      </w:r>
    </w:p>
    <w:tbl>
      <w:tblPr>
        <w:tblW w:type="auto" w:w="0"/>
        <w:jc w:val="center"/>
        <w:tblLook w:firstColumn="1" w:firstRow="1" w:lastColumn="0" w:lastRow="0" w:noHBand="0" w:noVBand="1" w:val="04A0"/>
      </w:tblPr>
      <w:tblGrid>
        <w:gridCol w:w="3137"/>
        <w:gridCol w:w="3137"/>
        <w:gridCol w:w="3137"/>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Contingency</w:t>
            </w:r>
          </w:p>
        </w:tc>
        <w:tc>
          <w:tcPr>
            <w:tcW w:type="dxa" w:w="130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Likelihood</w:t>
            </w:r>
          </w:p>
        </w:tc>
        <w:tc>
          <w:tcPr>
            <w:tcW w:type="dxa" w:w="464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Plan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Unplanned leave or absence of a member</w:t>
            </w:r>
          </w:p>
        </w:tc>
        <w:tc>
          <w:tcPr>
            <w:tcW w:type="dxa" w:w="1304"/>
            <w:tcBorders>
              <w:top w:val="single" w:sz="4" w:space="0" w:color="E4DED3"/>
              <w:left w:val="single" w:sz="4" w:space="0" w:color="E4DED3"/>
              <w:bottom w:val="single" w:sz="4" w:space="0" w:color="E4DED3"/>
              <w:right w:val="single" w:sz="4" w:space="0" w:color="E4DED3"/>
            </w:tcBorders>
          </w:tcPr>
          <w:p>
            <w:r>
              <w:rPr>
                <w:sz w:val="18"/>
              </w:rPr>
              <w:t>Medium</w:t>
            </w:r>
          </w:p>
        </w:tc>
        <w:tc>
          <w:tcPr>
            <w:tcW w:type="dxa" w:w="4649"/>
            <w:tcBorders>
              <w:top w:val="single" w:sz="4" w:space="0" w:color="E4DED3"/>
              <w:left w:val="single" w:sz="4" w:space="0" w:color="E4DED3"/>
              <w:bottom w:val="single" w:sz="4" w:space="0" w:color="E4DED3"/>
              <w:right w:val="single" w:sz="4" w:space="0" w:color="E4DED3"/>
            </w:tcBorders>
          </w:tcPr>
          <w:p>
            <w:r>
              <w:rPr>
                <w:sz w:val="18"/>
              </w:rPr>
              <w:t>Cross-brief at each working session so no dimension is a single point of failure; the absent member's owned tasks are picked up by the lead or an adjacent-dimension owner from the documented design notes; deadlines re-planned if needed.</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Re-allocation of work tasks</w:t>
            </w:r>
          </w:p>
        </w:tc>
        <w:tc>
          <w:tcPr>
            <w:tcW w:type="dxa" w:w="1304"/>
            <w:tcBorders>
              <w:top w:val="single" w:sz="4" w:space="0" w:color="E4DED3"/>
              <w:left w:val="single" w:sz="4" w:space="0" w:color="E4DED3"/>
              <w:bottom w:val="single" w:sz="4" w:space="0" w:color="E4DED3"/>
              <w:right w:val="single" w:sz="4" w:space="0" w:color="E4DED3"/>
            </w:tcBorders>
          </w:tcPr>
          <w:p>
            <w:r>
              <w:rPr>
                <w:sz w:val="18"/>
              </w:rPr>
              <w:t>Medium</w:t>
            </w:r>
          </w:p>
        </w:tc>
        <w:tc>
          <w:tcPr>
            <w:tcW w:type="dxa" w:w="4649"/>
            <w:tcBorders>
              <w:top w:val="single" w:sz="4" w:space="0" w:color="E4DED3"/>
              <w:left w:val="single" w:sz="4" w:space="0" w:color="E4DED3"/>
              <w:bottom w:val="single" w:sz="4" w:space="0" w:color="E4DED3"/>
              <w:right w:val="single" w:sz="4" w:space="0" w:color="E4DED3"/>
            </w:tcBorders>
          </w:tcPr>
          <w:p>
            <w:r>
              <w:rPr>
                <w:sz w:val="18"/>
              </w:rPr>
              <w:t>A small schedule buffer before each sign-off gate; adjacent dimensions (security/cost, reliability/scalability) are paired so re-allocation stays within a familiar area.</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Succession for an important team role (the lead)</w:t>
            </w:r>
          </w:p>
        </w:tc>
        <w:tc>
          <w:tcPr>
            <w:tcW w:type="dxa" w:w="1304"/>
            <w:tcBorders>
              <w:top w:val="single" w:sz="4" w:space="0" w:color="E4DED3"/>
              <w:left w:val="single" w:sz="4" w:space="0" w:color="E4DED3"/>
              <w:bottom w:val="single" w:sz="4" w:space="0" w:color="E4DED3"/>
              <w:right w:val="single" w:sz="4" w:space="0" w:color="E4DED3"/>
            </w:tcBorders>
          </w:tcPr>
          <w:p>
            <w:r>
              <w:rPr>
                <w:sz w:val="18"/>
              </w:rPr>
              <w:t>Low</w:t>
            </w:r>
          </w:p>
        </w:tc>
        <w:tc>
          <w:tcPr>
            <w:tcW w:type="dxa" w:w="4649"/>
            <w:tcBorders>
              <w:top w:val="single" w:sz="4" w:space="0" w:color="E4DED3"/>
              <w:left w:val="single" w:sz="4" w:space="0" w:color="E4DED3"/>
              <w:bottom w:val="single" w:sz="4" w:space="0" w:color="E4DED3"/>
              <w:right w:val="single" w:sz="4" w:space="0" w:color="E4DED3"/>
            </w:tcBorders>
          </w:tcPr>
          <w:p>
            <w:r>
              <w:rPr>
                <w:sz w:val="18"/>
              </w:rPr>
              <w:t>The rotating-chair model means every member can lead; a short written handover passes the open actions and decisions to the next chair.</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 dimension's design conflicts with another at integration</w:t>
            </w:r>
          </w:p>
        </w:tc>
        <w:tc>
          <w:tcPr>
            <w:tcW w:type="dxa" w:w="1304"/>
            <w:tcBorders>
              <w:top w:val="single" w:sz="4" w:space="0" w:color="E4DED3"/>
              <w:left w:val="single" w:sz="4" w:space="0" w:color="E4DED3"/>
              <w:bottom w:val="single" w:sz="4" w:space="0" w:color="E4DED3"/>
              <w:right w:val="single" w:sz="4" w:space="0" w:color="E4DED3"/>
            </w:tcBorders>
          </w:tcPr>
          <w:p>
            <w:r>
              <w:rPr>
                <w:sz w:val="18"/>
              </w:rPr>
              <w:t>Medium</w:t>
            </w:r>
          </w:p>
        </w:tc>
        <w:tc>
          <w:tcPr>
            <w:tcW w:type="dxa" w:w="4649"/>
            <w:tcBorders>
              <w:top w:val="single" w:sz="4" w:space="0" w:color="E4DED3"/>
              <w:left w:val="single" w:sz="4" w:space="0" w:color="E4DED3"/>
              <w:bottom w:val="single" w:sz="4" w:space="0" w:color="E4DED3"/>
              <w:right w:val="single" w:sz="4" w:space="0" w:color="E4DED3"/>
            </w:tcBorders>
          </w:tcPr>
          <w:p>
            <w:r>
              <w:rPr>
                <w:sz w:val="18"/>
              </w:rPr>
              <w:t>Peer review at integration (§4) surfaces conflicts before the business case; the team lead arbitrates and minutes the decision.</w:t>
            </w:r>
          </w:p>
        </w:tc>
      </w:tr>
    </w:tbl>
    <w:p/>
    <w:p>
      <w:pPr>
        <w:pStyle w:val="Heading1"/>
      </w:pPr>
      <w:r>
        <w:t>7. Team operating norms</w:t>
      </w:r>
    </w:p>
    <w:p>
      <w:pPr>
        <w:spacing w:after="120"/>
      </w:pPr>
      <w:r>
        <w:rPr>
          <w:i/>
          <w:color w:val="1F5A5C"/>
          <w:sz w:val="17"/>
        </w:rPr>
        <w:t>Evidences: [BSBXTW401 FS Get the work done]</w:t>
      </w:r>
    </w:p>
    <w:p>
      <w:r>
        <w:rPr>
          <w:sz w:val="21"/>
        </w:rPr>
        <w:t>The team works through a series of rotating-chair working meetings, each chaired by a different member. Decisions are minuted against an owner and a due date. Production-affecting work follows YAT's Change Management Procedure and avoids the monthly accounting close and end-of-financial-year periods. Communication with YAT runs through the team lead to the YAT ICT Manager, with Pat Lin (MTS Senior Consultant) as the supervision and escalation point.</w:t>
      </w:r>
    </w:p>
    <w:p>
      <w:pPr>
        <w:sectPr>
          <w:headerReference w:type="default" r:id="rId13"/>
          <w:footerReference w:type="default" r:id="rId14"/>
          <w:pgSz w:w="11906" w:h="16838"/>
          <w:pgMar w:top="1474" w:right="1247" w:bottom="1247" w:left="1247" w:header="567" w:footer="567" w:gutter="0"/>
          <w:cols w:space="720"/>
          <w:docGrid w:linePitch="360"/>
        </w:sectPr>
      </w:pPr>
    </w:p>
    <w:p>
      <w:pPr>
        <w:pStyle w:val="Heading1"/>
      </w:pPr>
      <w:r>
        <w:t>Appendix — Knowledge Evidence</w:t>
      </w:r>
    </w:p>
    <w:p>
      <w:r>
        <w:rPr>
          <w:sz w:val="21"/>
        </w:rPr>
        <w:t>Underlying knowledge as applied to this team and this engagement.</w:t>
      </w:r>
    </w:p>
    <w:tbl>
      <w:tblPr>
        <w:tblW w:type="auto" w:w="0"/>
        <w:jc w:val="center"/>
        <w:tblLook w:firstColumn="1" w:firstRow="1" w:lastColumn="0" w:lastRow="0" w:noHBand="0" w:noVBand="1" w:val="04A0"/>
      </w:tblPr>
      <w:tblGrid>
        <w:gridCol w:w="4706"/>
        <w:gridCol w:w="4706"/>
      </w:tblGrid>
      <w:tr>
        <w:tc>
          <w:tcPr>
            <w:tcW w:type="dxa" w:w="368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Question</w:t>
            </w:r>
          </w:p>
        </w:tc>
        <w:tc>
          <w:tcPr>
            <w:tcW w:type="dxa" w:w="51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Response</w:t>
            </w:r>
          </w:p>
        </w:tc>
      </w:tr>
      <w:tr>
        <w:tc>
          <w:tcPr>
            <w:tcW w:type="dxa" w:w="3685"/>
            <w:tcBorders>
              <w:top w:val="single" w:sz="4" w:space="0" w:color="E4DED3"/>
              <w:left w:val="single" w:sz="4" w:space="0" w:color="E4DED3"/>
              <w:bottom w:val="single" w:sz="4" w:space="0" w:color="E4DED3"/>
              <w:right w:val="single" w:sz="4" w:space="0" w:color="E4DED3"/>
            </w:tcBorders>
          </w:tcPr>
          <w:p>
            <w:r>
              <w:rPr>
                <w:b/>
                <w:sz w:val="18"/>
              </w:rPr>
              <w:t>Which organisational requirements (workplace policies, codes of conduct, organisational reputation and culture) shape how the team must operate, and how does the plan reflect them? [BSBXTW401 KE 1]</w:t>
            </w:r>
          </w:p>
        </w:tc>
        <w:tc>
          <w:tcPr>
            <w:tcW w:type="dxa" w:w="5102"/>
            <w:tcBorders>
              <w:top w:val="single" w:sz="4" w:space="0" w:color="E4DED3"/>
              <w:left w:val="single" w:sz="4" w:space="0" w:color="E4DED3"/>
              <w:bottom w:val="single" w:sz="4" w:space="0" w:color="E4DED3"/>
              <w:right w:val="single" w:sz="4" w:space="0" w:color="E4DED3"/>
            </w:tcBorders>
          </w:tcPr>
          <w:p>
            <w:r>
              <w:rPr>
                <w:sz w:val="18"/>
              </w:rPr>
              <w:t>YAT's Change Management Procedure (all production change is gated — reflected in the two sign-off gates and the change discipline in §7), the Security and Incident Response Policy and the Privacy / Data Handling Policy (the security/compliance dimension designs to them), and YAT's reputation as an RTO handling student and financial data (the team errs toward proportionate, well-justified change rather than risk).</w:t>
            </w:r>
          </w:p>
        </w:tc>
      </w:tr>
      <w:tr>
        <w:tc>
          <w:tcPr>
            <w:tcW w:type="dxa" w:w="3685"/>
            <w:tcBorders>
              <w:top w:val="single" w:sz="4" w:space="0" w:color="E4DED3"/>
              <w:left w:val="single" w:sz="4" w:space="0" w:color="E4DED3"/>
              <w:bottom w:val="single" w:sz="4" w:space="0" w:color="E4DED3"/>
              <w:right w:val="single" w:sz="4" w:space="0" w:color="E4DED3"/>
            </w:tcBorders>
          </w:tcPr>
          <w:p>
            <w:r>
              <w:rPr>
                <w:b/>
                <w:sz w:val="18"/>
              </w:rPr>
              <w:t>Which legislative requirements are relevant to the team's work, and how does the plan account for them? [BSBXTW401 KE 2]</w:t>
            </w:r>
          </w:p>
        </w:tc>
        <w:tc>
          <w:tcPr>
            <w:tcW w:type="dxa" w:w="5102"/>
            <w:tcBorders>
              <w:top w:val="single" w:sz="4" w:space="0" w:color="E4DED3"/>
              <w:left w:val="single" w:sz="4" w:space="0" w:color="E4DED3"/>
              <w:bottom w:val="single" w:sz="4" w:space="0" w:color="E4DED3"/>
              <w:right w:val="single" w:sz="4" w:space="0" w:color="E4DED3"/>
            </w:tcBorders>
          </w:tcPr>
          <w:p>
            <w:r>
              <w:rPr>
                <w:sz w:val="18"/>
              </w:rPr>
              <w:t>The Indian regulatory requirements arising from the India-campus operation (DPDP Act, CERT-In log residency, financial-records obligations) — provided by the Compliance area and carried by the security dimension; and Australian obligations (the Privacy Act / Australian Privacy Principles) for YAT data generally. The team designs to these requirements; it does not interpret the law (that is the Compliance area's role).</w:t>
            </w:r>
          </w:p>
        </w:tc>
      </w:tr>
      <w:tr>
        <w:tc>
          <w:tcPr>
            <w:tcW w:type="dxa" w:w="3685"/>
            <w:tcBorders>
              <w:top w:val="single" w:sz="4" w:space="0" w:color="E4DED3"/>
              <w:left w:val="single" w:sz="4" w:space="0" w:color="E4DED3"/>
              <w:bottom w:val="single" w:sz="4" w:space="0" w:color="E4DED3"/>
              <w:right w:val="single" w:sz="4" w:space="0" w:color="E4DED3"/>
            </w:tcBorders>
          </w:tcPr>
          <w:p>
            <w:r>
              <w:rPr>
                <w:b/>
                <w:sz w:val="18"/>
              </w:rPr>
              <w:t>What typical workplace contingencies could impact the team, and how does the plan handle them? [BSBXTW401 KE 9]</w:t>
            </w:r>
          </w:p>
        </w:tc>
        <w:tc>
          <w:tcPr>
            <w:tcW w:type="dxa" w:w="5102"/>
            <w:tcBorders>
              <w:top w:val="single" w:sz="4" w:space="0" w:color="E4DED3"/>
              <w:left w:val="single" w:sz="4" w:space="0" w:color="E4DED3"/>
              <w:bottom w:val="single" w:sz="4" w:space="0" w:color="E4DED3"/>
              <w:right w:val="single" w:sz="4" w:space="0" w:color="E4DED3"/>
            </w:tcBorders>
          </w:tcPr>
          <w:p>
            <w:r>
              <w:rPr>
                <w:sz w:val="18"/>
              </w:rPr>
              <w:t>Unplanned leave/absence, re-allocation of work tasks, and succession for an important role (here, the rotating lead). Each is addressed in §6 — cross-briefing so no dimension is a single point of failure, a schedule buffer and paired adjacent dimensions for re-allocation, and the rotating-chair model plus a written handover for succession.</w:t>
            </w:r>
          </w:p>
        </w:tc>
      </w:tr>
    </w:tbl>
    <w:p/>
    <w:p>
      <w:pPr>
        <w:pStyle w:val="Heading1"/>
      </w:pPr>
      <w:r>
        <w:t>Sign-off</w:t>
      </w:r>
    </w:p>
    <w:tbl>
      <w:tblPr>
        <w:tblW w:type="auto" w:w="0"/>
        <w:jc w:val="center"/>
        <w:tblLook w:firstColumn="1" w:firstRow="1" w:lastColumn="0" w:lastRow="0" w:noHBand="0" w:noVBand="1" w:val="04A0"/>
      </w:tblPr>
      <w:tblGrid>
        <w:gridCol w:w="2353"/>
        <w:gridCol w:w="2353"/>
        <w:gridCol w:w="2353"/>
        <w:gridCol w:w="2353"/>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Role</w:t>
            </w:r>
          </w:p>
        </w:tc>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Name</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Date</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Signature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Prepared by (team lead)</w:t>
            </w:r>
          </w:p>
        </w:tc>
        <w:tc>
          <w:tcPr>
            <w:tcW w:type="dxa" w:w="3118"/>
            <w:tcBorders>
              <w:top w:val="single" w:sz="4" w:space="0" w:color="E4DED3"/>
              <w:left w:val="single" w:sz="4" w:space="0" w:color="E4DED3"/>
              <w:bottom w:val="single" w:sz="4" w:space="0" w:color="E4DED3"/>
              <w:right w:val="single" w:sz="4" w:space="0" w:color="E4DED3"/>
            </w:tcBorders>
          </w:tcPr>
          <w:p>
            <w:r>
              <w:rPr>
                <w:sz w:val="18"/>
              </w:rPr>
              <w:t>Maya N. (MTS improvement team)</w:t>
            </w:r>
          </w:p>
        </w:tc>
        <w:tc>
          <w:tcPr>
            <w:tcW w:type="dxa" w:w="1417"/>
            <w:tcBorders>
              <w:top w:val="single" w:sz="4" w:space="0" w:color="E4DED3"/>
              <w:left w:val="single" w:sz="4" w:space="0" w:color="E4DED3"/>
              <w:bottom w:val="single" w:sz="4" w:space="0" w:color="E4DED3"/>
              <w:right w:val="single" w:sz="4" w:space="0" w:color="E4DED3"/>
            </w:tcBorders>
          </w:tcPr>
          <w:p>
            <w:r>
              <w:rPr>
                <w:sz w:val="18"/>
              </w:rPr>
            </w:r>
          </w:p>
        </w:tc>
        <w:tc>
          <w:tcPr>
            <w:tcW w:type="dxa" w:w="1701"/>
            <w:tcBorders>
              <w:top w:val="single" w:sz="4" w:space="0" w:color="E4DED3"/>
              <w:left w:val="single" w:sz="4" w:space="0" w:color="E4DED3"/>
              <w:bottom w:val="single" w:sz="4" w:space="0" w:color="E4DED3"/>
              <w:right w:val="single" w:sz="4" w:space="0" w:color="E4DED3"/>
            </w:tcBorders>
          </w:tcPr>
          <w:p>
            <w:r>
              <w:rPr>
                <w:sz w:val="18"/>
              </w:rPr>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Reviewed by</w:t>
            </w:r>
          </w:p>
        </w:tc>
        <w:tc>
          <w:tcPr>
            <w:tcW w:type="dxa" w:w="3118"/>
            <w:tcBorders>
              <w:top w:val="single" w:sz="4" w:space="0" w:color="E4DED3"/>
              <w:left w:val="single" w:sz="4" w:space="0" w:color="E4DED3"/>
              <w:bottom w:val="single" w:sz="4" w:space="0" w:color="E4DED3"/>
              <w:right w:val="single" w:sz="4" w:space="0" w:color="E4DED3"/>
            </w:tcBorders>
          </w:tcPr>
          <w:p>
            <w:r>
              <w:rPr>
                <w:sz w:val="18"/>
              </w:rPr>
              <w:t>Pat Lin (MTS Senior Consultant)</w:t>
            </w:r>
          </w:p>
        </w:tc>
        <w:tc>
          <w:tcPr>
            <w:tcW w:type="dxa" w:w="1417"/>
            <w:tcBorders>
              <w:top w:val="single" w:sz="4" w:space="0" w:color="E4DED3"/>
              <w:left w:val="single" w:sz="4" w:space="0" w:color="E4DED3"/>
              <w:bottom w:val="single" w:sz="4" w:space="0" w:color="E4DED3"/>
              <w:right w:val="single" w:sz="4" w:space="0" w:color="E4DED3"/>
            </w:tcBorders>
          </w:tcPr>
          <w:p>
            <w:r>
              <w:rPr>
                <w:sz w:val="18"/>
              </w:rPr>
            </w:r>
          </w:p>
        </w:tc>
        <w:tc>
          <w:tcPr>
            <w:tcW w:type="dxa" w:w="1701"/>
            <w:tcBorders>
              <w:top w:val="single" w:sz="4" w:space="0" w:color="E4DED3"/>
              <w:left w:val="single" w:sz="4" w:space="0" w:color="E4DED3"/>
              <w:bottom w:val="single" w:sz="4" w:space="0" w:color="E4DED3"/>
              <w:right w:val="single" w:sz="4" w:space="0" w:color="E4DED3"/>
            </w:tcBorders>
          </w:tcPr>
          <w:p>
            <w:r>
              <w:rPr>
                <w:sz w:val="18"/>
              </w:rPr>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Noted by</w:t>
            </w:r>
          </w:p>
        </w:tc>
        <w:tc>
          <w:tcPr>
            <w:tcW w:type="dxa" w:w="3118"/>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1417"/>
            <w:tcBorders>
              <w:top w:val="single" w:sz="4" w:space="0" w:color="E4DED3"/>
              <w:left w:val="single" w:sz="4" w:space="0" w:color="E4DED3"/>
              <w:bottom w:val="single" w:sz="4" w:space="0" w:color="E4DED3"/>
              <w:right w:val="single" w:sz="4" w:space="0" w:color="E4DED3"/>
            </w:tcBorders>
          </w:tcPr>
          <w:p>
            <w:r>
              <w:rPr>
                <w:sz w:val="18"/>
              </w:rPr>
            </w:r>
          </w:p>
        </w:tc>
        <w:tc>
          <w:tcPr>
            <w:tcW w:type="dxa" w:w="1701"/>
            <w:tcBorders>
              <w:top w:val="single" w:sz="4" w:space="0" w:color="E4DED3"/>
              <w:left w:val="single" w:sz="4" w:space="0" w:color="E4DED3"/>
              <w:bottom w:val="single" w:sz="4" w:space="0" w:color="E4DED3"/>
              <w:right w:val="single" w:sz="4" w:space="0" w:color="E4DED3"/>
            </w:tcBorders>
          </w:tcPr>
          <w:p>
            <w:r>
              <w:rPr>
                <w:sz w:val="18"/>
              </w:rPr>
            </w:r>
          </w:p>
        </w:tc>
      </w:tr>
    </w:tbl>
    <w:p/>
    <w:sectPr w:rsidR="00FC693F" w:rsidRPr="0006063C" w:rsidSect="00034616">
      <w:headerReference w:type="default" r:id="rId15"/>
      <w:footerReference w:type="default" r:id="rId16"/>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