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Deployment Report</w:t>
      </w:r>
    </w:p>
    <w:p>
      <w:r>
        <w:rPr>
          <w:b/>
          <w:color w:val="C5613B"/>
          <w:sz w:val="30"/>
        </w:rPr>
        <w:t>YAT LMS Cloud Migration — HA Hardening Phase</w:t>
      </w:r>
    </w:p>
    <w:p>
      <w:r>
        <w:rPr>
          <w:i/>
          <w:color w:val="6B6660"/>
          <w:sz w:val="20"/>
        </w:rPr>
        <w:t>Assessor exemplar — internal marking reference (not for distribution to students)</w:t>
      </w:r>
    </w:p>
    <w:p/>
    <w:tbl>
      <w:tblPr>
        <w:tblW w:type="auto" w:w="0"/>
        <w:tblLook w:firstColumn="1" w:firstRow="1" w:lastColumn="0" w:lastRow="0" w:noHBand="0" w:noVBand="1" w:val="04A0"/>
      </w:tblPr>
      <w:tblGrid>
        <w:gridCol w:w="4706"/>
        <w:gridCol w:w="4706"/>
      </w:tblGrid>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w:t>
            </w:r>
          </w:p>
        </w:tc>
        <w:tc>
          <w:tcPr>
            <w:tcW w:type="dxa" w:w="6803"/>
            <w:tcBorders>
              <w:top w:val="single" w:sz="4" w:space="0" w:color="E4DED3"/>
              <w:left w:val="single" w:sz="4" w:space="0" w:color="E4DED3"/>
              <w:bottom w:val="single" w:sz="4" w:space="0" w:color="E4DED3"/>
              <w:right w:val="single" w:sz="4" w:space="0" w:color="E4DED3"/>
            </w:tcBorders>
          </w:tcPr>
          <w:p>
            <w:r>
              <w:rPr>
                <w:sz w:val="20"/>
              </w:rPr>
              <w:t>YAT LMS Cloud Migration — HA Hardening</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 reference</w:t>
            </w:r>
          </w:p>
        </w:tc>
        <w:tc>
          <w:tcPr>
            <w:tcW w:type="dxa" w:w="6803"/>
            <w:tcBorders>
              <w:top w:val="single" w:sz="4" w:space="0" w:color="E4DED3"/>
              <w:left w:val="single" w:sz="4" w:space="0" w:color="E4DED3"/>
              <w:bottom w:val="single" w:sz="4" w:space="0" w:color="E4DED3"/>
              <w:right w:val="single" w:sz="4" w:space="0" w:color="E4DED3"/>
            </w:tcBorders>
          </w:tcPr>
          <w:p>
            <w:r>
              <w:rPr>
                <w:sz w:val="20"/>
              </w:rPr>
              <w:t>YAT-LMS-MIG-2026</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Report version</w:t>
            </w:r>
          </w:p>
        </w:tc>
        <w:tc>
          <w:tcPr>
            <w:tcW w:type="dxa" w:w="6803"/>
            <w:tcBorders>
              <w:top w:val="single" w:sz="4" w:space="0" w:color="E4DED3"/>
              <w:left w:val="single" w:sz="4" w:space="0" w:color="E4DED3"/>
              <w:bottom w:val="single" w:sz="4" w:space="0" w:color="E4DED3"/>
              <w:right w:val="single" w:sz="4" w:space="0" w:color="E4DED3"/>
            </w:tcBorders>
          </w:tcPr>
          <w:p>
            <w:r>
              <w:rPr>
                <w:sz w:val="20"/>
              </w:rPr>
              <w:t>v1.0</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Prepared by</w:t>
            </w:r>
          </w:p>
        </w:tc>
        <w:tc>
          <w:tcPr>
            <w:tcW w:type="dxa" w:w="6803"/>
            <w:tcBorders>
              <w:top w:val="single" w:sz="4" w:space="0" w:color="E4DED3"/>
              <w:left w:val="single" w:sz="4" w:space="0" w:color="E4DED3"/>
              <w:bottom w:val="single" w:sz="4" w:space="0" w:color="E4DED3"/>
              <w:right w:val="single" w:sz="4" w:space="0" w:color="E4DED3"/>
            </w:tcBorders>
          </w:tcPr>
          <w:p>
            <w:r>
              <w:rPr>
                <w:sz w:val="20"/>
              </w:rPr>
              <w:t>MTS Consultant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Date submitted</w:t>
            </w:r>
          </w:p>
        </w:tc>
        <w:tc>
          <w:tcPr>
            <w:tcW w:type="dxa" w:w="6803"/>
            <w:tcBorders>
              <w:top w:val="single" w:sz="4" w:space="0" w:color="E4DED3"/>
              <w:left w:val="single" w:sz="4" w:space="0" w:color="E4DED3"/>
              <w:bottom w:val="single" w:sz="4" w:space="0" w:color="E4DED3"/>
              <w:right w:val="single" w:sz="4" w:space="0" w:color="E4DED3"/>
            </w:tcBorders>
          </w:tcPr>
          <w:p>
            <w:r>
              <w:rPr>
                <w:sz w:val="20"/>
              </w:rPr>
              <w:t>[DD/MM/YYYY]</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Submitted to</w:t>
            </w:r>
          </w:p>
        </w:tc>
        <w:tc>
          <w:tcPr>
            <w:tcW w:type="dxa" w:w="6803"/>
            <w:tcBorders>
              <w:top w:val="single" w:sz="4" w:space="0" w:color="E4DED3"/>
              <w:left w:val="single" w:sz="4" w:space="0" w:color="E4DED3"/>
              <w:bottom w:val="single" w:sz="4" w:space="0" w:color="E4DED3"/>
              <w:right w:val="single" w:sz="4" w:space="0" w:color="E4DED3"/>
            </w:tcBorders>
          </w:tcPr>
          <w:p>
            <w:r>
              <w:rPr>
                <w:sz w:val="20"/>
              </w:rPr>
              <w:t>Sam Walker (YAT ICT Manager) · Pat Lin (MTS Senior Consultant)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Related documents</w:t>
            </w:r>
          </w:p>
        </w:tc>
        <w:tc>
          <w:tcPr>
            <w:tcW w:type="dxa" w:w="6803"/>
            <w:tcBorders>
              <w:top w:val="single" w:sz="4" w:space="0" w:color="E4DED3"/>
              <w:left w:val="single" w:sz="4" w:space="0" w:color="E4DED3"/>
              <w:bottom w:val="single" w:sz="4" w:space="0" w:color="E4DED3"/>
              <w:right w:val="single" w:sz="4" w:space="0" w:color="E4DED3"/>
            </w:tcBorders>
          </w:tcPr>
          <w:p>
            <w:r>
              <w:rPr>
                <w:sz w:val="20"/>
              </w:rPr>
              <w:t>YAT LMS Cloud Architecture — HA Design v1.0 (Part A); AT2 Deployment Report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Classification</w:t>
            </w:r>
          </w:p>
        </w:tc>
        <w:tc>
          <w:tcPr>
            <w:tcW w:type="dxa" w:w="6803"/>
            <w:tcBorders>
              <w:top w:val="single" w:sz="4" w:space="0" w:color="E4DED3"/>
              <w:left w:val="single" w:sz="4" w:space="0" w:color="E4DED3"/>
              <w:bottom w:val="single" w:sz="4" w:space="0" w:color="E4DED3"/>
              <w:right w:val="single" w:sz="4" w:space="0" w:color="E4DED3"/>
            </w:tcBorders>
          </w:tcPr>
          <w:p>
            <w:r>
              <w:rPr>
                <w:sz w:val="20"/>
              </w:rPr>
              <w:t>Commercial-in-confidence</w:t>
            </w:r>
          </w:p>
        </w:tc>
      </w:tr>
    </w:tbl>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Contents</w:t>
      </w:r>
    </w:p>
    <w:p>
      <w:r>
        <w:fldChar w:fldCharType="begin"/>
        <w:instrText xml:space="preserve">TOC \o "1-3" \h \z \u</w:instrText>
        <w:fldChar w:fldCharType="separate"/>
      </w:r>
      <w:r>
        <w:rPr>
          <w:color w:val="6B6660"/>
        </w:rPr>
        <w:t>Right-click and choose “Update Field” to build the table of contents.</w:t>
      </w:r>
      <w:r>
        <w:fldChar w:fldCharType="end"/>
      </w:r>
    </w:p>
    <w:p>
      <w:pPr>
        <w:sectPr>
          <w:headerReference w:type="default" r:id="rId11"/>
          <w:footerReference w:type="default" r:id="rId12"/>
          <w:pgSz w:w="11906" w:h="16838"/>
          <w:pgMar w:top="1474" w:right="1247" w:bottom="1247" w:left="1247" w:header="567" w:footer="567" w:gutter="0"/>
          <w:cols w:space="720"/>
          <w:docGrid w:linePitch="360"/>
        </w:sectPr>
      </w:pPr>
    </w:p>
    <w:p>
      <w:pPr>
        <w:pStyle w:val="Heading1"/>
      </w:pPr>
      <w:r>
        <w:t>1. Executive Summary</w:t>
      </w:r>
    </w:p>
    <w:p>
      <w:pPr>
        <w:spacing w:after="120"/>
      </w:pPr>
      <w:r>
        <w:rPr>
          <w:i/>
          <w:color w:val="1F5A5C"/>
          <w:sz w:val="17"/>
        </w:rPr>
        <w:t>Evidences: [ICTCLD401 PC 4.1] — partial (document and communicate the work)</w:t>
      </w:r>
    </w:p>
    <w:p>
      <w:r>
        <w:rPr>
          <w:sz w:val="21"/>
        </w:rPr>
        <w:t>This report documents the high-availability hardening of the YAT LMS, applied to the single-AZ foundation delivered in the previous phase. Working within a single Saturday late-night maintenance window (~3.5 hours), I enabled RDS Multi-AZ, extended the Auto Scaling Group and Application Load Balancer across two Availability Zones (us-east-1a and 1b), added HA-tuned monitoring, and configured a cross-Region backup copy to a separate DR destination. Failure and resize simulations confirmed the LMS now survives an instance loss, an AZ impairment, and an RDS failover with only brief, sub-90-second blips. Measured availability across the maintenance window was 99.96%. The 99.9% strategic target is now achievable.</w:t>
      </w:r>
    </w:p>
    <w:p>
      <w:r>
        <w:rPr>
          <w:sz w:val="21"/>
        </w:rPr>
        <w:t>Cross-Region active-active DR and application-layer clustering remain out of scope (noted in §7.3). This report, with the companion HA Design (Part A), closes out MTS's role on the engagement.</w:t>
      </w:r>
    </w:p>
    <w:p>
      <w:r>
        <w:rPr>
          <w:sz w:val="21"/>
        </w:rPr>
        <w:t>Region substitution: the design places the primary system in ap-southeast-2 (Sydney) and the DR backup copy in ap-southeast-4 (Melbourne). The AWS Academy Learner Lab is single-region, so both deploy to us-east-1 - [scenario: ap-southeast-2 (Sydney) | deploy: us-east-1] and [scenario: ap-southeast-4 (Melbourne) | deploy: us-east-1]. The build process is identical; only the Region on the console is the substitute, and each element below is evidenced on that substituted Region.</w:t>
      </w:r>
    </w:p>
    <w:p>
      <w:pPr>
        <w:pStyle w:val="Heading1"/>
      </w:pPr>
      <w:r>
        <w:t>2. Engagement Context</w:t>
      </w:r>
    </w:p>
    <w:p>
      <w:r>
        <w:rPr>
          <w:sz w:val="21"/>
        </w:rPr>
        <w:t>This phase implements the YAT LMS Cloud Architecture — HA Design (Part A of this AT3 submission), hardening the AT2 foundation for high availability. As the MTS consultant I executed the change within a planned maintenance window, with the requirement to finish either HA-complete or cleanly rolled back. Organisational change management around any further LMS work remains YAT IT's responsibility.</w:t>
      </w:r>
    </w:p>
    <w:p>
      <w:pPr>
        <w:pStyle w:val="Heading1"/>
      </w:pPr>
      <w:r>
        <w:t>3. Scope of Deployment</w:t>
      </w:r>
    </w:p>
    <w:p>
      <w:r>
        <w:rPr>
          <w:sz w:val="21"/>
        </w:rPr>
        <w:t>In scope: Multi-AZ database, cross-AZ compute and load-balancer resilience, HA-tuned monitoring, and a cross-Region backup copy. Out of scope, carried to a future engagement: cross-Region active-active or hot-standby DR, and application-layer HA (DOODLE clustering, a YAT IT responsibility).</w:t>
      </w:r>
    </w:p>
    <w:p>
      <w:pPr>
        <w:pStyle w:val="Heading3"/>
      </w:pPr>
      <w:r>
        <w:t>3.1 Maintenance-window context</w:t>
      </w:r>
    </w:p>
    <w:p>
      <w:r>
        <w:rPr>
          <w:sz w:val="21"/>
        </w:rPr>
        <w:t>The hardening was performed in a single simulated Saturday late-night maintenance window of approximately 3.5 hours. The standing requirement was that the LMS be back online at the end of the window either with HA hardening complete or rolled back to the AT2 baseline. The work completed with brief, expected failover blips and no rollback.</w:t>
      </w:r>
    </w:p>
    <w:p>
      <w:pPr>
        <w:pStyle w:val="Heading1"/>
      </w:pPr>
      <w:r>
        <w:t>4. Build / Change Narrative</w:t>
      </w:r>
    </w:p>
    <w:p>
      <w:pPr>
        <w:spacing w:after="120"/>
      </w:pPr>
      <w:r>
        <w:rPr>
          <w:i/>
          <w:color w:val="1F5A5C"/>
          <w:sz w:val="17"/>
        </w:rPr>
        <w:t>Evidences: [ICTCLD502 PC 4.1] (implement the design) · [ICTCLD502 PE 1, PE 2, PE 4]</w:t>
      </w:r>
    </w:p>
    <w:p>
      <w:pPr>
        <w:pStyle w:val="Heading3"/>
      </w:pPr>
      <w:r>
        <w:t>4.1 Identity and access management (changes from baseline)</w:t>
      </w:r>
    </w:p>
    <w:p>
      <w:r>
        <w:rPr>
          <w:sz w:val="21"/>
        </w:rPr>
        <w:t>Minimal change: I added an AWS Backup service role and a cross-Region copy role for the backup plan. No change to the human IAM groups or MFA enforcement from the AT2 baseline.</w:t>
      </w:r>
    </w:p>
    <w:p>
      <w:pPr>
        <w:spacing w:after="120"/>
      </w:pPr>
      <w:r>
        <w:rPr>
          <w:b/>
          <w:color w:val="1F5A5C"/>
          <w:sz w:val="19"/>
        </w:rPr>
        <w:t xml:space="preserve">[SCREENSHOT] </w:t>
      </w:r>
      <w:r>
        <w:rPr>
          <w:i/>
          <w:color w:val="6B6660"/>
          <w:sz w:val="19"/>
        </w:rPr>
        <w:t>— should show the AWS Backup service role / cross-Region copy role added; region us-east-1.</w:t>
      </w:r>
    </w:p>
    <w:p>
      <w:pPr>
        <w:pStyle w:val="Heading3"/>
      </w:pPr>
      <w:r>
        <w:t>4.2 Network topology (cross-AZ subnets)</w:t>
      </w:r>
    </w:p>
    <w:p>
      <w:r>
        <w:rPr>
          <w:sz w:val="21"/>
        </w:rPr>
        <w:t>I added three subnets in us-east-1b — public-web-b, private-app-b, private-data-b — mirroring the AZ-a CIDR plan, with route-table associations. A second NAT Gateway in public-web-b gives the AZ-b app subnet AZ-independent outbound access, so a single NAT or AZ failure can't sever egress.</w:t>
      </w:r>
    </w:p>
    <w:p>
      <w:pPr>
        <w:spacing w:after="120"/>
      </w:pPr>
      <w:r>
        <w:rPr>
          <w:b/>
          <w:color w:val="1F5A5C"/>
          <w:sz w:val="19"/>
        </w:rPr>
        <w:t xml:space="preserve">[SCREENSHOT] </w:t>
      </w:r>
      <w:r>
        <w:rPr>
          <w:i/>
          <w:color w:val="6B6660"/>
          <w:sz w:val="19"/>
        </w:rPr>
        <w:t>— should show all six subnets across us-east-1a and 1b with CIDRs/AZ, and the second NAT Gateway.</w:t>
      </w:r>
    </w:p>
    <w:p>
      <w:pPr>
        <w:pStyle w:val="Heading3"/>
      </w:pPr>
      <w:r>
        <w:t>4.3 Compute (cross-AZ Auto Scaling)</w:t>
      </w:r>
    </w:p>
    <w:p>
      <w:r>
        <w:rPr>
          <w:sz w:val="21"/>
        </w:rPr>
        <w:t>I extended the ASG across both AZ subnets and raised capacity to min 2 / desired 2 / max 4, so the loss of one AZ still leaves a healthy instance serving while the ASG rebuilds capacity in the survivor.</w:t>
      </w:r>
    </w:p>
    <w:p>
      <w:pPr>
        <w:spacing w:after="120"/>
      </w:pPr>
      <w:r>
        <w:rPr>
          <w:b/>
          <w:color w:val="1F5A5C"/>
          <w:sz w:val="19"/>
        </w:rPr>
        <w:t xml:space="preserve">[SCREENSHOT] </w:t>
      </w:r>
      <w:r>
        <w:rPr>
          <w:i/>
          <w:color w:val="6B6660"/>
          <w:sz w:val="19"/>
        </w:rPr>
        <w:t>— should show the ASG spanning both AZs with min/desired/max ≥ 2 and instances healthy in each AZ.</w:t>
      </w:r>
    </w:p>
    <w:p>
      <w:pPr>
        <w:pStyle w:val="Heading3"/>
      </w:pPr>
      <w:r>
        <w:t>4.4 Application Load Balancer (cross-AZ targets)</w:t>
      </w:r>
    </w:p>
    <w:p>
      <w:r>
        <w:rPr>
          <w:sz w:val="21"/>
        </w:rPr>
        <w:t>I extended the ALB's subnet group to both AZs and confirmed the target group reports healthy targets in each AZ, so the ALB can route around an AZ-level failure.</w:t>
      </w:r>
    </w:p>
    <w:p>
      <w:pPr>
        <w:spacing w:after="120"/>
      </w:pPr>
      <w:r>
        <w:rPr>
          <w:b/>
          <w:color w:val="1F5A5C"/>
          <w:sz w:val="19"/>
        </w:rPr>
        <w:t xml:space="preserve">[SCREENSHOT] </w:t>
      </w:r>
      <w:r>
        <w:rPr>
          <w:i/>
          <w:color w:val="6B6660"/>
          <w:sz w:val="19"/>
        </w:rPr>
        <w:t>— should show the ALB target group with healthy targets in both us-east-1a and 1b.</w:t>
      </w:r>
    </w:p>
    <w:p>
      <w:pPr>
        <w:pStyle w:val="Heading3"/>
      </w:pPr>
      <w:r>
        <w:t>4.5 Database (Multi-AZ)</w:t>
      </w:r>
    </w:p>
    <w:p>
      <w:r>
        <w:rPr>
          <w:sz w:val="21"/>
        </w:rPr>
        <w:t>I enabled Multi-AZ on the RDS instance; AWS provisioned a synchronous standby in us-east-1b. The conversion caused one brief failover blip, after which the primary endpoint resolved to the new active instance. Multi-AZ removes the database single point of failure that the AT2 baseline carried.</w:t>
      </w:r>
    </w:p>
    <w:p>
      <w:pPr>
        <w:spacing w:after="120"/>
      </w:pPr>
      <w:r>
        <w:rPr>
          <w:b/>
          <w:color w:val="1F5A5C"/>
          <w:sz w:val="19"/>
        </w:rPr>
        <w:t xml:space="preserve">[SCREENSHOT] </w:t>
      </w:r>
      <w:r>
        <w:rPr>
          <w:i/>
          <w:color w:val="6B6660"/>
          <w:sz w:val="19"/>
        </w:rPr>
        <w:t>— should show the RDS instance with Multi-AZ = Yes and the standby AZ; and the RDS event log entry for the Multi-AZ conversion.</w:t>
      </w:r>
    </w:p>
    <w:p>
      <w:pPr>
        <w:pStyle w:val="Heading3"/>
      </w:pPr>
      <w:r>
        <w:t>4.6 Storage (cross-Region backup)</w:t>
      </w:r>
    </w:p>
    <w:p>
      <w:r>
        <w:rPr>
          <w:sz w:val="21"/>
        </w:rPr>
        <w:t>I configured an AWS Backup plan with a cross-Region copy of the RDS and EBS snapshots to the DR destination — the design's ap-southeast-4 (Melbourne), deployed to us-east-1 in the lab ([scenario: ap-southeast-4 (Melbourne) | deploy: us-east-1]) — keeping the data onshore per the data-residency requirement while protecting against a regional event.</w:t>
      </w:r>
    </w:p>
    <w:p>
      <w:pPr>
        <w:spacing w:after="120"/>
      </w:pPr>
      <w:r>
        <w:rPr>
          <w:b/>
          <w:color w:val="1F5A5C"/>
          <w:sz w:val="19"/>
        </w:rPr>
        <w:t xml:space="preserve">[SCREENSHOT] </w:t>
      </w:r>
      <w:r>
        <w:rPr>
          <w:i/>
          <w:color w:val="6B6660"/>
          <w:sz w:val="19"/>
        </w:rPr>
        <w:t>— should show the AWS Backup plan with the cross-Region copy rule to the DR destination (us-east-1, substituting ap-southeast-4).</w:t>
      </w:r>
    </w:p>
    <w:p>
      <w:pPr>
        <w:pStyle w:val="Heading3"/>
      </w:pPr>
      <w:r>
        <w:t>4.7 Security (HA-related adjustments)</w:t>
      </w:r>
    </w:p>
    <w:p>
      <w:r>
        <w:rPr>
          <w:sz w:val="21"/>
        </w:rPr>
        <w:t>No security-group changes were required — cross-AZ traffic already flows within the VPC under the existing tiered rules, and the new subnets inherited the tier-appropriate groups.</w:t>
      </w:r>
    </w:p>
    <w:p>
      <w:pPr>
        <w:pStyle w:val="Heading3"/>
      </w:pPr>
      <w:r>
        <w:t>4.8 Monitoring (HA-tuned)</w:t>
      </w:r>
    </w:p>
    <w:p>
      <w:r>
        <w:rPr>
          <w:sz w:val="21"/>
        </w:rPr>
        <w:t>I added HA-tuned CloudWatch alarms beyond the AT2 baseline: a per-AZ healthy-host count, RDS failover detection, replica lag, and cross-AZ latency, plus a service-level dashboard tracking LMS availability. These detect a degradation of resilience even when the service as a whole is still up.</w:t>
      </w:r>
    </w:p>
    <w:p>
      <w:pPr>
        <w:spacing w:after="120"/>
      </w:pPr>
      <w:r>
        <w:rPr>
          <w:b/>
          <w:color w:val="1F5A5C"/>
          <w:sz w:val="19"/>
        </w:rPr>
        <w:t xml:space="preserve">[SCREENSHOT] </w:t>
      </w:r>
      <w:r>
        <w:rPr>
          <w:i/>
          <w:color w:val="6B6660"/>
          <w:sz w:val="19"/>
        </w:rPr>
        <w:t>— should show the HA-tuned alarms list and the service-level availability dashboard.</w:t>
      </w:r>
    </w:p>
    <w:p>
      <w:pPr>
        <w:pStyle w:val="Heading3"/>
      </w:pPr>
      <w:r>
        <w:t>4.9 Cross-Region backup / replication</w:t>
      </w:r>
    </w:p>
    <w:p>
      <w:r>
        <w:rPr>
          <w:sz w:val="21"/>
        </w:rPr>
        <w:t>Completed — see §4.6 (AWS Backup cross-Region copy to the DR destination; ap-southeast-4 substituted to us-east-1).</w:t>
      </w:r>
    </w:p>
    <w:p>
      <w:pPr>
        <w:pStyle w:val="Heading1"/>
      </w:pPr>
      <w:r>
        <w:t>5. Configuration Decisions</w:t>
      </w:r>
    </w:p>
    <w:tbl>
      <w:tblPr>
        <w:tblW w:type="auto" w:w="0"/>
        <w:jc w:val="center"/>
        <w:tblLook w:firstColumn="1" w:firstRow="1" w:lastColumn="0" w:lastRow="0" w:noHBand="0" w:noVBand="1" w:val="04A0"/>
      </w:tblPr>
      <w:tblGrid>
        <w:gridCol w:w="2353"/>
        <w:gridCol w:w="2353"/>
        <w:gridCol w:w="2353"/>
        <w:gridCol w:w="2353"/>
      </w:tblGrid>
      <w:tr>
        <w:tc>
          <w:tcPr>
            <w:tcW w:type="dxa" w:w="56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t>
            </w:r>
          </w:p>
        </w:tc>
        <w:tc>
          <w:tcPr>
            <w:tcW w:type="dxa" w:w="238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Decision</w:t>
            </w:r>
          </w:p>
        </w:tc>
        <w:tc>
          <w:tcPr>
            <w:tcW w:type="dxa" w:w="243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Choice</w:t>
            </w:r>
          </w:p>
        </w:tc>
        <w:tc>
          <w:tcPr>
            <w:tcW w:type="dxa" w:w="34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Rationale</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C1</w:t>
            </w:r>
          </w:p>
        </w:tc>
        <w:tc>
          <w:tcPr>
            <w:tcW w:type="dxa" w:w="2381"/>
            <w:tcBorders>
              <w:top w:val="single" w:sz="4" w:space="0" w:color="E4DED3"/>
              <w:left w:val="single" w:sz="4" w:space="0" w:color="E4DED3"/>
              <w:bottom w:val="single" w:sz="4" w:space="0" w:color="E4DED3"/>
              <w:right w:val="single" w:sz="4" w:space="0" w:color="E4DED3"/>
            </w:tcBorders>
          </w:tcPr>
          <w:p>
            <w:r>
              <w:rPr>
                <w:sz w:val="18"/>
              </w:rPr>
              <w:t>RDS Multi-AZ apply timing</w:t>
            </w:r>
          </w:p>
        </w:tc>
        <w:tc>
          <w:tcPr>
            <w:tcW w:type="dxa" w:w="2438"/>
            <w:tcBorders>
              <w:top w:val="single" w:sz="4" w:space="0" w:color="E4DED3"/>
              <w:left w:val="single" w:sz="4" w:space="0" w:color="E4DED3"/>
              <w:bottom w:val="single" w:sz="4" w:space="0" w:color="E4DED3"/>
              <w:right w:val="single" w:sz="4" w:space="0" w:color="E4DED3"/>
            </w:tcBorders>
          </w:tcPr>
          <w:p>
            <w:r>
              <w:rPr>
                <w:sz w:val="18"/>
              </w:rPr>
              <w:t>Apply immediately (in the window)</w:t>
            </w:r>
          </w:p>
        </w:tc>
        <w:tc>
          <w:tcPr>
            <w:tcW w:type="dxa" w:w="3402"/>
            <w:tcBorders>
              <w:top w:val="single" w:sz="4" w:space="0" w:color="E4DED3"/>
              <w:left w:val="single" w:sz="4" w:space="0" w:color="E4DED3"/>
              <w:bottom w:val="single" w:sz="4" w:space="0" w:color="E4DED3"/>
              <w:right w:val="single" w:sz="4" w:space="0" w:color="E4DED3"/>
            </w:tcBorders>
          </w:tcPr>
          <w:p>
            <w:r>
              <w:rPr>
                <w:sz w:val="18"/>
              </w:rPr>
              <w:t>The planned maintenance window absorbs the single conversion blip; no need to wait.</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C2</w:t>
            </w:r>
          </w:p>
        </w:tc>
        <w:tc>
          <w:tcPr>
            <w:tcW w:type="dxa" w:w="2381"/>
            <w:tcBorders>
              <w:top w:val="single" w:sz="4" w:space="0" w:color="E4DED3"/>
              <w:left w:val="single" w:sz="4" w:space="0" w:color="E4DED3"/>
              <w:bottom w:val="single" w:sz="4" w:space="0" w:color="E4DED3"/>
              <w:right w:val="single" w:sz="4" w:space="0" w:color="E4DED3"/>
            </w:tcBorders>
          </w:tcPr>
          <w:p>
            <w:r>
              <w:rPr>
                <w:sz w:val="18"/>
              </w:rPr>
              <w:t>Post-HA ASG capacity</w:t>
            </w:r>
          </w:p>
        </w:tc>
        <w:tc>
          <w:tcPr>
            <w:tcW w:type="dxa" w:w="2438"/>
            <w:tcBorders>
              <w:top w:val="single" w:sz="4" w:space="0" w:color="E4DED3"/>
              <w:left w:val="single" w:sz="4" w:space="0" w:color="E4DED3"/>
              <w:bottom w:val="single" w:sz="4" w:space="0" w:color="E4DED3"/>
              <w:right w:val="single" w:sz="4" w:space="0" w:color="E4DED3"/>
            </w:tcBorders>
          </w:tcPr>
          <w:p>
            <w:r>
              <w:rPr>
                <w:sz w:val="18"/>
              </w:rPr>
              <w:t>min 2 / desired 2 / max 4 across AZs</w:t>
            </w:r>
          </w:p>
        </w:tc>
        <w:tc>
          <w:tcPr>
            <w:tcW w:type="dxa" w:w="3402"/>
            <w:tcBorders>
              <w:top w:val="single" w:sz="4" w:space="0" w:color="E4DED3"/>
              <w:left w:val="single" w:sz="4" w:space="0" w:color="E4DED3"/>
              <w:bottom w:val="single" w:sz="4" w:space="0" w:color="E4DED3"/>
              <w:right w:val="single" w:sz="4" w:space="0" w:color="E4DED3"/>
            </w:tcBorders>
          </w:tcPr>
          <w:p>
            <w:r>
              <w:rPr>
                <w:sz w:val="18"/>
              </w:rPr>
              <w:t>Survives an AZ loss with a healthy instance still serving; max 4 covers the peak.</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C3</w:t>
            </w:r>
          </w:p>
        </w:tc>
        <w:tc>
          <w:tcPr>
            <w:tcW w:type="dxa" w:w="2381"/>
            <w:tcBorders>
              <w:top w:val="single" w:sz="4" w:space="0" w:color="E4DED3"/>
              <w:left w:val="single" w:sz="4" w:space="0" w:color="E4DED3"/>
              <w:bottom w:val="single" w:sz="4" w:space="0" w:color="E4DED3"/>
              <w:right w:val="single" w:sz="4" w:space="0" w:color="E4DED3"/>
            </w:tcBorders>
          </w:tcPr>
          <w:p>
            <w:r>
              <w:rPr>
                <w:sz w:val="18"/>
              </w:rPr>
              <w:t>Cross-Region backup destination</w:t>
            </w:r>
          </w:p>
        </w:tc>
        <w:tc>
          <w:tcPr>
            <w:tcW w:type="dxa" w:w="2438"/>
            <w:tcBorders>
              <w:top w:val="single" w:sz="4" w:space="0" w:color="E4DED3"/>
              <w:left w:val="single" w:sz="4" w:space="0" w:color="E4DED3"/>
              <w:bottom w:val="single" w:sz="4" w:space="0" w:color="E4DED3"/>
              <w:right w:val="single" w:sz="4" w:space="0" w:color="E4DED3"/>
            </w:tcBorders>
          </w:tcPr>
          <w:p>
            <w:r>
              <w:rPr>
                <w:sz w:val="18"/>
              </w:rPr>
              <w:t>ap-southeast-4 (Melbourne); deployed to us-east-1 (substituted)</w:t>
            </w:r>
          </w:p>
        </w:tc>
        <w:tc>
          <w:tcPr>
            <w:tcW w:type="dxa" w:w="3402"/>
            <w:tcBorders>
              <w:top w:val="single" w:sz="4" w:space="0" w:color="E4DED3"/>
              <w:left w:val="single" w:sz="4" w:space="0" w:color="E4DED3"/>
              <w:bottom w:val="single" w:sz="4" w:space="0" w:color="E4DED3"/>
              <w:right w:val="single" w:sz="4" w:space="0" w:color="E4DED3"/>
            </w:tcBorders>
          </w:tcPr>
          <w:p>
            <w:r>
              <w:rPr>
                <w:sz w:val="18"/>
              </w:rPr>
              <w:t>Regional protection while keeping financial/personal data onshore (data residency).</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C4</w:t>
            </w:r>
          </w:p>
        </w:tc>
        <w:tc>
          <w:tcPr>
            <w:tcW w:type="dxa" w:w="2381"/>
            <w:tcBorders>
              <w:top w:val="single" w:sz="4" w:space="0" w:color="E4DED3"/>
              <w:left w:val="single" w:sz="4" w:space="0" w:color="E4DED3"/>
              <w:bottom w:val="single" w:sz="4" w:space="0" w:color="E4DED3"/>
              <w:right w:val="single" w:sz="4" w:space="0" w:color="E4DED3"/>
            </w:tcBorders>
          </w:tcPr>
          <w:p>
            <w:r>
              <w:rPr>
                <w:sz w:val="18"/>
              </w:rPr>
              <w:t>HA alarm thresholds</w:t>
            </w:r>
          </w:p>
        </w:tc>
        <w:tc>
          <w:tcPr>
            <w:tcW w:type="dxa" w:w="2438"/>
            <w:tcBorders>
              <w:top w:val="single" w:sz="4" w:space="0" w:color="E4DED3"/>
              <w:left w:val="single" w:sz="4" w:space="0" w:color="E4DED3"/>
              <w:bottom w:val="single" w:sz="4" w:space="0" w:color="E4DED3"/>
              <w:right w:val="single" w:sz="4" w:space="0" w:color="E4DED3"/>
            </w:tcBorders>
          </w:tcPr>
          <w:p>
            <w:r>
              <w:rPr>
                <w:sz w:val="18"/>
              </w:rPr>
              <w:t>Healthy host &lt; 1 per AZ (1 min); replica lag &gt; 30 s</w:t>
            </w:r>
          </w:p>
        </w:tc>
        <w:tc>
          <w:tcPr>
            <w:tcW w:type="dxa" w:w="3402"/>
            <w:tcBorders>
              <w:top w:val="single" w:sz="4" w:space="0" w:color="E4DED3"/>
              <w:left w:val="single" w:sz="4" w:space="0" w:color="E4DED3"/>
              <w:bottom w:val="single" w:sz="4" w:space="0" w:color="E4DED3"/>
              <w:right w:val="single" w:sz="4" w:space="0" w:color="E4DED3"/>
            </w:tcBorders>
          </w:tcPr>
          <w:p>
            <w:r>
              <w:rPr>
                <w:sz w:val="18"/>
              </w:rPr>
              <w:t>Detects loss of AZ capacity or replication health before it becomes an outage.</w:t>
            </w:r>
          </w:p>
        </w:tc>
      </w:tr>
    </w:tbl>
    <w:p/>
    <w:p>
      <w:pPr>
        <w:pStyle w:val="Heading1"/>
      </w:pPr>
      <w:r>
        <w:t>6. Testing, Simulation and Validation</w:t>
      </w:r>
    </w:p>
    <w:p>
      <w:pPr>
        <w:spacing w:after="120"/>
      </w:pPr>
      <w:r>
        <w:rPr>
          <w:i/>
          <w:color w:val="1F5A5C"/>
          <w:sz w:val="17"/>
        </w:rPr>
        <w:t>Evidences: [ICTCLD502 PC 4.2–4.6, 5.1] · [ICTCLD502 PE 3, PE 5]</w:t>
      </w:r>
    </w:p>
    <w:p>
      <w:pPr>
        <w:pStyle w:val="Heading3"/>
      </w:pPr>
      <w:r>
        <w:t>6.1 Connectivity tests (regression)</w:t>
      </w:r>
    </w:p>
    <w:p>
      <w:r>
        <w:rPr>
          <w:sz w:val="21"/>
        </w:rPr>
        <w:t>I re-ran the AT2 connectivity, autoscaling, database and smoke tests after the HA changes; all passed across both AZs, confirming the hardening introduced no regression.</w:t>
      </w:r>
    </w:p>
    <w:p>
      <w:pPr>
        <w:pStyle w:val="Heading3"/>
      </w:pPr>
      <w:r>
        <w:t>6.2–6.4 Foundation tests (regression-confirmed)</w:t>
      </w:r>
    </w:p>
    <w:p>
      <w:r>
        <w:rPr>
          <w:sz w:val="21"/>
        </w:rPr>
        <w:t>Autoscaling, database connectivity, and the end-to-end smoke test from the foundation phase were re-verified and passed; detailed below is the HA-specific simulation work that is the core of this phase.</w:t>
      </w:r>
    </w:p>
    <w:p>
      <w:pPr>
        <w:pStyle w:val="Heading3"/>
      </w:pPr>
      <w:r>
        <w:t>6.5 Failure simulation</w:t>
      </w:r>
    </w:p>
    <w:tbl>
      <w:tblPr>
        <w:tblW w:type="auto" w:w="0"/>
        <w:jc w:val="center"/>
        <w:tblLook w:firstColumn="1" w:firstRow="1" w:lastColumn="0" w:lastRow="0" w:noHBand="0" w:noVBand="1" w:val="04A0"/>
      </w:tblPr>
      <w:tblGrid>
        <w:gridCol w:w="1569"/>
        <w:gridCol w:w="1569"/>
        <w:gridCol w:w="1569"/>
        <w:gridCol w:w="1569"/>
        <w:gridCol w:w="1569"/>
        <w:gridCol w:w="1569"/>
      </w:tblGrid>
      <w:tr>
        <w:tc>
          <w:tcPr>
            <w:tcW w:type="dxa" w:w="45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t>
            </w:r>
          </w:p>
        </w:tc>
        <w:tc>
          <w:tcPr>
            <w:tcW w:type="dxa" w:w="158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Simulation</w:t>
            </w:r>
          </w:p>
        </w:tc>
        <w:tc>
          <w:tcPr>
            <w:tcW w:type="dxa" w:w="158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Method</w:t>
            </w:r>
          </w:p>
        </w:tc>
        <w:tc>
          <w:tcPr>
            <w:tcW w:type="dxa" w:w="238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Observed outcome</w:t>
            </w:r>
          </w:p>
        </w:tc>
        <w:tc>
          <w:tcPr>
            <w:tcW w:type="dxa" w:w="113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Reachable?</w:t>
            </w:r>
          </w:p>
        </w:tc>
        <w:tc>
          <w:tcPr>
            <w:tcW w:type="dxa" w:w="68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Evidence</w:t>
            </w:r>
          </w:p>
        </w:tc>
      </w:tr>
      <w:tr>
        <w:tc>
          <w:tcPr>
            <w:tcW w:type="dxa" w:w="454"/>
            <w:tcBorders>
              <w:top w:val="single" w:sz="4" w:space="0" w:color="E4DED3"/>
              <w:left w:val="single" w:sz="4" w:space="0" w:color="E4DED3"/>
              <w:bottom w:val="single" w:sz="4" w:space="0" w:color="E4DED3"/>
              <w:right w:val="single" w:sz="4" w:space="0" w:color="E4DED3"/>
            </w:tcBorders>
          </w:tcPr>
          <w:p>
            <w:r>
              <w:rPr>
                <w:b/>
                <w:sz w:val="18"/>
              </w:rPr>
              <w:t>F1</w:t>
            </w:r>
          </w:p>
        </w:tc>
        <w:tc>
          <w:tcPr>
            <w:tcW w:type="dxa" w:w="1587"/>
            <w:tcBorders>
              <w:top w:val="single" w:sz="4" w:space="0" w:color="E4DED3"/>
              <w:left w:val="single" w:sz="4" w:space="0" w:color="E4DED3"/>
              <w:bottom w:val="single" w:sz="4" w:space="0" w:color="E4DED3"/>
              <w:right w:val="single" w:sz="4" w:space="0" w:color="E4DED3"/>
            </w:tcBorders>
          </w:tcPr>
          <w:p>
            <w:r>
              <w:rPr>
                <w:sz w:val="18"/>
              </w:rPr>
              <w:t>EC2 instance termination</w:t>
            </w:r>
          </w:p>
        </w:tc>
        <w:tc>
          <w:tcPr>
            <w:tcW w:type="dxa" w:w="1587"/>
            <w:tcBorders>
              <w:top w:val="single" w:sz="4" w:space="0" w:color="E4DED3"/>
              <w:left w:val="single" w:sz="4" w:space="0" w:color="E4DED3"/>
              <w:bottom w:val="single" w:sz="4" w:space="0" w:color="E4DED3"/>
              <w:right w:val="single" w:sz="4" w:space="0" w:color="E4DED3"/>
            </w:tcBorders>
          </w:tcPr>
          <w:p>
            <w:r>
              <w:rPr>
                <w:sz w:val="18"/>
              </w:rPr>
              <w:t>Terminated an instance via console</w:t>
            </w:r>
          </w:p>
        </w:tc>
        <w:tc>
          <w:tcPr>
            <w:tcW w:type="dxa" w:w="2381"/>
            <w:tcBorders>
              <w:top w:val="single" w:sz="4" w:space="0" w:color="E4DED3"/>
              <w:left w:val="single" w:sz="4" w:space="0" w:color="E4DED3"/>
              <w:bottom w:val="single" w:sz="4" w:space="0" w:color="E4DED3"/>
              <w:right w:val="single" w:sz="4" w:space="0" w:color="E4DED3"/>
            </w:tcBorders>
          </w:tcPr>
          <w:p>
            <w:r>
              <w:rPr>
                <w:sz w:val="18"/>
              </w:rPr>
              <w:t>ASG launched a replacement; ALB de-registered the dead target; new target healthy ~3 min</w:t>
            </w:r>
          </w:p>
        </w:tc>
        <w:tc>
          <w:tcPr>
            <w:tcW w:type="dxa" w:w="1134"/>
            <w:tcBorders>
              <w:top w:val="single" w:sz="4" w:space="0" w:color="E4DED3"/>
              <w:left w:val="single" w:sz="4" w:space="0" w:color="E4DED3"/>
              <w:bottom w:val="single" w:sz="4" w:space="0" w:color="E4DED3"/>
              <w:right w:val="single" w:sz="4" w:space="0" w:color="E4DED3"/>
            </w:tcBorders>
          </w:tcPr>
          <w:p>
            <w:r>
              <w:rPr>
                <w:sz w:val="18"/>
              </w:rPr>
              <w:t>Yes</w:t>
            </w:r>
          </w:p>
        </w:tc>
        <w:tc>
          <w:tcPr>
            <w:tcW w:type="dxa" w:w="680"/>
            <w:tcBorders>
              <w:top w:val="single" w:sz="4" w:space="0" w:color="E4DED3"/>
              <w:left w:val="single" w:sz="4" w:space="0" w:color="E4DED3"/>
              <w:bottom w:val="single" w:sz="4" w:space="0" w:color="E4DED3"/>
              <w:right w:val="single" w:sz="4" w:space="0" w:color="E4DED3"/>
            </w:tcBorders>
          </w:tcPr>
          <w:p>
            <w:r>
              <w:rPr>
                <w:sz w:val="18"/>
              </w:rPr>
              <w:t>C2</w:t>
            </w:r>
          </w:p>
        </w:tc>
      </w:tr>
      <w:tr>
        <w:tc>
          <w:tcPr>
            <w:tcW w:type="dxa" w:w="454"/>
            <w:tcBorders>
              <w:top w:val="single" w:sz="4" w:space="0" w:color="E4DED3"/>
              <w:left w:val="single" w:sz="4" w:space="0" w:color="E4DED3"/>
              <w:bottom w:val="single" w:sz="4" w:space="0" w:color="E4DED3"/>
              <w:right w:val="single" w:sz="4" w:space="0" w:color="E4DED3"/>
            </w:tcBorders>
          </w:tcPr>
          <w:p>
            <w:r>
              <w:rPr>
                <w:b/>
                <w:sz w:val="18"/>
              </w:rPr>
              <w:t>F2</w:t>
            </w:r>
          </w:p>
        </w:tc>
        <w:tc>
          <w:tcPr>
            <w:tcW w:type="dxa" w:w="1587"/>
            <w:tcBorders>
              <w:top w:val="single" w:sz="4" w:space="0" w:color="E4DED3"/>
              <w:left w:val="single" w:sz="4" w:space="0" w:color="E4DED3"/>
              <w:bottom w:val="single" w:sz="4" w:space="0" w:color="E4DED3"/>
              <w:right w:val="single" w:sz="4" w:space="0" w:color="E4DED3"/>
            </w:tcBorders>
          </w:tcPr>
          <w:p>
            <w:r>
              <w:rPr>
                <w:sz w:val="18"/>
              </w:rPr>
              <w:t>RDS Multi-AZ failover</w:t>
            </w:r>
          </w:p>
        </w:tc>
        <w:tc>
          <w:tcPr>
            <w:tcW w:type="dxa" w:w="1587"/>
            <w:tcBorders>
              <w:top w:val="single" w:sz="4" w:space="0" w:color="E4DED3"/>
              <w:left w:val="single" w:sz="4" w:space="0" w:color="E4DED3"/>
              <w:bottom w:val="single" w:sz="4" w:space="0" w:color="E4DED3"/>
              <w:right w:val="single" w:sz="4" w:space="0" w:color="E4DED3"/>
            </w:tcBorders>
          </w:tcPr>
          <w:p>
            <w:r>
              <w:rPr>
                <w:sz w:val="18"/>
              </w:rPr>
              <w:t>Reboot with failover</w:t>
            </w:r>
          </w:p>
        </w:tc>
        <w:tc>
          <w:tcPr>
            <w:tcW w:type="dxa" w:w="2381"/>
            <w:tcBorders>
              <w:top w:val="single" w:sz="4" w:space="0" w:color="E4DED3"/>
              <w:left w:val="single" w:sz="4" w:space="0" w:color="E4DED3"/>
              <w:bottom w:val="single" w:sz="4" w:space="0" w:color="E4DED3"/>
              <w:right w:val="single" w:sz="4" w:space="0" w:color="E4DED3"/>
            </w:tcBorders>
          </w:tcPr>
          <w:p>
            <w:r>
              <w:rPr>
                <w:sz w:val="18"/>
              </w:rPr>
              <w:t>Failover to standby in ~75 s; app reconnected on retry</w:t>
            </w:r>
          </w:p>
        </w:tc>
        <w:tc>
          <w:tcPr>
            <w:tcW w:type="dxa" w:w="1134"/>
            <w:tcBorders>
              <w:top w:val="single" w:sz="4" w:space="0" w:color="E4DED3"/>
              <w:left w:val="single" w:sz="4" w:space="0" w:color="E4DED3"/>
              <w:bottom w:val="single" w:sz="4" w:space="0" w:color="E4DED3"/>
              <w:right w:val="single" w:sz="4" w:space="0" w:color="E4DED3"/>
            </w:tcBorders>
          </w:tcPr>
          <w:p>
            <w:r>
              <w:rPr>
                <w:sz w:val="18"/>
              </w:rPr>
              <w:t>Yes (≈75 s blip)</w:t>
            </w:r>
          </w:p>
        </w:tc>
        <w:tc>
          <w:tcPr>
            <w:tcW w:type="dxa" w:w="680"/>
            <w:tcBorders>
              <w:top w:val="single" w:sz="4" w:space="0" w:color="E4DED3"/>
              <w:left w:val="single" w:sz="4" w:space="0" w:color="E4DED3"/>
              <w:bottom w:val="single" w:sz="4" w:space="0" w:color="E4DED3"/>
              <w:right w:val="single" w:sz="4" w:space="0" w:color="E4DED3"/>
            </w:tcBorders>
          </w:tcPr>
          <w:p>
            <w:r>
              <w:rPr>
                <w:sz w:val="18"/>
              </w:rPr>
              <w:t>C3</w:t>
            </w:r>
          </w:p>
        </w:tc>
      </w:tr>
      <w:tr>
        <w:tc>
          <w:tcPr>
            <w:tcW w:type="dxa" w:w="454"/>
            <w:tcBorders>
              <w:top w:val="single" w:sz="4" w:space="0" w:color="E4DED3"/>
              <w:left w:val="single" w:sz="4" w:space="0" w:color="E4DED3"/>
              <w:bottom w:val="single" w:sz="4" w:space="0" w:color="E4DED3"/>
              <w:right w:val="single" w:sz="4" w:space="0" w:color="E4DED3"/>
            </w:tcBorders>
          </w:tcPr>
          <w:p>
            <w:r>
              <w:rPr>
                <w:b/>
                <w:sz w:val="18"/>
              </w:rPr>
              <w:t>F3</w:t>
            </w:r>
          </w:p>
        </w:tc>
        <w:tc>
          <w:tcPr>
            <w:tcW w:type="dxa" w:w="1587"/>
            <w:tcBorders>
              <w:top w:val="single" w:sz="4" w:space="0" w:color="E4DED3"/>
              <w:left w:val="single" w:sz="4" w:space="0" w:color="E4DED3"/>
              <w:bottom w:val="single" w:sz="4" w:space="0" w:color="E4DED3"/>
              <w:right w:val="single" w:sz="4" w:space="0" w:color="E4DED3"/>
            </w:tcBorders>
          </w:tcPr>
          <w:p>
            <w:r>
              <w:rPr>
                <w:sz w:val="18"/>
              </w:rPr>
              <w:t>AZ impairment</w:t>
            </w:r>
          </w:p>
        </w:tc>
        <w:tc>
          <w:tcPr>
            <w:tcW w:type="dxa" w:w="1587"/>
            <w:tcBorders>
              <w:top w:val="single" w:sz="4" w:space="0" w:color="E4DED3"/>
              <w:left w:val="single" w:sz="4" w:space="0" w:color="E4DED3"/>
              <w:bottom w:val="single" w:sz="4" w:space="0" w:color="E4DED3"/>
              <w:right w:val="single" w:sz="4" w:space="0" w:color="E4DED3"/>
            </w:tcBorders>
          </w:tcPr>
          <w:p>
            <w:r>
              <w:rPr>
                <w:sz w:val="18"/>
              </w:rPr>
              <w:t>Terminated all instances in AZ-a</w:t>
            </w:r>
          </w:p>
        </w:tc>
        <w:tc>
          <w:tcPr>
            <w:tcW w:type="dxa" w:w="2381"/>
            <w:tcBorders>
              <w:top w:val="single" w:sz="4" w:space="0" w:color="E4DED3"/>
              <w:left w:val="single" w:sz="4" w:space="0" w:color="E4DED3"/>
              <w:bottom w:val="single" w:sz="4" w:space="0" w:color="E4DED3"/>
              <w:right w:val="single" w:sz="4" w:space="0" w:color="E4DED3"/>
            </w:tcBorders>
          </w:tcPr>
          <w:p>
            <w:r>
              <w:rPr>
                <w:sz w:val="18"/>
              </w:rPr>
              <w:t>ALB served from AZ-b throughout; ASG rebuilt capacity in the survivor</w:t>
            </w:r>
          </w:p>
        </w:tc>
        <w:tc>
          <w:tcPr>
            <w:tcW w:type="dxa" w:w="1134"/>
            <w:tcBorders>
              <w:top w:val="single" w:sz="4" w:space="0" w:color="E4DED3"/>
              <w:left w:val="single" w:sz="4" w:space="0" w:color="E4DED3"/>
              <w:bottom w:val="single" w:sz="4" w:space="0" w:color="E4DED3"/>
              <w:right w:val="single" w:sz="4" w:space="0" w:color="E4DED3"/>
            </w:tcBorders>
          </w:tcPr>
          <w:p>
            <w:r>
              <w:rPr>
                <w:sz w:val="18"/>
              </w:rPr>
              <w:t>Yes</w:t>
            </w:r>
          </w:p>
        </w:tc>
        <w:tc>
          <w:tcPr>
            <w:tcW w:type="dxa" w:w="680"/>
            <w:tcBorders>
              <w:top w:val="single" w:sz="4" w:space="0" w:color="E4DED3"/>
              <w:left w:val="single" w:sz="4" w:space="0" w:color="E4DED3"/>
              <w:bottom w:val="single" w:sz="4" w:space="0" w:color="E4DED3"/>
              <w:right w:val="single" w:sz="4" w:space="0" w:color="E4DED3"/>
            </w:tcBorders>
          </w:tcPr>
          <w:p>
            <w:r>
              <w:rPr>
                <w:sz w:val="18"/>
              </w:rPr>
              <w:t>C4</w:t>
            </w:r>
          </w:p>
        </w:tc>
      </w:tr>
    </w:tbl>
    <w:p/>
    <w:p>
      <w:pPr>
        <w:pStyle w:val="Heading3"/>
      </w:pPr>
      <w:r>
        <w:t>6.6 Resize simulation</w:t>
      </w:r>
    </w:p>
    <w:tbl>
      <w:tblPr>
        <w:tblW w:type="auto" w:w="0"/>
        <w:jc w:val="center"/>
        <w:tblLook w:firstColumn="1" w:firstRow="1" w:lastColumn="0" w:lastRow="0" w:noHBand="0" w:noVBand="1" w:val="04A0"/>
      </w:tblPr>
      <w:tblGrid>
        <w:gridCol w:w="1882"/>
        <w:gridCol w:w="1882"/>
        <w:gridCol w:w="1882"/>
        <w:gridCol w:w="1882"/>
        <w:gridCol w:w="1882"/>
      </w:tblGrid>
      <w:tr>
        <w:tc>
          <w:tcPr>
            <w:tcW w:type="dxa" w:w="45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t>
            </w:r>
          </w:p>
        </w:tc>
        <w:tc>
          <w:tcPr>
            <w:tcW w:type="dxa" w:w="181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Simulation</w:t>
            </w:r>
          </w:p>
        </w:tc>
        <w:tc>
          <w:tcPr>
            <w:tcW w:type="dxa" w:w="204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Method</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Observed outcome</w:t>
            </w:r>
          </w:p>
        </w:tc>
        <w:tc>
          <w:tcPr>
            <w:tcW w:type="dxa" w:w="181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Availability impact</w:t>
            </w:r>
          </w:p>
        </w:tc>
      </w:tr>
      <w:tr>
        <w:tc>
          <w:tcPr>
            <w:tcW w:type="dxa" w:w="454"/>
            <w:tcBorders>
              <w:top w:val="single" w:sz="4" w:space="0" w:color="E4DED3"/>
              <w:left w:val="single" w:sz="4" w:space="0" w:color="E4DED3"/>
              <w:bottom w:val="single" w:sz="4" w:space="0" w:color="E4DED3"/>
              <w:right w:val="single" w:sz="4" w:space="0" w:color="E4DED3"/>
            </w:tcBorders>
          </w:tcPr>
          <w:p>
            <w:r>
              <w:rPr>
                <w:b/>
                <w:sz w:val="18"/>
              </w:rPr>
              <w:t>R1</w:t>
            </w:r>
          </w:p>
        </w:tc>
        <w:tc>
          <w:tcPr>
            <w:tcW w:type="dxa" w:w="1814"/>
            <w:tcBorders>
              <w:top w:val="single" w:sz="4" w:space="0" w:color="E4DED3"/>
              <w:left w:val="single" w:sz="4" w:space="0" w:color="E4DED3"/>
              <w:bottom w:val="single" w:sz="4" w:space="0" w:color="E4DED3"/>
              <w:right w:val="single" w:sz="4" w:space="0" w:color="E4DED3"/>
            </w:tcBorders>
          </w:tcPr>
          <w:p>
            <w:r>
              <w:rPr>
                <w:sz w:val="18"/>
              </w:rPr>
              <w:t>ASG capacity increase</w:t>
            </w:r>
          </w:p>
        </w:tc>
        <w:tc>
          <w:tcPr>
            <w:tcW w:type="dxa" w:w="2041"/>
            <w:tcBorders>
              <w:top w:val="single" w:sz="4" w:space="0" w:color="E4DED3"/>
              <w:left w:val="single" w:sz="4" w:space="0" w:color="E4DED3"/>
              <w:bottom w:val="single" w:sz="4" w:space="0" w:color="E4DED3"/>
              <w:right w:val="single" w:sz="4" w:space="0" w:color="E4DED3"/>
            </w:tcBorders>
          </w:tcPr>
          <w:p>
            <w:r>
              <w:rPr>
                <w:sz w:val="18"/>
              </w:rPr>
              <w:t>Set desired = 4</w:t>
            </w:r>
          </w:p>
        </w:tc>
        <w:tc>
          <w:tcPr>
            <w:tcW w:type="dxa" w:w="2268"/>
            <w:tcBorders>
              <w:top w:val="single" w:sz="4" w:space="0" w:color="E4DED3"/>
              <w:left w:val="single" w:sz="4" w:space="0" w:color="E4DED3"/>
              <w:bottom w:val="single" w:sz="4" w:space="0" w:color="E4DED3"/>
              <w:right w:val="single" w:sz="4" w:space="0" w:color="E4DED3"/>
            </w:tcBorders>
          </w:tcPr>
          <w:p>
            <w:r>
              <w:rPr>
                <w:sz w:val="18"/>
              </w:rPr>
              <w:t>2 new instances healthy in ALB within ~5 min</w:t>
            </w:r>
          </w:p>
        </w:tc>
        <w:tc>
          <w:tcPr>
            <w:tcW w:type="dxa" w:w="1814"/>
            <w:tcBorders>
              <w:top w:val="single" w:sz="4" w:space="0" w:color="E4DED3"/>
              <w:left w:val="single" w:sz="4" w:space="0" w:color="E4DED3"/>
              <w:bottom w:val="single" w:sz="4" w:space="0" w:color="E4DED3"/>
              <w:right w:val="single" w:sz="4" w:space="0" w:color="E4DED3"/>
            </w:tcBorders>
          </w:tcPr>
          <w:p>
            <w:r>
              <w:rPr>
                <w:sz w:val="18"/>
              </w:rPr>
              <w:t>No downtime</w:t>
            </w:r>
          </w:p>
        </w:tc>
      </w:tr>
      <w:tr>
        <w:tc>
          <w:tcPr>
            <w:tcW w:type="dxa" w:w="454"/>
            <w:tcBorders>
              <w:top w:val="single" w:sz="4" w:space="0" w:color="E4DED3"/>
              <w:left w:val="single" w:sz="4" w:space="0" w:color="E4DED3"/>
              <w:bottom w:val="single" w:sz="4" w:space="0" w:color="E4DED3"/>
              <w:right w:val="single" w:sz="4" w:space="0" w:color="E4DED3"/>
            </w:tcBorders>
          </w:tcPr>
          <w:p>
            <w:r>
              <w:rPr>
                <w:b/>
                <w:sz w:val="18"/>
              </w:rPr>
              <w:t>R2</w:t>
            </w:r>
          </w:p>
        </w:tc>
        <w:tc>
          <w:tcPr>
            <w:tcW w:type="dxa" w:w="1814"/>
            <w:tcBorders>
              <w:top w:val="single" w:sz="4" w:space="0" w:color="E4DED3"/>
              <w:left w:val="single" w:sz="4" w:space="0" w:color="E4DED3"/>
              <w:bottom w:val="single" w:sz="4" w:space="0" w:color="E4DED3"/>
              <w:right w:val="single" w:sz="4" w:space="0" w:color="E4DED3"/>
            </w:tcBorders>
          </w:tcPr>
          <w:p>
            <w:r>
              <w:rPr>
                <w:sz w:val="18"/>
              </w:rPr>
              <w:t>RDS instance class change</w:t>
            </w:r>
          </w:p>
        </w:tc>
        <w:tc>
          <w:tcPr>
            <w:tcW w:type="dxa" w:w="2041"/>
            <w:tcBorders>
              <w:top w:val="single" w:sz="4" w:space="0" w:color="E4DED3"/>
              <w:left w:val="single" w:sz="4" w:space="0" w:color="E4DED3"/>
              <w:bottom w:val="single" w:sz="4" w:space="0" w:color="E4DED3"/>
              <w:right w:val="single" w:sz="4" w:space="0" w:color="E4DED3"/>
            </w:tcBorders>
          </w:tcPr>
          <w:p>
            <w:r>
              <w:rPr>
                <w:sz w:val="18"/>
              </w:rPr>
              <w:t>db.m6i.large → db.m6i.xlarge, apply immediately</w:t>
            </w:r>
          </w:p>
        </w:tc>
        <w:tc>
          <w:tcPr>
            <w:tcW w:type="dxa" w:w="2268"/>
            <w:tcBorders>
              <w:top w:val="single" w:sz="4" w:space="0" w:color="E4DED3"/>
              <w:left w:val="single" w:sz="4" w:space="0" w:color="E4DED3"/>
              <w:bottom w:val="single" w:sz="4" w:space="0" w:color="E4DED3"/>
              <w:right w:val="single" w:sz="4" w:space="0" w:color="E4DED3"/>
            </w:tcBorders>
          </w:tcPr>
          <w:p>
            <w:r>
              <w:rPr>
                <w:sz w:val="18"/>
              </w:rPr>
              <w:t>~45 s failover blip during apply</w:t>
            </w:r>
          </w:p>
        </w:tc>
        <w:tc>
          <w:tcPr>
            <w:tcW w:type="dxa" w:w="1814"/>
            <w:tcBorders>
              <w:top w:val="single" w:sz="4" w:space="0" w:color="E4DED3"/>
              <w:left w:val="single" w:sz="4" w:space="0" w:color="E4DED3"/>
              <w:bottom w:val="single" w:sz="4" w:space="0" w:color="E4DED3"/>
              <w:right w:val="single" w:sz="4" w:space="0" w:color="E4DED3"/>
            </w:tcBorders>
          </w:tcPr>
          <w:p>
            <w:r>
              <w:rPr>
                <w:sz w:val="18"/>
              </w:rPr>
              <w:t>≤ 1 min; reconnect on retry</w:t>
            </w:r>
          </w:p>
        </w:tc>
      </w:tr>
    </w:tbl>
    <w:p/>
    <w:p>
      <w:pPr>
        <w:pStyle w:val="Heading3"/>
      </w:pPr>
      <w:r>
        <w:t>6.7 Availability measurement</w:t>
      </w:r>
    </w:p>
    <w:p>
      <w:r>
        <w:rPr>
          <w:sz w:val="21"/>
        </w:rPr>
        <w:t>I measured availability two ways during the window: a CloudWatch service-level dashboard, and a curl loop against the ALB DNS name at a 1-second interval, counting failed responses. Across the ~3.5-hour window the measured availability was 99.96%, with the only dips during the RDS failover simulation (~75 s) and the RDS resize (~45 s).</w:t>
      </w:r>
    </w:p>
    <w:p>
      <w:pPr>
        <w:spacing w:after="120"/>
      </w:pPr>
      <w:r>
        <w:rPr>
          <w:b/>
          <w:color w:val="1F5A5C"/>
          <w:sz w:val="19"/>
        </w:rPr>
        <w:t xml:space="preserve">[TEST EVIDENCE] </w:t>
      </w:r>
      <w:r>
        <w:rPr>
          <w:i/>
          <w:color w:val="6B6660"/>
          <w:sz w:val="19"/>
        </w:rPr>
        <w:t>— should show the CloudWatch availability graph over the window and the curl-loop summary (failed/total requests) used to compute the dips.</w:t>
      </w:r>
    </w:p>
    <w:p>
      <w:pPr>
        <w:pStyle w:val="Heading3"/>
      </w:pPr>
      <w:r>
        <w:t>6.8 Simulation findings vs the design</w:t>
      </w:r>
    </w:p>
    <w:tbl>
      <w:tblPr>
        <w:tblW w:type="auto" w:w="0"/>
        <w:jc w:val="center"/>
        <w:tblLook w:firstColumn="1" w:firstRow="1" w:lastColumn="0" w:lastRow="0" w:noHBand="0" w:noVBand="1" w:val="04A0"/>
      </w:tblPr>
      <w:tblGrid>
        <w:gridCol w:w="2353"/>
        <w:gridCol w:w="2353"/>
        <w:gridCol w:w="2353"/>
        <w:gridCol w:w="2353"/>
      </w:tblGrid>
      <w:tr>
        <w:tc>
          <w:tcPr>
            <w:tcW w:type="dxa" w:w="198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Simulation</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Expected (HA Design)</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Actual</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Divergence?</w:t>
            </w:r>
          </w:p>
        </w:tc>
      </w:tr>
      <w:tr>
        <w:tc>
          <w:tcPr>
            <w:tcW w:type="dxa" w:w="1984"/>
            <w:tcBorders>
              <w:top w:val="single" w:sz="4" w:space="0" w:color="E4DED3"/>
              <w:left w:val="single" w:sz="4" w:space="0" w:color="E4DED3"/>
              <w:bottom w:val="single" w:sz="4" w:space="0" w:color="E4DED3"/>
              <w:right w:val="single" w:sz="4" w:space="0" w:color="E4DED3"/>
            </w:tcBorders>
          </w:tcPr>
          <w:p>
            <w:r>
              <w:rPr>
                <w:b/>
                <w:sz w:val="18"/>
              </w:rPr>
              <w:t>F1 EC2 termination</w:t>
            </w:r>
          </w:p>
        </w:tc>
        <w:tc>
          <w:tcPr>
            <w:tcW w:type="dxa" w:w="2268"/>
            <w:tcBorders>
              <w:top w:val="single" w:sz="4" w:space="0" w:color="E4DED3"/>
              <w:left w:val="single" w:sz="4" w:space="0" w:color="E4DED3"/>
              <w:bottom w:val="single" w:sz="4" w:space="0" w:color="E4DED3"/>
              <w:right w:val="single" w:sz="4" w:space="0" w:color="E4DED3"/>
            </w:tcBorders>
          </w:tcPr>
          <w:p>
            <w:r>
              <w:rPr>
                <w:sz w:val="18"/>
              </w:rPr>
              <w:t>Replacement, no outage</w:t>
            </w:r>
          </w:p>
        </w:tc>
        <w:tc>
          <w:tcPr>
            <w:tcW w:type="dxa" w:w="2268"/>
            <w:tcBorders>
              <w:top w:val="single" w:sz="4" w:space="0" w:color="E4DED3"/>
              <w:left w:val="single" w:sz="4" w:space="0" w:color="E4DED3"/>
              <w:bottom w:val="single" w:sz="4" w:space="0" w:color="E4DED3"/>
              <w:right w:val="single" w:sz="4" w:space="0" w:color="E4DED3"/>
            </w:tcBorders>
          </w:tcPr>
          <w:p>
            <w:r>
              <w:rPr>
                <w:sz w:val="18"/>
              </w:rPr>
              <w:t>As expected (~3 min to healthy)</w:t>
            </w:r>
          </w:p>
        </w:tc>
        <w:tc>
          <w:tcPr>
            <w:tcW w:type="dxa" w:w="2268"/>
            <w:tcBorders>
              <w:top w:val="single" w:sz="4" w:space="0" w:color="E4DED3"/>
              <w:left w:val="single" w:sz="4" w:space="0" w:color="E4DED3"/>
              <w:bottom w:val="single" w:sz="4" w:space="0" w:color="E4DED3"/>
              <w:right w:val="single" w:sz="4" w:space="0" w:color="E4DED3"/>
            </w:tcBorders>
          </w:tcPr>
          <w:p>
            <w:r>
              <w:rPr>
                <w:sz w:val="18"/>
              </w:rPr>
              <w:t>None</w:t>
            </w:r>
          </w:p>
        </w:tc>
      </w:tr>
      <w:tr>
        <w:tc>
          <w:tcPr>
            <w:tcW w:type="dxa" w:w="1984"/>
            <w:tcBorders>
              <w:top w:val="single" w:sz="4" w:space="0" w:color="E4DED3"/>
              <w:left w:val="single" w:sz="4" w:space="0" w:color="E4DED3"/>
              <w:bottom w:val="single" w:sz="4" w:space="0" w:color="E4DED3"/>
              <w:right w:val="single" w:sz="4" w:space="0" w:color="E4DED3"/>
            </w:tcBorders>
          </w:tcPr>
          <w:p>
            <w:r>
              <w:rPr>
                <w:b/>
                <w:sz w:val="18"/>
              </w:rPr>
              <w:t>F2 RDS failover</w:t>
            </w:r>
          </w:p>
        </w:tc>
        <w:tc>
          <w:tcPr>
            <w:tcW w:type="dxa" w:w="2268"/>
            <w:tcBorders>
              <w:top w:val="single" w:sz="4" w:space="0" w:color="E4DED3"/>
              <w:left w:val="single" w:sz="4" w:space="0" w:color="E4DED3"/>
              <w:bottom w:val="single" w:sz="4" w:space="0" w:color="E4DED3"/>
              <w:right w:val="single" w:sz="4" w:space="0" w:color="E4DED3"/>
            </w:tcBorders>
          </w:tcPr>
          <w:p>
            <w:r>
              <w:rPr>
                <w:sz w:val="18"/>
              </w:rPr>
              <w:t>≈ 60 s blip</w:t>
            </w:r>
          </w:p>
        </w:tc>
        <w:tc>
          <w:tcPr>
            <w:tcW w:type="dxa" w:w="2268"/>
            <w:tcBorders>
              <w:top w:val="single" w:sz="4" w:space="0" w:color="E4DED3"/>
              <w:left w:val="single" w:sz="4" w:space="0" w:color="E4DED3"/>
              <w:bottom w:val="single" w:sz="4" w:space="0" w:color="E4DED3"/>
              <w:right w:val="single" w:sz="4" w:space="0" w:color="E4DED3"/>
            </w:tcBorders>
          </w:tcPr>
          <w:p>
            <w:r>
              <w:rPr>
                <w:sz w:val="18"/>
              </w:rPr>
              <w:t>≈ 75 s blip</w:t>
            </w:r>
          </w:p>
        </w:tc>
        <w:tc>
          <w:tcPr>
            <w:tcW w:type="dxa" w:w="2268"/>
            <w:tcBorders>
              <w:top w:val="single" w:sz="4" w:space="0" w:color="E4DED3"/>
              <w:left w:val="single" w:sz="4" w:space="0" w:color="E4DED3"/>
              <w:bottom w:val="single" w:sz="4" w:space="0" w:color="E4DED3"/>
              <w:right w:val="single" w:sz="4" w:space="0" w:color="E4DED3"/>
            </w:tcBorders>
          </w:tcPr>
          <w:p>
            <w:r>
              <w:rPr>
                <w:sz w:val="18"/>
              </w:rPr>
              <w:t>Minor — within RTO; see §6.9</w:t>
            </w:r>
          </w:p>
        </w:tc>
      </w:tr>
      <w:tr>
        <w:tc>
          <w:tcPr>
            <w:tcW w:type="dxa" w:w="1984"/>
            <w:tcBorders>
              <w:top w:val="single" w:sz="4" w:space="0" w:color="E4DED3"/>
              <w:left w:val="single" w:sz="4" w:space="0" w:color="E4DED3"/>
              <w:bottom w:val="single" w:sz="4" w:space="0" w:color="E4DED3"/>
              <w:right w:val="single" w:sz="4" w:space="0" w:color="E4DED3"/>
            </w:tcBorders>
          </w:tcPr>
          <w:p>
            <w:r>
              <w:rPr>
                <w:b/>
                <w:sz w:val="18"/>
              </w:rPr>
              <w:t>F3 AZ impairment</w:t>
            </w:r>
          </w:p>
        </w:tc>
        <w:tc>
          <w:tcPr>
            <w:tcW w:type="dxa" w:w="2268"/>
            <w:tcBorders>
              <w:top w:val="single" w:sz="4" w:space="0" w:color="E4DED3"/>
              <w:left w:val="single" w:sz="4" w:space="0" w:color="E4DED3"/>
              <w:bottom w:val="single" w:sz="4" w:space="0" w:color="E4DED3"/>
              <w:right w:val="single" w:sz="4" w:space="0" w:color="E4DED3"/>
            </w:tcBorders>
          </w:tcPr>
          <w:p>
            <w:r>
              <w:rPr>
                <w:sz w:val="18"/>
              </w:rPr>
              <w:t>Survivor AZ serves</w:t>
            </w:r>
          </w:p>
        </w:tc>
        <w:tc>
          <w:tcPr>
            <w:tcW w:type="dxa" w:w="2268"/>
            <w:tcBorders>
              <w:top w:val="single" w:sz="4" w:space="0" w:color="E4DED3"/>
              <w:left w:val="single" w:sz="4" w:space="0" w:color="E4DED3"/>
              <w:bottom w:val="single" w:sz="4" w:space="0" w:color="E4DED3"/>
              <w:right w:val="single" w:sz="4" w:space="0" w:color="E4DED3"/>
            </w:tcBorders>
          </w:tcPr>
          <w:p>
            <w:r>
              <w:rPr>
                <w:sz w:val="18"/>
              </w:rPr>
              <w:t>As expected</w:t>
            </w:r>
          </w:p>
        </w:tc>
        <w:tc>
          <w:tcPr>
            <w:tcW w:type="dxa" w:w="2268"/>
            <w:tcBorders>
              <w:top w:val="single" w:sz="4" w:space="0" w:color="E4DED3"/>
              <w:left w:val="single" w:sz="4" w:space="0" w:color="E4DED3"/>
              <w:bottom w:val="single" w:sz="4" w:space="0" w:color="E4DED3"/>
              <w:right w:val="single" w:sz="4" w:space="0" w:color="E4DED3"/>
            </w:tcBorders>
          </w:tcPr>
          <w:p>
            <w:r>
              <w:rPr>
                <w:sz w:val="18"/>
              </w:rPr>
              <w:t>None</w:t>
            </w:r>
          </w:p>
        </w:tc>
      </w:tr>
    </w:tbl>
    <w:p/>
    <w:p>
      <w:pPr>
        <w:pStyle w:val="Heading3"/>
      </w:pPr>
      <w:r>
        <w:t>6.9 Adjustments made per simulation outcomes</w:t>
      </w:r>
    </w:p>
    <w:p>
      <w:r>
        <w:rPr>
          <w:sz w:val="21"/>
        </w:rPr>
        <w:t>The RDS failover ran ~15 s longer than the design predicted. Investigation (correlating the RDS event log against the application connection-retry log) showed the extra time was app-side retry backoff, not the database. I shortened the connection-retry interval and added the RDS-failover-detection alarm so the next failover is observed immediately. No architectural change was required; the result remained within the RTO ≤ 4 h target.</w:t>
      </w:r>
    </w:p>
    <w:p>
      <w:pPr>
        <w:pStyle w:val="Heading1"/>
      </w:pPr>
      <w:r>
        <w:t>7. Operational Handover</w:t>
      </w:r>
    </w:p>
    <w:p>
      <w:pPr>
        <w:spacing w:after="120"/>
      </w:pPr>
      <w:r>
        <w:rPr>
          <w:i/>
          <w:color w:val="1F5A5C"/>
          <w:sz w:val="17"/>
        </w:rPr>
        <w:t>Evidences: [ICTCLD401 PC 4.3] · [ICTCLD502 PC 5.2, 5.3]</w:t>
      </w:r>
    </w:p>
    <w:p>
      <w:pPr>
        <w:pStyle w:val="Heading3"/>
      </w:pPr>
      <w:r>
        <w:t>7.1 Access</w:t>
      </w:r>
    </w:p>
    <w:p>
      <w:r>
        <w:rPr>
          <w:sz w:val="21"/>
        </w:rPr>
        <w:t>Unchanged from the AT2 handover: YAT-ICT-Admins full administration, MTS-Consultants within the permission boundary, MFA enforced, instance access via SSM Session Manager.</w:t>
      </w:r>
    </w:p>
    <w:p>
      <w:pPr>
        <w:pStyle w:val="Heading3"/>
      </w:pPr>
      <w:r>
        <w:t>7.2 Runbook references</w:t>
      </w:r>
    </w:p>
    <w:p>
      <w:pPr>
        <w:pStyle w:val="ListBullet"/>
      </w:pPr>
      <w:r>
        <w:rPr>
          <w:sz w:val="21"/>
        </w:rPr>
        <w:t>The HA Design document (Part A) — the operational reference for the resilient architecture.</w:t>
      </w:r>
    </w:p>
    <w:p>
      <w:pPr>
        <w:pStyle w:val="ListBullet"/>
      </w:pPr>
      <w:r>
        <w:rPr>
          <w:sz w:val="21"/>
        </w:rPr>
        <w:t>The HA-tuned monitoring and alarms (§4.8) and the SNS notification destinations.</w:t>
      </w:r>
    </w:p>
    <w:p>
      <w:pPr>
        <w:pStyle w:val="ListBullet"/>
      </w:pPr>
      <w:r>
        <w:rPr>
          <w:sz w:val="21"/>
        </w:rPr>
        <w:t>The simulation outcomes (§6) — the expected behaviour for future HA testing.</w:t>
      </w:r>
    </w:p>
    <w:p>
      <w:pPr>
        <w:pStyle w:val="ListBullet"/>
      </w:pPr>
      <w:r>
        <w:rPr>
          <w:sz w:val="21"/>
        </w:rPr>
        <w:t>The cross-Region backup schedule and the restore procedure (ap-southeast-4, substituted to us-east-1 in the lab).</w:t>
      </w:r>
    </w:p>
    <w:p>
      <w:pPr>
        <w:pStyle w:val="Heading3"/>
      </w:pPr>
      <w:r>
        <w:t>7.3 Known limitations and what's next</w:t>
      </w:r>
    </w:p>
    <w:p>
      <w:pPr>
        <w:pStyle w:val="ListBullet"/>
      </w:pPr>
      <w:r>
        <w:rPr>
          <w:sz w:val="21"/>
        </w:rPr>
        <w:t>Cross-Region active-active / hot-standby DR — not in scope; a future engagement.</w:t>
      </w:r>
    </w:p>
    <w:p>
      <w:pPr>
        <w:pStyle w:val="ListBullet"/>
      </w:pPr>
      <w:r>
        <w:rPr>
          <w:sz w:val="21"/>
        </w:rPr>
        <w:t>Application-layer HA (DOODLE clustering, session affinity) — YAT IT scope.</w:t>
      </w:r>
    </w:p>
    <w:p>
      <w:pPr>
        <w:pStyle w:val="ListBullet"/>
      </w:pPr>
      <w:r>
        <w:rPr>
          <w:sz w:val="21"/>
        </w:rPr>
        <w:t>Cost impact: Multi-AZ roughly doubles the database cost line — documented for YAT planning.</w:t>
      </w:r>
    </w:p>
    <w:p>
      <w:pPr>
        <w:pStyle w:val="Heading3"/>
      </w:pPr>
      <w:r>
        <w:t>7.4 Documentation filing</w:t>
      </w:r>
    </w:p>
    <w:tbl>
      <w:tblPr>
        <w:tblW w:type="auto" w:w="0"/>
        <w:jc w:val="center"/>
        <w:tblLook w:firstColumn="1" w:firstRow="1" w:lastColumn="0" w:lastRow="0" w:noHBand="0" w:noVBand="1" w:val="04A0"/>
      </w:tblPr>
      <w:tblGrid>
        <w:gridCol w:w="3137"/>
        <w:gridCol w:w="3137"/>
        <w:gridCol w:w="3137"/>
      </w:tblGrid>
      <w:tr>
        <w:tc>
          <w:tcPr>
            <w:tcW w:type="dxa" w:w="368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Item</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Filed in</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Reference</w:t>
            </w:r>
          </w:p>
        </w:tc>
      </w:tr>
      <w:tr>
        <w:tc>
          <w:tcPr>
            <w:tcW w:type="dxa" w:w="3685"/>
            <w:tcBorders>
              <w:top w:val="single" w:sz="4" w:space="0" w:color="E4DED3"/>
              <w:left w:val="single" w:sz="4" w:space="0" w:color="E4DED3"/>
              <w:bottom w:val="single" w:sz="4" w:space="0" w:color="E4DED3"/>
              <w:right w:val="single" w:sz="4" w:space="0" w:color="E4DED3"/>
            </w:tcBorders>
          </w:tcPr>
          <w:p>
            <w:r>
              <w:rPr>
                <w:b/>
                <w:sz w:val="18"/>
              </w:rPr>
              <w:t>HA Design (Part A)</w:t>
            </w:r>
          </w:p>
        </w:tc>
        <w:tc>
          <w:tcPr>
            <w:tcW w:type="dxa" w:w="2835"/>
            <w:tcBorders>
              <w:top w:val="single" w:sz="4" w:space="0" w:color="E4DED3"/>
              <w:left w:val="single" w:sz="4" w:space="0" w:color="E4DED3"/>
              <w:bottom w:val="single" w:sz="4" w:space="0" w:color="E4DED3"/>
              <w:right w:val="single" w:sz="4" w:space="0" w:color="E4DED3"/>
            </w:tcBorders>
          </w:tcPr>
          <w:p>
            <w:r>
              <w:rPr>
                <w:sz w:val="18"/>
              </w:rPr>
              <w:t>YAT ICT shared documentation</w:t>
            </w:r>
          </w:p>
        </w:tc>
        <w:tc>
          <w:tcPr>
            <w:tcW w:type="dxa" w:w="2268"/>
            <w:tcBorders>
              <w:top w:val="single" w:sz="4" w:space="0" w:color="E4DED3"/>
              <w:left w:val="single" w:sz="4" w:space="0" w:color="E4DED3"/>
              <w:bottom w:val="single" w:sz="4" w:space="0" w:color="E4DED3"/>
              <w:right w:val="single" w:sz="4" w:space="0" w:color="E4DED3"/>
            </w:tcBorders>
          </w:tcPr>
          <w:p>
            <w:r>
              <w:rPr>
                <w:sz w:val="18"/>
              </w:rPr>
              <w:t>[ref]</w:t>
            </w:r>
          </w:p>
        </w:tc>
      </w:tr>
      <w:tr>
        <w:tc>
          <w:tcPr>
            <w:tcW w:type="dxa" w:w="3685"/>
            <w:tcBorders>
              <w:top w:val="single" w:sz="4" w:space="0" w:color="E4DED3"/>
              <w:left w:val="single" w:sz="4" w:space="0" w:color="E4DED3"/>
              <w:bottom w:val="single" w:sz="4" w:space="0" w:color="E4DED3"/>
              <w:right w:val="single" w:sz="4" w:space="0" w:color="E4DED3"/>
            </w:tcBorders>
          </w:tcPr>
          <w:p>
            <w:r>
              <w:rPr>
                <w:b/>
                <w:sz w:val="18"/>
              </w:rPr>
              <w:t>This HA Deployment Report (v1.0)</w:t>
            </w:r>
          </w:p>
        </w:tc>
        <w:tc>
          <w:tcPr>
            <w:tcW w:type="dxa" w:w="2835"/>
            <w:tcBorders>
              <w:top w:val="single" w:sz="4" w:space="0" w:color="E4DED3"/>
              <w:left w:val="single" w:sz="4" w:space="0" w:color="E4DED3"/>
              <w:bottom w:val="single" w:sz="4" w:space="0" w:color="E4DED3"/>
              <w:right w:val="single" w:sz="4" w:space="0" w:color="E4DED3"/>
            </w:tcBorders>
          </w:tcPr>
          <w:p>
            <w:r>
              <w:rPr>
                <w:sz w:val="18"/>
              </w:rPr>
              <w:t>YAT ICT shared documentation</w:t>
            </w:r>
          </w:p>
        </w:tc>
        <w:tc>
          <w:tcPr>
            <w:tcW w:type="dxa" w:w="2268"/>
            <w:tcBorders>
              <w:top w:val="single" w:sz="4" w:space="0" w:color="E4DED3"/>
              <w:left w:val="single" w:sz="4" w:space="0" w:color="E4DED3"/>
              <w:bottom w:val="single" w:sz="4" w:space="0" w:color="E4DED3"/>
              <w:right w:val="single" w:sz="4" w:space="0" w:color="E4DED3"/>
            </w:tcBorders>
          </w:tcPr>
          <w:p>
            <w:r>
              <w:rPr>
                <w:sz w:val="18"/>
              </w:rPr>
              <w:t>[ref]</w:t>
            </w:r>
          </w:p>
        </w:tc>
      </w:tr>
      <w:tr>
        <w:tc>
          <w:tcPr>
            <w:tcW w:type="dxa" w:w="3685"/>
            <w:tcBorders>
              <w:top w:val="single" w:sz="4" w:space="0" w:color="E4DED3"/>
              <w:left w:val="single" w:sz="4" w:space="0" w:color="E4DED3"/>
              <w:bottom w:val="single" w:sz="4" w:space="0" w:color="E4DED3"/>
              <w:right w:val="single" w:sz="4" w:space="0" w:color="E4DED3"/>
            </w:tcBorders>
          </w:tcPr>
          <w:p>
            <w:r>
              <w:rPr>
                <w:b/>
                <w:sz w:val="18"/>
              </w:rPr>
              <w:t>Simulation evidence (Appendix C)</w:t>
            </w:r>
          </w:p>
        </w:tc>
        <w:tc>
          <w:tcPr>
            <w:tcW w:type="dxa" w:w="2835"/>
            <w:tcBorders>
              <w:top w:val="single" w:sz="4" w:space="0" w:color="E4DED3"/>
              <w:left w:val="single" w:sz="4" w:space="0" w:color="E4DED3"/>
              <w:bottom w:val="single" w:sz="4" w:space="0" w:color="E4DED3"/>
              <w:right w:val="single" w:sz="4" w:space="0" w:color="E4DED3"/>
            </w:tcBorders>
          </w:tcPr>
          <w:p>
            <w:r>
              <w:rPr>
                <w:sz w:val="18"/>
              </w:rPr>
              <w:t>YAT ICT shared documentation</w:t>
            </w:r>
          </w:p>
        </w:tc>
        <w:tc>
          <w:tcPr>
            <w:tcW w:type="dxa" w:w="2268"/>
            <w:tcBorders>
              <w:top w:val="single" w:sz="4" w:space="0" w:color="E4DED3"/>
              <w:left w:val="single" w:sz="4" w:space="0" w:color="E4DED3"/>
              <w:bottom w:val="single" w:sz="4" w:space="0" w:color="E4DED3"/>
              <w:right w:val="single" w:sz="4" w:space="0" w:color="E4DED3"/>
            </w:tcBorders>
          </w:tcPr>
          <w:p>
            <w:r>
              <w:rPr>
                <w:sz w:val="18"/>
              </w:rPr>
              <w:t>[ref]</w:t>
            </w:r>
          </w:p>
        </w:tc>
      </w:tr>
    </w:tbl>
    <w:p/>
    <w:p>
      <w:pPr>
        <w:pStyle w:val="Heading3"/>
      </w:pPr>
      <w:r>
        <w:t>7.5 Feedback record</w:t>
      </w:r>
    </w:p>
    <w:tbl>
      <w:tblPr>
        <w:tblW w:type="auto" w:w="0"/>
        <w:jc w:val="center"/>
        <w:tblLook w:firstColumn="1" w:firstRow="1" w:lastColumn="0" w:lastRow="0" w:noHBand="0" w:noVBand="1" w:val="04A0"/>
      </w:tblPr>
      <w:tblGrid>
        <w:gridCol w:w="2353"/>
        <w:gridCol w:w="2353"/>
        <w:gridCol w:w="2353"/>
        <w:gridCol w:w="2353"/>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Feedback received</w:t>
            </w:r>
          </w:p>
        </w:tc>
        <w:tc>
          <w:tcPr>
            <w:tcW w:type="dxa" w:w="181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From</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Response</w:t>
            </w:r>
          </w:p>
        </w:tc>
        <w:tc>
          <w:tcPr>
            <w:tcW w:type="dxa" w:w="215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Resulting action</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Cost impact of Multi-AZ doubling the DB line wasn't called out in the design</w:t>
            </w:r>
          </w:p>
        </w:tc>
        <w:tc>
          <w:tcPr>
            <w:tcW w:type="dxa" w:w="1814"/>
            <w:tcBorders>
              <w:top w:val="single" w:sz="4" w:space="0" w:color="E4DED3"/>
              <w:left w:val="single" w:sz="4" w:space="0" w:color="E4DED3"/>
              <w:bottom w:val="single" w:sz="4" w:space="0" w:color="E4DED3"/>
              <w:right w:val="single" w:sz="4" w:space="0" w:color="E4DED3"/>
            </w:tcBorders>
          </w:tcPr>
          <w:p>
            <w:r>
              <w:rPr>
                <w:sz w:val="18"/>
              </w:rPr>
              <w:t>Sam Walker (YAT ICT Manager)</w:t>
            </w:r>
          </w:p>
        </w:tc>
        <w:tc>
          <w:tcPr>
            <w:tcW w:type="dxa" w:w="2268"/>
            <w:tcBorders>
              <w:top w:val="single" w:sz="4" w:space="0" w:color="E4DED3"/>
              <w:left w:val="single" w:sz="4" w:space="0" w:color="E4DED3"/>
              <w:bottom w:val="single" w:sz="4" w:space="0" w:color="E4DED3"/>
              <w:right w:val="single" w:sz="4" w:space="0" w:color="E4DED3"/>
            </w:tcBorders>
          </w:tcPr>
          <w:p>
            <w:r>
              <w:rPr>
                <w:sz w:val="18"/>
              </w:rPr>
              <w:t>Acknowledged; documented the cost impact in §4.5 and §7.3</w:t>
            </w:r>
          </w:p>
        </w:tc>
        <w:tc>
          <w:tcPr>
            <w:tcW w:type="dxa" w:w="2154"/>
            <w:tcBorders>
              <w:top w:val="single" w:sz="4" w:space="0" w:color="E4DED3"/>
              <w:left w:val="single" w:sz="4" w:space="0" w:color="E4DED3"/>
              <w:bottom w:val="single" w:sz="4" w:space="0" w:color="E4DED3"/>
              <w:right w:val="single" w:sz="4" w:space="0" w:color="E4DED3"/>
            </w:tcBorders>
          </w:tcPr>
          <w:p>
            <w:r>
              <w:rPr>
                <w:sz w:val="18"/>
              </w:rPr>
              <w:t>HA Design re-issued v1.1 with the cost note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Confirm the cross-Region copy keeps data onshore</w:t>
            </w:r>
          </w:p>
        </w:tc>
        <w:tc>
          <w:tcPr>
            <w:tcW w:type="dxa" w:w="1814"/>
            <w:tcBorders>
              <w:top w:val="single" w:sz="4" w:space="0" w:color="E4DED3"/>
              <w:left w:val="single" w:sz="4" w:space="0" w:color="E4DED3"/>
              <w:bottom w:val="single" w:sz="4" w:space="0" w:color="E4DED3"/>
              <w:right w:val="single" w:sz="4" w:space="0" w:color="E4DED3"/>
            </w:tcBorders>
          </w:tcPr>
          <w:p>
            <w:r>
              <w:rPr>
                <w:sz w:val="18"/>
              </w:rPr>
              <w:t>Sam Walker</w:t>
            </w:r>
          </w:p>
        </w:tc>
        <w:tc>
          <w:tcPr>
            <w:tcW w:type="dxa" w:w="2268"/>
            <w:tcBorders>
              <w:top w:val="single" w:sz="4" w:space="0" w:color="E4DED3"/>
              <w:left w:val="single" w:sz="4" w:space="0" w:color="E4DED3"/>
              <w:bottom w:val="single" w:sz="4" w:space="0" w:color="E4DED3"/>
              <w:right w:val="single" w:sz="4" w:space="0" w:color="E4DED3"/>
            </w:tcBorders>
          </w:tcPr>
          <w:p>
            <w:r>
              <w:rPr>
                <w:sz w:val="18"/>
              </w:rPr>
              <w:t>Confirmed ap-southeast-4 (Melbourne) is an Australian region</w:t>
            </w:r>
          </w:p>
        </w:tc>
        <w:tc>
          <w:tcPr>
            <w:tcW w:type="dxa" w:w="2154"/>
            <w:tcBorders>
              <w:top w:val="single" w:sz="4" w:space="0" w:color="E4DED3"/>
              <w:left w:val="single" w:sz="4" w:space="0" w:color="E4DED3"/>
              <w:bottom w:val="single" w:sz="4" w:space="0" w:color="E4DED3"/>
              <w:right w:val="single" w:sz="4" w:space="0" w:color="E4DED3"/>
            </w:tcBorders>
          </w:tcPr>
          <w:p>
            <w:r>
              <w:rPr>
                <w:sz w:val="18"/>
              </w:rPr>
              <w:t>Noted in §4.6</w:t>
            </w:r>
          </w:p>
        </w:tc>
      </w:tr>
    </w:tbl>
    <w:p/>
    <w:p>
      <w:pPr>
        <w:pStyle w:val="Heading3"/>
      </w:pPr>
      <w:r>
        <w:t>7.6 Sign-off</w:t>
      </w:r>
    </w:p>
    <w:tbl>
      <w:tblPr>
        <w:tblW w:type="auto" w:w="0"/>
        <w:jc w:val="center"/>
        <w:tblLook w:firstColumn="1" w:firstRow="1" w:lastColumn="0" w:lastRow="0" w:noHBand="0" w:noVBand="1" w:val="04A0"/>
      </w:tblPr>
      <w:tblGrid>
        <w:gridCol w:w="2353"/>
        <w:gridCol w:w="2353"/>
        <w:gridCol w:w="2353"/>
        <w:gridCol w:w="2353"/>
      </w:tblGrid>
      <w:tr>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Role</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Name</w:t>
            </w:r>
          </w:p>
        </w:tc>
        <w:tc>
          <w:tcPr>
            <w:tcW w:type="dxa" w:w="141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Date</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Acceptance</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Prepared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MTS Consultant</w:t>
            </w:r>
          </w:p>
        </w:tc>
        <w:tc>
          <w:tcPr>
            <w:tcW w:type="dxa" w:w="1417"/>
            <w:tcBorders>
              <w:top w:val="single" w:sz="4" w:space="0" w:color="E4DED3"/>
              <w:left w:val="single" w:sz="4" w:space="0" w:color="E4DED3"/>
              <w:bottom w:val="single" w:sz="4" w:space="0" w:color="E4DED3"/>
              <w:right w:val="single" w:sz="4" w:space="0" w:color="E4DED3"/>
            </w:tcBorders>
          </w:tcPr>
          <w:p>
            <w:r>
              <w:rPr>
                <w:sz w:val="18"/>
              </w:rPr>
              <w:t>[date]</w:t>
            </w:r>
          </w:p>
        </w:tc>
        <w:tc>
          <w:tcPr>
            <w:tcW w:type="dxa" w:w="2268"/>
            <w:tcBorders>
              <w:top w:val="single" w:sz="4" w:space="0" w:color="E4DED3"/>
              <w:left w:val="single" w:sz="4" w:space="0" w:color="E4DED3"/>
              <w:bottom w:val="single" w:sz="4" w:space="0" w:color="E4DED3"/>
              <w:right w:val="single" w:sz="4" w:space="0" w:color="E4DED3"/>
            </w:tcBorders>
          </w:tcPr>
          <w:p>
            <w:r>
              <w:rPr>
                <w:sz w:val="18"/>
              </w:rPr>
              <w:t>Submitted</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Reviewed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Pat Lin (MTS Senior Consultant)</w:t>
            </w:r>
          </w:p>
        </w:tc>
        <w:tc>
          <w:tcPr>
            <w:tcW w:type="dxa" w:w="1417"/>
            <w:tcBorders>
              <w:top w:val="single" w:sz="4" w:space="0" w:color="E4DED3"/>
              <w:left w:val="single" w:sz="4" w:space="0" w:color="E4DED3"/>
              <w:bottom w:val="single" w:sz="4" w:space="0" w:color="E4DED3"/>
              <w:right w:val="single" w:sz="4" w:space="0" w:color="E4DED3"/>
            </w:tcBorders>
          </w:tcPr>
          <w:p>
            <w:r>
              <w:rPr>
                <w:sz w:val="18"/>
              </w:rPr>
              <w:t>[date]</w:t>
            </w:r>
          </w:p>
        </w:tc>
        <w:tc>
          <w:tcPr>
            <w:tcW w:type="dxa" w:w="2268"/>
            <w:tcBorders>
              <w:top w:val="single" w:sz="4" w:space="0" w:color="E4DED3"/>
              <w:left w:val="single" w:sz="4" w:space="0" w:color="E4DED3"/>
              <w:bottom w:val="single" w:sz="4" w:space="0" w:color="E4DED3"/>
              <w:right w:val="single" w:sz="4" w:space="0" w:color="E4DED3"/>
            </w:tcBorders>
          </w:tcPr>
          <w:p>
            <w:r>
              <w:rPr>
                <w:sz w:val="18"/>
              </w:rPr>
              <w:t>Approved for submission</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Approved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Sam Walker (YAT ICT Manager)</w:t>
            </w:r>
          </w:p>
        </w:tc>
        <w:tc>
          <w:tcPr>
            <w:tcW w:type="dxa" w:w="1417"/>
            <w:tcBorders>
              <w:top w:val="single" w:sz="4" w:space="0" w:color="E4DED3"/>
              <w:left w:val="single" w:sz="4" w:space="0" w:color="E4DED3"/>
              <w:bottom w:val="single" w:sz="4" w:space="0" w:color="E4DED3"/>
              <w:right w:val="single" w:sz="4" w:space="0" w:color="E4DED3"/>
            </w:tcBorders>
          </w:tcPr>
          <w:p>
            <w:r>
              <w:rPr>
                <w:sz w:val="18"/>
              </w:rPr>
              <w:t>[date]</w:t>
            </w:r>
          </w:p>
        </w:tc>
        <w:tc>
          <w:tcPr>
            <w:tcW w:type="dxa" w:w="2268"/>
            <w:tcBorders>
              <w:top w:val="single" w:sz="4" w:space="0" w:color="E4DED3"/>
              <w:left w:val="single" w:sz="4" w:space="0" w:color="E4DED3"/>
              <w:bottom w:val="single" w:sz="4" w:space="0" w:color="E4DED3"/>
              <w:right w:val="single" w:sz="4" w:space="0" w:color="E4DED3"/>
            </w:tcBorders>
          </w:tcPr>
          <w:p>
            <w:r>
              <w:rPr>
                <w:sz w:val="18"/>
              </w:rPr>
              <w:t>HA hardening accepted — Multi-AZ DB, cross-AZ compute, HA monitoring confirmed operational</w:t>
            </w:r>
          </w:p>
        </w:tc>
      </w:tr>
    </w:tbl>
    <w:p/>
    <w:p>
      <w:pPr>
        <w:pStyle w:val="Heading1"/>
      </w:pPr>
      <w:r>
        <w:t>8. Knowledge Evidence Responses</w:t>
      </w:r>
    </w:p>
    <w:p>
      <w:pPr>
        <w:spacing w:after="120"/>
      </w:pPr>
      <w:r>
        <w:rPr>
          <w:i/>
          <w:color w:val="1F5A5C"/>
          <w:sz w:val="17"/>
        </w:rPr>
        <w:t>Evidences: [ICTCLD502 KE 4, 5, 6, 7, 8, 9]</w:t>
      </w:r>
    </w:p>
    <w:p>
      <w:pPr>
        <w:pStyle w:val="Heading3"/>
      </w:pPr>
      <w:r>
        <w:t>Q1 — HA concepts in your design</w:t>
      </w:r>
    </w:p>
    <w:p>
      <w:r>
        <w:rPr>
          <w:sz w:val="21"/>
        </w:rPr>
        <w:t>Single point of failure: the AT2 baseline's single RDS instance and single AZ were SPOFs; the hardening removed both via Multi-AZ (§4.5) and cross-AZ compute (§4.3). Fault tolerance: the ASG across two AZs (§4.3) tolerates an instance or AZ loss with no service outage, as F1/F3 demonstrated. RTO/RPO: the targets (≤ 4 h / ≤ 1 h) drove the Multi-AZ choice — its ~75 s failover and the automated + cross-Region backups sit comfortably inside both, which is why Multi-AZ (not just nightly snapshots) was the right call.</w:t>
      </w:r>
    </w:p>
    <w:p>
      <w:pPr>
        <w:pStyle w:val="Heading3"/>
      </w:pPr>
      <w:r>
        <w:t>Q2 — Testing and debugging techniques</w:t>
      </w:r>
    </w:p>
    <w:p>
      <w:r>
        <w:rPr>
          <w:sz w:val="21"/>
        </w:rPr>
        <w:t>To avoid causing a single point of failure during testing, before terminating all instances in AZ-a (F3) I confirmed AZ-b had a healthy instance in the ALB, so traffic kept flowing while I tested the AZ loss. For debugging: when the F2 failover ran longer than expected, I isolated the cause by lining up the RDS event-log failover timestamp, the application connection-retry log, and the curl-loop failure window — which showed the extra time was app-side retry backoff, not a slow database failover.</w:t>
      </w:r>
    </w:p>
    <w:p>
      <w:pPr>
        <w:pStyle w:val="Heading3"/>
      </w:pPr>
      <w:r>
        <w:t>Q3 — Tools and techniques to measure availability impact</w:t>
      </w:r>
    </w:p>
    <w:p>
      <w:r>
        <w:rPr>
          <w:sz w:val="21"/>
        </w:rPr>
        <w:t>I used CloudWatch metrics and alarms, the ALB and RDS event logs, and a curl loop against the ALB DNS name at a 1-second interval. For the RDS failover sim I computed the impact as (failed responses × 1 s) ≈ the outage window (~75 s). The limitation is that 1-second sampling can't see sub-second dips and the synthetic probe doesn't capture real per-user session impact.</w:t>
      </w:r>
    </w:p>
    <w:p>
      <w:pPr>
        <w:pStyle w:val="Heading3"/>
      </w:pPr>
      <w:r>
        <w:t>Q4 — Built-in vs designed fault tolerance</w:t>
      </w:r>
    </w:p>
    <w:p>
      <w:r>
        <w:rPr>
          <w:sz w:val="21"/>
        </w:rPr>
        <w:t>S3: fault tolerance is built in by AWS — objects are stored redundantly across AZs with no action from me. RDS: a single instance has limited built-in fault tolerance (AWS handles host/hardware, but the instance is a SPOF); Multi-AZ is fault tolerance I designed in by enabling it. ALB: the load balancer is itself a built-in multi-AZ AWS service, but routing across healthy targets in two AZs was a design choice I made by registering cross-AZ targets.</w:t>
      </w:r>
    </w:p>
    <w:p>
      <w:pPr>
        <w:pStyle w:val="Heading3"/>
      </w:pPr>
      <w:r>
        <w:t>Q5 — Load balancing and autoscaling for availability</w:t>
      </w:r>
    </w:p>
    <w:p>
      <w:r>
        <w:rPr>
          <w:sz w:val="21"/>
        </w:rPr>
        <w:t>The combination delivers more than either alone: the ALB stops routing to an unhealthy target immediately, while the ASG replaces it and keeps minimum capacity — so a failed instance is both routed around and rebuilt, and an AZ loss is survived because the ASG holds capacity in the surviving AZ. Load balancing alone wouldn't replace the instance; autoscaling alone wouldn't distribute traffic or health-check it. In F1, ALB de-registered the terminated instance instantly and the ASG launched a replacement — users saw no outage.</w:t>
      </w:r>
    </w:p>
    <w:p>
      <w:pPr>
        <w:pStyle w:val="Heading3"/>
      </w:pPr>
      <w:r>
        <w:t>Q6 — Performance monitoring techniques and metrics</w:t>
      </w:r>
    </w:p>
    <w:p>
      <w:r>
        <w:rPr>
          <w:sz w:val="21"/>
        </w:rPr>
        <w:t>I set up a per-AZ healthy-host-count alarm that didn't exist in the AT2 baseline. It measures the number of healthy ALB targets in each AZ; the threshold is fewer than one healthy host in any AZ for one minute. It detects an AZ losing all of its capacity — a resilience degradation that the overall service-up metric would miss while the other AZ is still serving.</w:t>
      </w:r>
    </w:p>
    <w:p>
      <w:pPr>
        <w:sectPr>
          <w:headerReference w:type="default" r:id="rId13"/>
          <w:footerReference w:type="default" r:id="rId14"/>
          <w:pgSz w:w="11906" w:h="16838"/>
          <w:pgMar w:top="1474" w:right="1247" w:bottom="1247" w:left="1247" w:header="567" w:footer="567" w:gutter="0"/>
          <w:cols w:space="720"/>
          <w:docGrid w:linePitch="360"/>
        </w:sectPr>
      </w:pPr>
    </w:p>
    <w:p>
      <w:pPr>
        <w:pStyle w:val="Heading1"/>
      </w:pPr>
      <w:r>
        <w:t>Appendix A — Build evidence (screenshots)</w:t>
      </w:r>
    </w:p>
    <w:p>
      <w:r>
        <w:rPr>
          <w:sz w:val="21"/>
        </w:rPr>
        <w:t>Evidence captures are described below in lieu of live screenshots for this exemplar.</w:t>
      </w:r>
    </w:p>
    <w:p>
      <w:pPr>
        <w:spacing w:after="120"/>
      </w:pPr>
      <w:r>
        <w:rPr>
          <w:b/>
          <w:color w:val="1F5A5C"/>
          <w:sz w:val="19"/>
        </w:rPr>
        <w:t xml:space="preserve">[SCREENSHOT A1] </w:t>
      </w:r>
      <w:r>
        <w:rPr>
          <w:i/>
          <w:color w:val="6B6660"/>
          <w:sz w:val="19"/>
        </w:rPr>
        <w:t>— VPC subnets — all six across us-east-1a and 1b with CIDRs/AZ; second NAT Gateway.</w:t>
      </w:r>
    </w:p>
    <w:p>
      <w:pPr>
        <w:spacing w:after="120"/>
      </w:pPr>
      <w:r>
        <w:rPr>
          <w:b/>
          <w:color w:val="1F5A5C"/>
          <w:sz w:val="19"/>
        </w:rPr>
        <w:t xml:space="preserve">[SCREENSHOT A2] </w:t>
      </w:r>
      <w:r>
        <w:rPr>
          <w:i/>
          <w:color w:val="6B6660"/>
          <w:sz w:val="19"/>
        </w:rPr>
        <w:t>— ASG spanning both AZs, min/desired/max ≥ 2, instances healthy in each AZ.</w:t>
      </w:r>
    </w:p>
    <w:p>
      <w:pPr>
        <w:spacing w:after="120"/>
      </w:pPr>
      <w:r>
        <w:rPr>
          <w:b/>
          <w:color w:val="1F5A5C"/>
          <w:sz w:val="19"/>
        </w:rPr>
        <w:t xml:space="preserve">[SCREENSHOT A3] </w:t>
      </w:r>
      <w:r>
        <w:rPr>
          <w:i/>
          <w:color w:val="6B6660"/>
          <w:sz w:val="19"/>
        </w:rPr>
        <w:t>— ALB target group — healthy targets in both AZs.</w:t>
      </w:r>
    </w:p>
    <w:p>
      <w:pPr>
        <w:spacing w:after="120"/>
      </w:pPr>
      <w:r>
        <w:rPr>
          <w:b/>
          <w:color w:val="1F5A5C"/>
          <w:sz w:val="19"/>
        </w:rPr>
        <w:t xml:space="preserve">[SCREENSHOT A4] </w:t>
      </w:r>
      <w:r>
        <w:rPr>
          <w:i/>
          <w:color w:val="6B6660"/>
          <w:sz w:val="19"/>
        </w:rPr>
        <w:t>— RDS — Multi-AZ = Yes, standby AZ; RDS event log Multi-AZ conversion.</w:t>
      </w:r>
    </w:p>
    <w:p>
      <w:pPr>
        <w:spacing w:after="120"/>
      </w:pPr>
      <w:r>
        <w:rPr>
          <w:b/>
          <w:color w:val="1F5A5C"/>
          <w:sz w:val="19"/>
        </w:rPr>
        <w:t xml:space="preserve">[SCREENSHOT A5] </w:t>
      </w:r>
      <w:r>
        <w:rPr>
          <w:i/>
          <w:color w:val="6B6660"/>
          <w:sz w:val="19"/>
        </w:rPr>
        <w:t>— HA-tuned CloudWatch alarms list; service-level availability dashboard.</w:t>
      </w:r>
    </w:p>
    <w:p>
      <w:pPr>
        <w:spacing w:after="120"/>
      </w:pPr>
      <w:r>
        <w:rPr>
          <w:b/>
          <w:color w:val="1F5A5C"/>
          <w:sz w:val="19"/>
        </w:rPr>
        <w:t xml:space="preserve">[SCREENSHOT A6] </w:t>
      </w:r>
      <w:r>
        <w:rPr>
          <w:i/>
          <w:color w:val="6B6660"/>
          <w:sz w:val="19"/>
        </w:rPr>
        <w:t>— ASG activity history — replacement event from the failure simulation.</w:t>
      </w:r>
    </w:p>
    <w:p>
      <w:pPr>
        <w:spacing w:after="120"/>
      </w:pPr>
      <w:r>
        <w:rPr>
          <w:b/>
          <w:color w:val="1F5A5C"/>
          <w:sz w:val="19"/>
        </w:rPr>
        <w:t xml:space="preserve">[SCREENSHOT A7] </w:t>
      </w:r>
      <w:r>
        <w:rPr>
          <w:i/>
          <w:color w:val="6B6660"/>
          <w:sz w:val="19"/>
        </w:rPr>
        <w:t>— RDS event log — failover event from the failover simulation.</w:t>
      </w:r>
    </w:p>
    <w:p>
      <w:pPr>
        <w:spacing w:after="120"/>
      </w:pPr>
      <w:r>
        <w:rPr>
          <w:b/>
          <w:color w:val="1F5A5C"/>
          <w:sz w:val="19"/>
        </w:rPr>
        <w:t xml:space="preserve">[SCREENSHOT A8] </w:t>
      </w:r>
      <w:r>
        <w:rPr>
          <w:i/>
          <w:color w:val="6B6660"/>
          <w:sz w:val="19"/>
        </w:rPr>
        <w:t>— CloudWatch availability metric across the 3.5-hour window, dips visible.</w:t>
      </w:r>
    </w:p>
    <w:p>
      <w:pPr>
        <w:spacing w:after="120"/>
      </w:pPr>
      <w:r>
        <w:rPr>
          <w:b/>
          <w:color w:val="1F5A5C"/>
          <w:sz w:val="19"/>
        </w:rPr>
        <w:t xml:space="preserve">[SCREENSHOT A9] </w:t>
      </w:r>
      <w:r>
        <w:rPr>
          <w:i/>
          <w:color w:val="6B6660"/>
          <w:sz w:val="19"/>
        </w:rPr>
        <w:t>— AWS Backup plan with cross-Region copy to the DR destination (us-east-1, substituting ap-southeast-4).</w:t>
      </w:r>
    </w:p>
    <w:p>
      <w:pPr>
        <w:pStyle w:val="Heading1"/>
      </w:pPr>
      <w:r>
        <w:t>Appendix B — Configuration exports</w:t>
      </w:r>
    </w:p>
    <w:p>
      <w:pPr>
        <w:spacing w:after="120"/>
      </w:pPr>
      <w:r>
        <w:rPr>
          <w:b/>
          <w:color w:val="1F5A5C"/>
          <w:sz w:val="19"/>
        </w:rPr>
        <w:t xml:space="preserve">[CONFIG EXPORT B1] </w:t>
      </w:r>
      <w:r>
        <w:rPr>
          <w:i/>
          <w:color w:val="6B6660"/>
          <w:sz w:val="19"/>
        </w:rPr>
        <w:t>— Updated VPC/subnet/route-table config (six subnets, second NAT).</w:t>
      </w:r>
    </w:p>
    <w:p>
      <w:pPr>
        <w:spacing w:after="120"/>
      </w:pPr>
      <w:r>
        <w:rPr>
          <w:b/>
          <w:color w:val="1F5A5C"/>
          <w:sz w:val="19"/>
        </w:rPr>
        <w:t xml:space="preserve">[CONFIG EXPORT B2] </w:t>
      </w:r>
      <w:r>
        <w:rPr>
          <w:i/>
          <w:color w:val="6B6660"/>
          <w:sz w:val="19"/>
        </w:rPr>
        <w:t>— Updated ASG + launch template (cross-AZ, min ≥ 2).</w:t>
      </w:r>
    </w:p>
    <w:p>
      <w:pPr>
        <w:spacing w:after="120"/>
      </w:pPr>
      <w:r>
        <w:rPr>
          <w:b/>
          <w:color w:val="1F5A5C"/>
          <w:sz w:val="19"/>
        </w:rPr>
        <w:t xml:space="preserve">[CONFIG EXPORT B3] </w:t>
      </w:r>
      <w:r>
        <w:rPr>
          <w:i/>
          <w:color w:val="6B6660"/>
          <w:sz w:val="19"/>
        </w:rPr>
        <w:t>— Updated ALB + target group (both AZs).</w:t>
      </w:r>
    </w:p>
    <w:p>
      <w:pPr>
        <w:spacing w:after="120"/>
      </w:pPr>
      <w:r>
        <w:rPr>
          <w:b/>
          <w:color w:val="1F5A5C"/>
          <w:sz w:val="19"/>
        </w:rPr>
        <w:t xml:space="preserve">[CONFIG EXPORT B4] </w:t>
      </w:r>
      <w:r>
        <w:rPr>
          <w:i/>
          <w:color w:val="6B6660"/>
          <w:sz w:val="19"/>
        </w:rPr>
        <w:t>— RDS instance config showing Multi-AZ.</w:t>
      </w:r>
    </w:p>
    <w:p>
      <w:pPr>
        <w:spacing w:after="120"/>
      </w:pPr>
      <w:r>
        <w:rPr>
          <w:b/>
          <w:color w:val="1F5A5C"/>
          <w:sz w:val="19"/>
        </w:rPr>
        <w:t xml:space="preserve">[CONFIG EXPORT B5] </w:t>
      </w:r>
      <w:r>
        <w:rPr>
          <w:i/>
          <w:color w:val="6B6660"/>
          <w:sz w:val="19"/>
        </w:rPr>
        <w:t>— HA-tuned CloudWatch alarm configurations.</w:t>
      </w:r>
    </w:p>
    <w:p>
      <w:pPr>
        <w:spacing w:after="120"/>
      </w:pPr>
      <w:r>
        <w:rPr>
          <w:b/>
          <w:color w:val="1F5A5C"/>
          <w:sz w:val="19"/>
        </w:rPr>
        <w:t xml:space="preserve">[CONFIG EXPORT B6] </w:t>
      </w:r>
      <w:r>
        <w:rPr>
          <w:i/>
          <w:color w:val="6B6660"/>
          <w:sz w:val="19"/>
        </w:rPr>
        <w:t>— AWS Backup plan / cross-Region copy configuration.</w:t>
      </w:r>
    </w:p>
    <w:p>
      <w:pPr>
        <w:pStyle w:val="Heading1"/>
      </w:pPr>
      <w:r>
        <w:t>Appendix C — Test and simulation evidence</w:t>
      </w:r>
    </w:p>
    <w:p>
      <w:pPr>
        <w:spacing w:after="120"/>
      </w:pPr>
      <w:r>
        <w:rPr>
          <w:b/>
          <w:color w:val="1F5A5C"/>
          <w:sz w:val="19"/>
        </w:rPr>
        <w:t xml:space="preserve">[TEST EVIDENCE C1] </w:t>
      </w:r>
      <w:r>
        <w:rPr>
          <w:i/>
          <w:color w:val="6B6660"/>
          <w:sz w:val="19"/>
        </w:rPr>
        <w:t>— Connectivity regression — ALB/EC2/RDS reachable across both AZs post-HA.</w:t>
      </w:r>
    </w:p>
    <w:p>
      <w:pPr>
        <w:spacing w:after="120"/>
      </w:pPr>
      <w:r>
        <w:rPr>
          <w:b/>
          <w:color w:val="1F5A5C"/>
          <w:sz w:val="19"/>
        </w:rPr>
        <w:t xml:space="preserve">[TEST EVIDENCE C2] </w:t>
      </w:r>
      <w:r>
        <w:rPr>
          <w:i/>
          <w:color w:val="6B6660"/>
          <w:sz w:val="19"/>
        </w:rPr>
        <w:t>— F1 — ASG activity history + CloudWatch metric showing replacement; curl log (LMS reachable throughout).</w:t>
      </w:r>
    </w:p>
    <w:p>
      <w:pPr>
        <w:spacing w:after="120"/>
      </w:pPr>
      <w:r>
        <w:rPr>
          <w:b/>
          <w:color w:val="1F5A5C"/>
          <w:sz w:val="19"/>
        </w:rPr>
        <w:t xml:space="preserve">[TEST EVIDENCE C3] </w:t>
      </w:r>
      <w:r>
        <w:rPr>
          <w:i/>
          <w:color w:val="6B6660"/>
          <w:sz w:val="19"/>
        </w:rPr>
        <w:t>— F2 — RDS event log failover; app reconnect log; curl log measuring the ~75 s blip.</w:t>
      </w:r>
    </w:p>
    <w:p>
      <w:pPr>
        <w:spacing w:after="120"/>
      </w:pPr>
      <w:r>
        <w:rPr>
          <w:b/>
          <w:color w:val="1F5A5C"/>
          <w:sz w:val="19"/>
        </w:rPr>
        <w:t xml:space="preserve">[TEST EVIDENCE C4] </w:t>
      </w:r>
      <w:r>
        <w:rPr>
          <w:i/>
          <w:color w:val="6B6660"/>
          <w:sz w:val="19"/>
        </w:rPr>
        <w:t>— F3 — AZ impairment; ALB serving from the surviving AZ; ASG rebuild.</w:t>
      </w:r>
    </w:p>
    <w:p>
      <w:pPr>
        <w:spacing w:after="120"/>
      </w:pPr>
      <w:r>
        <w:rPr>
          <w:b/>
          <w:color w:val="1F5A5C"/>
          <w:sz w:val="19"/>
        </w:rPr>
        <w:t xml:space="preserve">[TEST EVIDENCE C5] </w:t>
      </w:r>
      <w:r>
        <w:rPr>
          <w:i/>
          <w:color w:val="6B6660"/>
          <w:sz w:val="19"/>
        </w:rPr>
        <w:t>— R1/R2 — ASG capacity increase and RDS resize captures.</w:t>
      </w:r>
    </w:p>
    <w:p>
      <w:pPr>
        <w:spacing w:after="120"/>
      </w:pPr>
      <w:r>
        <w:rPr>
          <w:b/>
          <w:color w:val="1F5A5C"/>
          <w:sz w:val="19"/>
        </w:rPr>
        <w:t xml:space="preserve">[TEST EVIDENCE C6] </w:t>
      </w:r>
      <w:r>
        <w:rPr>
          <w:i/>
          <w:color w:val="6B6660"/>
          <w:sz w:val="19"/>
        </w:rPr>
        <w:t>— Service-level availability over the window with computed % (99.96%).</w:t>
      </w:r>
    </w:p>
    <w:p>
      <w:pPr>
        <w:pStyle w:val="Heading1"/>
      </w:pPr>
      <w:r>
        <w:t>Appendix D — Reflections</w:t>
      </w:r>
    </w:p>
    <w:p>
      <w:pPr>
        <w:spacing w:after="120"/>
      </w:pPr>
      <w:r>
        <w:rPr>
          <w:i/>
          <w:color w:val="1F5A5C"/>
          <w:sz w:val="17"/>
        </w:rPr>
        <w:t>Evidences: [ICTCLD502 FS Self-management] · [ICTCLD401 FS Learning, Planning and organising]</w:t>
      </w:r>
    </w:p>
    <w:p>
      <w:pPr>
        <w:pStyle w:val="Heading3"/>
      </w:pPr>
      <w:r>
        <w:t>R1 — Decisions in hindsight</w:t>
      </w:r>
    </w:p>
    <w:p>
      <w:r>
        <w:rPr>
          <w:sz w:val="21"/>
        </w:rPr>
        <w:t>Applying Multi-AZ immediately inside the maintenance window was the right call — it cost a single, planned failover blip rather than a second window later. If I did it again I would not stack the RDS instance-class resize (R2) in the same window as the Multi-AZ conversion: two failover blips close together made the availability measurement noisier than it needed to be. I'd schedule the resize for a separate, quieter slot.</w:t>
      </w:r>
    </w:p>
    <w:p>
      <w:pPr>
        <w:pStyle w:val="Heading3"/>
      </w:pPr>
      <w:r>
        <w:t>R2 — Problem solving under time pressure</w:t>
      </w:r>
    </w:p>
    <w:p>
      <w:r>
        <w:rPr>
          <w:sz w:val="21"/>
        </w:rPr>
        <w:t>When the F2 failover ran ~15 s longer than the design predicted, with the application throwing connection errors past the point I expected, the time-boxed window meant I had to decide quickly whether it was a database problem (which might threaten the rollback deadline) or an application retry artefact. I correlated the three logs, saw the database was back in ~75 s while the app kept retrying on a long backoff, and judged it safe to proceed and tune the retry afterwards rather than roll back. Next time I'd pre-tune the connection-retry settings before the window so the symptom doesn't appear at all.</w:t>
      </w:r>
    </w:p>
    <w:p>
      <w:pPr>
        <w:pStyle w:val="Heading1"/>
      </w:pPr>
      <w:r>
        <w:t>Document control</w:t>
      </w:r>
    </w:p>
    <w:tbl>
      <w:tblPr>
        <w:tblW w:type="auto" w:w="0"/>
        <w:jc w:val="center"/>
        <w:tblLook w:firstColumn="1" w:firstRow="1" w:lastColumn="0" w:lastRow="0" w:noHBand="0" w:noVBand="1" w:val="04A0"/>
      </w:tblPr>
      <w:tblGrid>
        <w:gridCol w:w="4706"/>
        <w:gridCol w:w="4706"/>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Field</w:t>
            </w:r>
          </w:p>
        </w:tc>
        <w:tc>
          <w:tcPr>
            <w:tcW w:type="dxa" w:w="595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Value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Document version</w:t>
            </w:r>
          </w:p>
        </w:tc>
        <w:tc>
          <w:tcPr>
            <w:tcW w:type="dxa" w:w="5953"/>
            <w:tcBorders>
              <w:top w:val="single" w:sz="4" w:space="0" w:color="E4DED3"/>
              <w:left w:val="single" w:sz="4" w:space="0" w:color="E4DED3"/>
              <w:bottom w:val="single" w:sz="4" w:space="0" w:color="E4DED3"/>
              <w:right w:val="single" w:sz="4" w:space="0" w:color="E4DED3"/>
            </w:tcBorders>
          </w:tcPr>
          <w:p>
            <w:r>
              <w:rPr>
                <w:sz w:val="18"/>
              </w:rPr>
              <w:t>v1.0 — HA Deployment Report (post-implementation)</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Author</w:t>
            </w:r>
          </w:p>
        </w:tc>
        <w:tc>
          <w:tcPr>
            <w:tcW w:type="dxa" w:w="5953"/>
            <w:tcBorders>
              <w:top w:val="single" w:sz="4" w:space="0" w:color="E4DED3"/>
              <w:left w:val="single" w:sz="4" w:space="0" w:color="E4DED3"/>
              <w:bottom w:val="single" w:sz="4" w:space="0" w:color="E4DED3"/>
              <w:right w:val="single" w:sz="4" w:space="0" w:color="E4DED3"/>
            </w:tcBorders>
          </w:tcPr>
          <w:p>
            <w:r>
              <w:rPr>
                <w:sz w:val="18"/>
              </w:rPr>
              <w:t>MTS Consultant</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Engagement</w:t>
            </w:r>
          </w:p>
        </w:tc>
        <w:tc>
          <w:tcPr>
            <w:tcW w:type="dxa" w:w="5953"/>
            <w:tcBorders>
              <w:top w:val="single" w:sz="4" w:space="0" w:color="E4DED3"/>
              <w:left w:val="single" w:sz="4" w:space="0" w:color="E4DED3"/>
              <w:bottom w:val="single" w:sz="4" w:space="0" w:color="E4DED3"/>
              <w:right w:val="single" w:sz="4" w:space="0" w:color="E4DED3"/>
            </w:tcBorders>
          </w:tcPr>
          <w:p>
            <w:r>
              <w:rPr>
                <w:sz w:val="18"/>
              </w:rPr>
              <w:t>YAT LMS Cloud Migration — HA Hardening Phase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Companion document</w:t>
            </w:r>
          </w:p>
        </w:tc>
        <w:tc>
          <w:tcPr>
            <w:tcW w:type="dxa" w:w="5953"/>
            <w:tcBorders>
              <w:top w:val="single" w:sz="4" w:space="0" w:color="E4DED3"/>
              <w:left w:val="single" w:sz="4" w:space="0" w:color="E4DED3"/>
              <w:bottom w:val="single" w:sz="4" w:space="0" w:color="E4DED3"/>
              <w:right w:val="single" w:sz="4" w:space="0" w:color="E4DED3"/>
            </w:tcBorders>
          </w:tcPr>
          <w:p>
            <w:r>
              <w:rPr>
                <w:sz w:val="18"/>
              </w:rPr>
              <w:t>YAT LMS Cloud Architecture — HA Design v1.0 (Part A)</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Successor document</w:t>
            </w:r>
          </w:p>
        </w:tc>
        <w:tc>
          <w:tcPr>
            <w:tcW w:type="dxa" w:w="5953"/>
            <w:tcBorders>
              <w:top w:val="single" w:sz="4" w:space="0" w:color="E4DED3"/>
              <w:left w:val="single" w:sz="4" w:space="0" w:color="E4DED3"/>
              <w:bottom w:val="single" w:sz="4" w:space="0" w:color="E4DED3"/>
              <w:right w:val="single" w:sz="4" w:space="0" w:color="E4DED3"/>
            </w:tcBorders>
          </w:tcPr>
          <w:p>
            <w:r>
              <w:rPr>
                <w:sz w:val="18"/>
              </w:rPr>
              <w:t>n/a — closes out MTS's role on the engagement</w:t>
            </w:r>
          </w:p>
        </w:tc>
      </w:tr>
    </w:tbl>
    <w:p/>
    <w:sectPr w:rsidR="00FC693F" w:rsidRPr="0006063C" w:rsidSect="00034616">
      <w:headerReference w:type="default" r:id="rId15"/>
      <w:footerReference w:type="default" r:id="rId16"/>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