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Team Plan</w:t>
      </w:r>
    </w:p>
    <w:p>
      <w:r>
        <w:rPr>
          <w:b/>
          <w:color w:val="C5613B"/>
          <w:sz w:val="30"/>
        </w:rPr>
        <w:t>Ledgerline Cloud Infrastructure Improvement</w:t>
      </w:r>
    </w:p>
    <w:p>
      <w:r>
        <w:rPr>
          <w:i/>
          <w:color w:val="6B6660"/>
          <w:sz w:val="20"/>
        </w:rPr>
        <w:t>Assessor exemplar — internal marking reference (not for distribution to students)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for</w:t>
            </w:r>
          </w:p>
        </w:tc>
        <w:tc>
          <w:tcPr>
            <w:tcW w:type="dxa" w:w="6803"/>
            <w:tcBorders>
              <w:top w:val="single" w:sz="4" w:space="0" w:color="E4DED3"/>
              <w:left w:val="single" w:sz="4" w:space="0" w:color="E4DED3"/>
              <w:bottom w:val="single" w:sz="4" w:space="0" w:color="E4DED3"/>
              <w:right w:val="single" w:sz="4" w:space="0" w:color="E4DED3"/>
            </w:tcBorders>
          </w:tcPr>
          <w:p>
            <w:r>
              <w:rPr>
                <w:sz w:val="20"/>
              </w:rPr>
              <w:t>Pat Lin, MTS Senior Consultant (engagement supervision)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Improvement Team Lead — implementation phase</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Ledgerline Cloud Infrastructure Improvement — S1-CL3</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Team</w:t>
            </w:r>
          </w:p>
        </w:tc>
        <w:tc>
          <w:tcPr>
            <w:tcW w:type="dxa" w:w="6803"/>
            <w:tcBorders>
              <w:top w:val="single" w:sz="4" w:space="0" w:color="E4DED3"/>
              <w:left w:val="single" w:sz="4" w:space="0" w:color="E4DED3"/>
              <w:bottom w:val="single" w:sz="4" w:space="0" w:color="E4DED3"/>
              <w:right w:val="single" w:sz="4" w:space="0" w:color="E4DED3"/>
            </w:tcBorders>
          </w:tcPr>
          <w:p>
            <w:r>
              <w:rPr>
                <w:sz w:val="20"/>
              </w:rPr>
              <w:t>MTS improvement team of four — one cloud component per member</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Internal — MTS / YAT</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team objectives</w:t>
      </w:r>
    </w:p>
    <w:p>
      <w:pPr>
        <w:spacing w:after="120"/>
      </w:pPr>
      <w:r>
        <w:rPr>
          <w:i/>
          <w:color w:val="1F5A5C"/>
          <w:sz w:val="17"/>
        </w:rPr>
        <w:t>Evidences: [BSBXTW401 PC 1.1]</w:t>
      </w:r>
    </w:p>
    <w:p>
      <w:r>
        <w:rPr>
          <w:sz w:val="21"/>
        </w:rPr>
        <w:t>MP Tech Solutions (MTS) has been engaged by YAT College to improve the cloud infrastructure of its Ledgerline (Accounting) system, following YAT's India-campus partnership. The improvement Solution Design has been approved by YAT and is the input to this phase. This Team Plan sets out how our improvement team will implement that design — writing it as infrastructure-as-code. It is the team lead's plan; the team-lead role rotates, and each member leads at least one working session.</w:t>
      </w:r>
    </w:p>
    <w:p>
      <w:r>
        <w:rPr>
          <w:sz w:val="21"/>
        </w:rPr>
        <w:t>Common objective. Implement the approved improvement as **one integrated, deployable CloudFormation template** — divided into four cloud components, one written by each member, integrated by cross-stack references and validated by the team. The infrastructure-as-code is the vehicle for the teamwork; each member then deploys and operates the whole improved system individually.</w:t>
      </w:r>
    </w:p>
    <w:p>
      <w:r>
        <w:rPr>
          <w:sz w:val="21"/>
        </w:rPr>
        <w:t>Responsibilities. Each member owns one cloud component (network, compute, database, storage), writing its CloudFormation to the approved design and improving it across all four optimisation concerns (security, reliability, scalability, cost) as that design directs. The team lead coordinates, chairs the working session in their rotation, and is the point of contact with the MTS Senior Consultant (Pat Lin) and the YAT ICT Manager (Sam Walker).</w:t>
      </w:r>
    </w:p>
    <w:p>
      <w:r>
        <w:rPr>
          <w:sz w:val="21"/>
        </w:rPr>
        <w:t>Required outcomes. The team's deliverable is one integrated, validated CloudFormation template that implements the approved design; the **team sign-off on that template** is the gate that closes the build. The design approval has already been obtained (the Solution Design presentation); the final sign-off on the deployed system is obtained individually at deployment.</w:t>
      </w:r>
    </w:p>
    <w:p>
      <w:pPr>
        <w:pStyle w:val="Heading1"/>
      </w:pPr>
      <w:r>
        <w:t>2. Team structure and component ownership</w:t>
      </w:r>
    </w:p>
    <w:p>
      <w:pPr>
        <w:spacing w:after="120"/>
      </w:pPr>
      <w:r>
        <w:rPr>
          <w:i/>
          <w:color w:val="1F5A5C"/>
          <w:sz w:val="17"/>
        </w:rPr>
        <w:t>Evidences: [BSBXTW401 PC 1.1] (responsibilities)</w:t>
      </w:r>
    </w:p>
    <w:p>
      <w:r>
        <w:rPr>
          <w:sz w:val="21"/>
        </w:rPr>
        <w:t>The team is four members, each owning one cloud component so that the team's single integrated template covers the whole system. Components are allocated by expertise; the team-lead role rotates across the working sessions.</w:t>
      </w:r>
    </w:p>
    <w:tbl>
      <w:tblPr>
        <w:tblW w:type="auto" w:w="0"/>
        <w:jc w:val="center"/>
        <w:tblLook w:firstColumn="1" w:firstRow="1" w:lastColumn="0" w:lastRow="0" w:noHBand="0" w:noVBand="1" w:val="04A0"/>
      </w:tblPr>
      <w:tblGrid>
        <w:gridCol w:w="3137"/>
        <w:gridCol w:w="3137"/>
        <w:gridCol w:w="3137"/>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Member</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Component owned</w:t>
            </w:r>
          </w:p>
        </w:tc>
        <w:tc>
          <w:tcPr>
            <w:tcW w:type="dxa" w:w="481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Scope of the component</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Maya N. (lead, this phase)</w:t>
            </w:r>
          </w:p>
        </w:tc>
        <w:tc>
          <w:tcPr>
            <w:tcW w:type="dxa" w:w="1701"/>
            <w:tcBorders>
              <w:top w:val="single" w:sz="4" w:space="0" w:color="E4DED3"/>
              <w:left w:val="single" w:sz="4" w:space="0" w:color="E4DED3"/>
              <w:bottom w:val="single" w:sz="4" w:space="0" w:color="E4DED3"/>
              <w:right w:val="single" w:sz="4" w:space="0" w:color="E4DED3"/>
            </w:tcBorders>
          </w:tcPr>
          <w:p>
            <w:r>
              <w:rPr>
                <w:sz w:val="18"/>
              </w:rPr>
              <w:t>Network (VPC)</w:t>
            </w:r>
          </w:p>
        </w:tc>
        <w:tc>
          <w:tcPr>
            <w:tcW w:type="dxa" w:w="4819"/>
            <w:tcBorders>
              <w:top w:val="single" w:sz="4" w:space="0" w:color="E4DED3"/>
              <w:left w:val="single" w:sz="4" w:space="0" w:color="E4DED3"/>
              <w:bottom w:val="single" w:sz="4" w:space="0" w:color="E4DED3"/>
              <w:right w:val="single" w:sz="4" w:space="0" w:color="E4DED3"/>
            </w:tcBorders>
          </w:tcPr>
          <w:p>
            <w:r>
              <w:rPr>
                <w:sz w:val="18"/>
              </w:rPr>
              <w:t>VPC across two Availability Zones, tiered subnets, route tables, NACLs and security groups, VPC endpoints, and flow logs - the network foundation the other components build on and reference.</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Theo R.</w:t>
            </w:r>
          </w:p>
        </w:tc>
        <w:tc>
          <w:tcPr>
            <w:tcW w:type="dxa" w:w="1701"/>
            <w:tcBorders>
              <w:top w:val="single" w:sz="4" w:space="0" w:color="E4DED3"/>
              <w:left w:val="single" w:sz="4" w:space="0" w:color="E4DED3"/>
              <w:bottom w:val="single" w:sz="4" w:space="0" w:color="E4DED3"/>
              <w:right w:val="single" w:sz="4" w:space="0" w:color="E4DED3"/>
            </w:tcBorders>
          </w:tcPr>
          <w:p>
            <w:r>
              <w:rPr>
                <w:sz w:val="18"/>
              </w:rPr>
              <w:t>Compute</w:t>
            </w:r>
          </w:p>
        </w:tc>
        <w:tc>
          <w:tcPr>
            <w:tcW w:type="dxa" w:w="4819"/>
            <w:tcBorders>
              <w:top w:val="single" w:sz="4" w:space="0" w:color="E4DED3"/>
              <w:left w:val="single" w:sz="4" w:space="0" w:color="E4DED3"/>
              <w:bottom w:val="single" w:sz="4" w:space="0" w:color="E4DED3"/>
              <w:right w:val="single" w:sz="4" w:space="0" w:color="E4DED3"/>
            </w:tcBorders>
          </w:tcPr>
          <w:p>
            <w:r>
              <w:rPr>
                <w:sz w:val="18"/>
              </w:rPr>
              <w:t>EC2 launch template, the Auto Scaling group spread across two AZs, the internal Application Load Balancer, and the scaling policy.</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Ina P.</w:t>
            </w:r>
          </w:p>
        </w:tc>
        <w:tc>
          <w:tcPr>
            <w:tcW w:type="dxa" w:w="1701"/>
            <w:tcBorders>
              <w:top w:val="single" w:sz="4" w:space="0" w:color="E4DED3"/>
              <w:left w:val="single" w:sz="4" w:space="0" w:color="E4DED3"/>
              <w:bottom w:val="single" w:sz="4" w:space="0" w:color="E4DED3"/>
              <w:right w:val="single" w:sz="4" w:space="0" w:color="E4DED3"/>
            </w:tcBorders>
          </w:tcPr>
          <w:p>
            <w:r>
              <w:rPr>
                <w:sz w:val="18"/>
              </w:rPr>
              <w:t>Database</w:t>
            </w:r>
          </w:p>
        </w:tc>
        <w:tc>
          <w:tcPr>
            <w:tcW w:type="dxa" w:w="4819"/>
            <w:tcBorders>
              <w:top w:val="single" w:sz="4" w:space="0" w:color="E4DED3"/>
              <w:left w:val="single" w:sz="4" w:space="0" w:color="E4DED3"/>
              <w:bottom w:val="single" w:sz="4" w:space="0" w:color="E4DED3"/>
              <w:right w:val="single" w:sz="4" w:space="0" w:color="E4DED3"/>
            </w:tcBorders>
          </w:tcPr>
          <w:p>
            <w:r>
              <w:rPr>
                <w:sz w:val="18"/>
              </w:rPr>
              <w:t>Amazon RDS for SQL Server - single-instance (Ledgerline does not support a Multi-AZ database), encrypted, with the DB subnet group, backup/point-in-time-restore configuration and the database security group.</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Cooper L.</w:t>
            </w:r>
          </w:p>
        </w:tc>
        <w:tc>
          <w:tcPr>
            <w:tcW w:type="dxa" w:w="1701"/>
            <w:tcBorders>
              <w:top w:val="single" w:sz="4" w:space="0" w:color="E4DED3"/>
              <w:left w:val="single" w:sz="4" w:space="0" w:color="E4DED3"/>
              <w:bottom w:val="single" w:sz="4" w:space="0" w:color="E4DED3"/>
              <w:right w:val="single" w:sz="4" w:space="0" w:color="E4DED3"/>
            </w:tcBorders>
          </w:tcPr>
          <w:p>
            <w:r>
              <w:rPr>
                <w:sz w:val="18"/>
              </w:rPr>
              <w:t>Storage</w:t>
            </w:r>
          </w:p>
        </w:tc>
        <w:tc>
          <w:tcPr>
            <w:tcW w:type="dxa" w:w="4819"/>
            <w:tcBorders>
              <w:top w:val="single" w:sz="4" w:space="0" w:color="E4DED3"/>
              <w:left w:val="single" w:sz="4" w:space="0" w:color="E4DED3"/>
              <w:bottom w:val="single" w:sz="4" w:space="0" w:color="E4DED3"/>
              <w:right w:val="single" w:sz="4" w:space="0" w:color="E4DED3"/>
            </w:tcBorders>
          </w:tcPr>
          <w:p>
            <w:r>
              <w:rPr>
                <w:sz w:val="18"/>
              </w:rPr>
              <w:t>The S3 buckets (attachments, backups) with encryption, versioning and lifecycle; EBS configuration; and the India residency slice (the ap-south-1 CERT-In logs + books-of-account buckets).</w:t>
            </w:r>
          </w:p>
        </w:tc>
      </w:tr>
    </w:tbl>
    <w:p/>
    <w:p>
      <w:pPr>
        <w:pStyle w:val="Heading1"/>
      </w:pPr>
      <w:r>
        <w:t>3. Performance expectations</w:t>
      </w:r>
    </w:p>
    <w:p>
      <w:pPr>
        <w:spacing w:after="120"/>
      </w:pPr>
      <w:r>
        <w:rPr>
          <w:i/>
          <w:color w:val="1F5A5C"/>
          <w:sz w:val="17"/>
        </w:rPr>
        <w:t>Evidences: [BSBXTW401 PC 1.2]</w:t>
      </w:r>
    </w:p>
    <w:p>
      <w:r>
        <w:rPr>
          <w:sz w:val="21"/>
        </w:rPr>
        <w:t>Each member's expected outcomes, goals and behaviours, set in line with the team objective and YAT's policies (the Change Management Procedure, the Security and Incident Response Policy, and the Privacy / Data Handling Policy).</w:t>
      </w:r>
    </w:p>
    <w:tbl>
      <w:tblPr>
        <w:tblW w:type="auto" w:w="0"/>
        <w:jc w:val="center"/>
        <w:tblLook w:firstColumn="1" w:firstRow="1" w:lastColumn="0" w:lastRow="0" w:noHBand="0" w:noVBand="1" w:val="04A0"/>
      </w:tblPr>
      <w:tblGrid>
        <w:gridCol w:w="2353"/>
        <w:gridCol w:w="2353"/>
        <w:gridCol w:w="2353"/>
        <w:gridCol w:w="2353"/>
      </w:tblGrid>
      <w:tr>
        <w:tc>
          <w:tcPr>
            <w:tcW w:type="dxa" w:w="192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Member (component)</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Expected outcomes</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Goals</w:t>
            </w:r>
          </w:p>
        </w:tc>
        <w:tc>
          <w:tcPr>
            <w:tcW w:type="dxa" w:w="232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Expected behaviours</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Maya N. (Network)</w:t>
            </w:r>
          </w:p>
        </w:tc>
        <w:tc>
          <w:tcPr>
            <w:tcW w:type="dxa" w:w="2268"/>
            <w:tcBorders>
              <w:top w:val="single" w:sz="4" w:space="0" w:color="E4DED3"/>
              <w:left w:val="single" w:sz="4" w:space="0" w:color="E4DED3"/>
              <w:bottom w:val="single" w:sz="4" w:space="0" w:color="E4DED3"/>
              <w:right w:val="single" w:sz="4" w:space="0" w:color="E4DED3"/>
            </w:tcBorders>
          </w:tcPr>
          <w:p>
            <w:r>
              <w:rPr>
                <w:sz w:val="18"/>
              </w:rPr>
              <w:t>A validated network component that the compute and database components import cleanly.</w:t>
            </w:r>
          </w:p>
        </w:tc>
        <w:tc>
          <w:tcPr>
            <w:tcW w:type="dxa" w:w="2268"/>
            <w:tcBorders>
              <w:top w:val="single" w:sz="4" w:space="0" w:color="E4DED3"/>
              <w:left w:val="single" w:sz="4" w:space="0" w:color="E4DED3"/>
              <w:bottom w:val="single" w:sz="4" w:space="0" w:color="E4DED3"/>
              <w:right w:val="single" w:sz="4" w:space="0" w:color="E4DED3"/>
            </w:tcBorders>
          </w:tcPr>
          <w:p>
            <w:r>
              <w:rPr>
                <w:sz w:val="18"/>
              </w:rPr>
              <w:t>Provide the two-AZ network foundation the approved design requires, with no public ingress.</w:t>
            </w:r>
          </w:p>
        </w:tc>
        <w:tc>
          <w:tcPr>
            <w:tcW w:type="dxa" w:w="2324"/>
            <w:tcBorders>
              <w:top w:val="single" w:sz="4" w:space="0" w:color="E4DED3"/>
              <w:left w:val="single" w:sz="4" w:space="0" w:color="E4DED3"/>
              <w:bottom w:val="single" w:sz="4" w:space="0" w:color="E4DED3"/>
              <w:right w:val="single" w:sz="4" w:space="0" w:color="E4DED3"/>
            </w:tcBorders>
          </w:tcPr>
          <w:p>
            <w:r>
              <w:rPr>
                <w:sz w:val="18"/>
              </w:rPr>
              <w:t>Publishes stable cross-stack exports early; raises interface changes before they break others.</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Theo R. (Compute)</w:t>
            </w:r>
          </w:p>
        </w:tc>
        <w:tc>
          <w:tcPr>
            <w:tcW w:type="dxa" w:w="2268"/>
            <w:tcBorders>
              <w:top w:val="single" w:sz="4" w:space="0" w:color="E4DED3"/>
              <w:left w:val="single" w:sz="4" w:space="0" w:color="E4DED3"/>
              <w:bottom w:val="single" w:sz="4" w:space="0" w:color="E4DED3"/>
              <w:right w:val="single" w:sz="4" w:space="0" w:color="E4DED3"/>
            </w:tcBorders>
          </w:tcPr>
          <w:p>
            <w:r>
              <w:rPr>
                <w:sz w:val="18"/>
              </w:rPr>
              <w:t>A validated compute component (ASG across two AZs behind the internal ALB).</w:t>
            </w:r>
          </w:p>
        </w:tc>
        <w:tc>
          <w:tcPr>
            <w:tcW w:type="dxa" w:w="2268"/>
            <w:tcBorders>
              <w:top w:val="single" w:sz="4" w:space="0" w:color="E4DED3"/>
              <w:left w:val="single" w:sz="4" w:space="0" w:color="E4DED3"/>
              <w:bottom w:val="single" w:sz="4" w:space="0" w:color="E4DED3"/>
              <w:right w:val="single" w:sz="4" w:space="0" w:color="E4DED3"/>
            </w:tcBorders>
          </w:tcPr>
          <w:p>
            <w:r>
              <w:rPr>
                <w:sz w:val="18"/>
              </w:rPr>
              <w:t>Deliver the application-tier high availability the design specifies, proportionately.</w:t>
            </w:r>
          </w:p>
        </w:tc>
        <w:tc>
          <w:tcPr>
            <w:tcW w:type="dxa" w:w="2324"/>
            <w:tcBorders>
              <w:top w:val="single" w:sz="4" w:space="0" w:color="E4DED3"/>
              <w:left w:val="single" w:sz="4" w:space="0" w:color="E4DED3"/>
              <w:bottom w:val="single" w:sz="4" w:space="0" w:color="E4DED3"/>
              <w:right w:val="single" w:sz="4" w:space="0" w:color="E4DED3"/>
            </w:tcBorders>
          </w:tcPr>
          <w:p>
            <w:r>
              <w:rPr>
                <w:sz w:val="18"/>
              </w:rPr>
              <w:t>Builds to the network's exports; tests health-check and scaling behaviour.</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Ina P. (Database)</w:t>
            </w:r>
          </w:p>
        </w:tc>
        <w:tc>
          <w:tcPr>
            <w:tcW w:type="dxa" w:w="2268"/>
            <w:tcBorders>
              <w:top w:val="single" w:sz="4" w:space="0" w:color="E4DED3"/>
              <w:left w:val="single" w:sz="4" w:space="0" w:color="E4DED3"/>
              <w:bottom w:val="single" w:sz="4" w:space="0" w:color="E4DED3"/>
              <w:right w:val="single" w:sz="4" w:space="0" w:color="E4DED3"/>
            </w:tcBorders>
          </w:tcPr>
          <w:p>
            <w:r>
              <w:rPr>
                <w:sz w:val="18"/>
              </w:rPr>
              <w:t>A validated database component - single-instance, encrypted, backed up.</w:t>
            </w:r>
          </w:p>
        </w:tc>
        <w:tc>
          <w:tcPr>
            <w:tcW w:type="dxa" w:w="2268"/>
            <w:tcBorders>
              <w:top w:val="single" w:sz="4" w:space="0" w:color="E4DED3"/>
              <w:left w:val="single" w:sz="4" w:space="0" w:color="E4DED3"/>
              <w:bottom w:val="single" w:sz="4" w:space="0" w:color="E4DED3"/>
              <w:right w:val="single" w:sz="4" w:space="0" w:color="E4DED3"/>
            </w:tcBorders>
          </w:tcPr>
          <w:p>
            <w:r>
              <w:rPr>
                <w:sz w:val="18"/>
              </w:rPr>
              <w:t>Meet the recovery-based reliability goal (backup/PITR), not Multi-AZ, per the design.</w:t>
            </w:r>
          </w:p>
        </w:tc>
        <w:tc>
          <w:tcPr>
            <w:tcW w:type="dxa" w:w="2324"/>
            <w:tcBorders>
              <w:top w:val="single" w:sz="4" w:space="0" w:color="E4DED3"/>
              <w:left w:val="single" w:sz="4" w:space="0" w:color="E4DED3"/>
              <w:bottom w:val="single" w:sz="4" w:space="0" w:color="E4DED3"/>
              <w:right w:val="single" w:sz="4" w:space="0" w:color="E4DED3"/>
            </w:tcBorders>
          </w:tcPr>
          <w:p>
            <w:r>
              <w:rPr>
                <w:sz w:val="18"/>
              </w:rPr>
              <w:t>Keeps the database untouched by later updates where the lab requires; documents the constraint.</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Cooper L. (Storage)</w:t>
            </w:r>
          </w:p>
        </w:tc>
        <w:tc>
          <w:tcPr>
            <w:tcW w:type="dxa" w:w="2268"/>
            <w:tcBorders>
              <w:top w:val="single" w:sz="4" w:space="0" w:color="E4DED3"/>
              <w:left w:val="single" w:sz="4" w:space="0" w:color="E4DED3"/>
              <w:bottom w:val="single" w:sz="4" w:space="0" w:color="E4DED3"/>
              <w:right w:val="single" w:sz="4" w:space="0" w:color="E4DED3"/>
            </w:tcBorders>
          </w:tcPr>
          <w:p>
            <w:r>
              <w:rPr>
                <w:sz w:val="18"/>
              </w:rPr>
              <w:t>Validated storage (buckets + lifecycle) and the India residency slice.</w:t>
            </w:r>
          </w:p>
        </w:tc>
        <w:tc>
          <w:tcPr>
            <w:tcW w:type="dxa" w:w="2268"/>
            <w:tcBorders>
              <w:top w:val="single" w:sz="4" w:space="0" w:color="E4DED3"/>
              <w:left w:val="single" w:sz="4" w:space="0" w:color="E4DED3"/>
              <w:bottom w:val="single" w:sz="4" w:space="0" w:color="E4DED3"/>
              <w:right w:val="single" w:sz="4" w:space="0" w:color="E4DED3"/>
            </w:tcBorders>
          </w:tcPr>
          <w:p>
            <w:r>
              <w:rPr>
                <w:sz w:val="18"/>
              </w:rPr>
              <w:t>Deliver durable, cost-tiered storage and the IR-3 residency buckets.</w:t>
            </w:r>
          </w:p>
        </w:tc>
        <w:tc>
          <w:tcPr>
            <w:tcW w:type="dxa" w:w="2324"/>
            <w:tcBorders>
              <w:top w:val="single" w:sz="4" w:space="0" w:color="E4DED3"/>
              <w:left w:val="single" w:sz="4" w:space="0" w:color="E4DED3"/>
              <w:bottom w:val="single" w:sz="4" w:space="0" w:color="E4DED3"/>
              <w:right w:val="single" w:sz="4" w:space="0" w:color="E4DED3"/>
            </w:tcBorders>
          </w:tcPr>
          <w:p>
            <w:r>
              <w:rPr>
                <w:sz w:val="18"/>
              </w:rPr>
              <w:t>Reconciles encryption/lifecycle with the design; keeps the residency slice region-correct.</w:t>
            </w:r>
          </w:p>
        </w:tc>
      </w:tr>
    </w:tbl>
    <w:p/>
    <w:p>
      <w:pPr>
        <w:pStyle w:val="Heading1"/>
      </w:pPr>
      <w:r>
        <w:t>4. Accountability strategies</w:t>
      </w:r>
    </w:p>
    <w:p>
      <w:pPr>
        <w:spacing w:after="120"/>
      </w:pPr>
      <w:r>
        <w:rPr>
          <w:i/>
          <w:color w:val="1F5A5C"/>
          <w:sz w:val="17"/>
        </w:rPr>
        <w:t>Evidences: [BSBXTW401 PC 1.3]</w:t>
      </w:r>
    </w:p>
    <w:p>
      <w:r>
        <w:rPr>
          <w:sz w:val="21"/>
        </w:rPr>
        <w:t>Members are held accountable for their roles and responsibilities through:</w:t>
      </w:r>
    </w:p>
    <w:p>
      <w:pPr>
        <w:pStyle w:val="ListBullet"/>
      </w:pPr>
      <w:r>
        <w:rPr>
          <w:sz w:val="21"/>
        </w:rPr>
        <w:t>Owned-component deliverables - each member is named against their component's CloudFormation in the integrated template, so the work is individually attributable.</w:t>
      </w:r>
    </w:p>
    <w:p>
      <w:pPr>
        <w:pStyle w:val="ListBullet"/>
      </w:pPr>
      <w:r>
        <w:rPr>
          <w:sz w:val="21"/>
        </w:rPr>
        <w:t>The team sign-off gate - the team validates the integrated template before it is handed on for deployment; that validation is the formal accountability checkpoint.</w:t>
      </w:r>
    </w:p>
    <w:p>
      <w:pPr>
        <w:pStyle w:val="ListBullet"/>
      </w:pPr>
      <w:r>
        <w:rPr>
          <w:sz w:val="21"/>
        </w:rPr>
        <w:t>The led-meeting record - when a member chairs, the assessor's observation record captures how they led; the team's decisions are minuted against owners and due dates.</w:t>
      </w:r>
    </w:p>
    <w:p>
      <w:pPr>
        <w:pStyle w:val="ListBullet"/>
      </w:pPr>
      <w:r>
        <w:rPr>
          <w:sz w:val="21"/>
        </w:rPr>
        <w:t>Peer review at integration - each component's cross-stack interface (exports it provides, imports it needs) is reviewed by the team, so reference mismatches surface before integration fails.</w:t>
      </w:r>
    </w:p>
    <w:p>
      <w:pPr>
        <w:pStyle w:val="ListBullet"/>
      </w:pPr>
      <w:r>
        <w:rPr>
          <w:sz w:val="21"/>
        </w:rPr>
        <w:t>Escalation path - unresolved issues are escalated to the team lead, then to Pat Lin (MTS Senior Consultant), per the Engagement Role Brief.</w:t>
      </w:r>
    </w:p>
    <w:p>
      <w:pPr>
        <w:pStyle w:val="Heading1"/>
      </w:pPr>
      <w:r>
        <w:t>5. Task allocation</w:t>
      </w:r>
    </w:p>
    <w:p>
      <w:pPr>
        <w:spacing w:after="120"/>
      </w:pPr>
      <w:r>
        <w:rPr>
          <w:i/>
          <w:color w:val="1F5A5C"/>
          <w:sz w:val="17"/>
        </w:rPr>
        <w:t>Evidences: [BSBXTW401 PC 2.2] · [BSBXTW401 PE 1]</w:t>
      </w:r>
    </w:p>
    <w:p>
      <w:r>
        <w:rPr>
          <w:sz w:val="21"/>
        </w:rPr>
        <w:t>The infrastructure-as-code is allocated one component per member, with the instruction each member needs and an allowance for the contingencies in §6. Each member writes their component to the approved design and integrates it into the team's single deployable template.</w:t>
      </w:r>
    </w:p>
    <w:tbl>
      <w:tblPr>
        <w:tblW w:type="auto" w:w="0"/>
        <w:jc w:val="center"/>
        <w:tblLook w:firstColumn="1" w:firstRow="1" w:lastColumn="0" w:lastRow="0" w:noHBand="0" w:noVBand="1" w:val="04A0"/>
      </w:tblPr>
      <w:tblGrid>
        <w:gridCol w:w="3137"/>
        <w:gridCol w:w="3137"/>
        <w:gridCol w:w="3137"/>
      </w:tblGrid>
      <w:tr>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Member</w:t>
            </w:r>
          </w:p>
        </w:tc>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Component allocated</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Instruction / notes</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Maya N. (Network)</w:t>
            </w:r>
          </w:p>
        </w:tc>
        <w:tc>
          <w:tcPr>
            <w:tcW w:type="dxa" w:w="4252"/>
            <w:tcBorders>
              <w:top w:val="single" w:sz="4" w:space="0" w:color="E4DED3"/>
              <w:left w:val="single" w:sz="4" w:space="0" w:color="E4DED3"/>
              <w:bottom w:val="single" w:sz="4" w:space="0" w:color="E4DED3"/>
              <w:right w:val="single" w:sz="4" w:space="0" w:color="E4DED3"/>
            </w:tcBorders>
          </w:tcPr>
          <w:p>
            <w:r>
              <w:rPr>
                <w:sz w:val="18"/>
              </w:rPr>
              <w:t>Write the network CloudFormation (VPC, two-AZ subnets, route tables, NACLs, security groups, endpoints, flow logs); export the values the other components import.</w:t>
            </w:r>
          </w:p>
        </w:tc>
        <w:tc>
          <w:tcPr>
            <w:tcW w:type="dxa" w:w="2835"/>
            <w:tcBorders>
              <w:top w:val="single" w:sz="4" w:space="0" w:color="E4DED3"/>
              <w:left w:val="single" w:sz="4" w:space="0" w:color="E4DED3"/>
              <w:bottom w:val="single" w:sz="4" w:space="0" w:color="E4DED3"/>
              <w:right w:val="single" w:sz="4" w:space="0" w:color="E4DED3"/>
            </w:tcBorders>
          </w:tcPr>
          <w:p>
            <w:r>
              <w:rPr>
                <w:sz w:val="18"/>
              </w:rPr>
              <w:t>Land the exports first so compute and database are not blocked; coordinate CIDR/AZ choices with the whole team.</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Theo R. (Compute)</w:t>
            </w:r>
          </w:p>
        </w:tc>
        <w:tc>
          <w:tcPr>
            <w:tcW w:type="dxa" w:w="4252"/>
            <w:tcBorders>
              <w:top w:val="single" w:sz="4" w:space="0" w:color="E4DED3"/>
              <w:left w:val="single" w:sz="4" w:space="0" w:color="E4DED3"/>
              <w:bottom w:val="single" w:sz="4" w:space="0" w:color="E4DED3"/>
              <w:right w:val="single" w:sz="4" w:space="0" w:color="E4DED3"/>
            </w:tcBorders>
          </w:tcPr>
          <w:p>
            <w:r>
              <w:rPr>
                <w:sz w:val="18"/>
              </w:rPr>
              <w:t>Write the compute CloudFormation (launch template, ASG across two AZs, internal ALB, scaling policy), importing the network's subnets and security groups.</w:t>
            </w:r>
          </w:p>
        </w:tc>
        <w:tc>
          <w:tcPr>
            <w:tcW w:type="dxa" w:w="2835"/>
            <w:tcBorders>
              <w:top w:val="single" w:sz="4" w:space="0" w:color="E4DED3"/>
              <w:left w:val="single" w:sz="4" w:space="0" w:color="E4DED3"/>
              <w:bottom w:val="single" w:sz="4" w:space="0" w:color="E4DED3"/>
              <w:right w:val="single" w:sz="4" w:space="0" w:color="E4DED3"/>
            </w:tcBorders>
          </w:tcPr>
          <w:p>
            <w:r>
              <w:rPr>
                <w:sz w:val="18"/>
              </w:rPr>
              <w:t>Confirm the ALB and ASG span both AZs; align the app security group with the database's.</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Ina P. (Database)</w:t>
            </w:r>
          </w:p>
        </w:tc>
        <w:tc>
          <w:tcPr>
            <w:tcW w:type="dxa" w:w="4252"/>
            <w:tcBorders>
              <w:top w:val="single" w:sz="4" w:space="0" w:color="E4DED3"/>
              <w:left w:val="single" w:sz="4" w:space="0" w:color="E4DED3"/>
              <w:bottom w:val="single" w:sz="4" w:space="0" w:color="E4DED3"/>
              <w:right w:val="single" w:sz="4" w:space="0" w:color="E4DED3"/>
            </w:tcBorders>
          </w:tcPr>
          <w:p>
            <w:r>
              <w:rPr>
                <w:sz w:val="18"/>
              </w:rPr>
              <w:t>Write the database CloudFormation (RDS for SQL Server single-instance, encrypted, DB subnet group, backups), importing the network's data subnets and security group.</w:t>
            </w:r>
          </w:p>
        </w:tc>
        <w:tc>
          <w:tcPr>
            <w:tcW w:type="dxa" w:w="2835"/>
            <w:tcBorders>
              <w:top w:val="single" w:sz="4" w:space="0" w:color="E4DED3"/>
              <w:left w:val="single" w:sz="4" w:space="0" w:color="E4DED3"/>
              <w:bottom w:val="single" w:sz="4" w:space="0" w:color="E4DED3"/>
              <w:right w:val="single" w:sz="4" w:space="0" w:color="E4DED3"/>
            </w:tcBorders>
          </w:tcPr>
          <w:p>
            <w:r>
              <w:rPr>
                <w:sz w:val="18"/>
              </w:rPr>
              <w:t>Keep the instance single-AZ per the Ledgerline constraint; coordinate the SG rule with Compute.</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Cooper L. (Storage)</w:t>
            </w:r>
          </w:p>
        </w:tc>
        <w:tc>
          <w:tcPr>
            <w:tcW w:type="dxa" w:w="4252"/>
            <w:tcBorders>
              <w:top w:val="single" w:sz="4" w:space="0" w:color="E4DED3"/>
              <w:left w:val="single" w:sz="4" w:space="0" w:color="E4DED3"/>
              <w:bottom w:val="single" w:sz="4" w:space="0" w:color="E4DED3"/>
              <w:right w:val="single" w:sz="4" w:space="0" w:color="E4DED3"/>
            </w:tcBorders>
          </w:tcPr>
          <w:p>
            <w:r>
              <w:rPr>
                <w:sz w:val="18"/>
              </w:rPr>
              <w:t>Write the storage CloudFormation (S3 buckets with encryption/versioning/lifecycle, EBS), importing/naming what the other components reference.</w:t>
            </w:r>
          </w:p>
        </w:tc>
        <w:tc>
          <w:tcPr>
            <w:tcW w:type="dxa" w:w="2835"/>
            <w:tcBorders>
              <w:top w:val="single" w:sz="4" w:space="0" w:color="E4DED3"/>
              <w:left w:val="single" w:sz="4" w:space="0" w:color="E4DED3"/>
              <w:bottom w:val="single" w:sz="4" w:space="0" w:color="E4DED3"/>
              <w:right w:val="single" w:sz="4" w:space="0" w:color="E4DED3"/>
            </w:tcBorders>
          </w:tcPr>
          <w:p>
            <w:r>
              <w:rPr>
                <w:sz w:val="18"/>
              </w:rPr>
              <w:t>Reconcile lifecycle/retention with the design. The India log/books residency is addressed in the design only (per the Indian Regulatory Requirements) - it is not built as a separate deployed stack.</w:t>
            </w:r>
          </w:p>
        </w:tc>
      </w:tr>
    </w:tbl>
    <w:p/>
    <w:p>
      <w:pPr>
        <w:pStyle w:val="Heading1"/>
      </w:pPr>
      <w:r>
        <w:t>6. Contingency planning</w:t>
      </w:r>
    </w:p>
    <w:p>
      <w:pPr>
        <w:spacing w:after="120"/>
      </w:pPr>
      <w:r>
        <w:rPr>
          <w:i/>
          <w:color w:val="1F5A5C"/>
          <w:sz w:val="17"/>
        </w:rPr>
        <w:t>Evidences: [BSBXTW401 PC 1.4]</w:t>
      </w:r>
    </w:p>
    <w:p>
      <w:r>
        <w:rPr>
          <w:sz w:val="21"/>
        </w:rPr>
        <w:t>The contingencies most likely to impact a small four-person team on a time-boxed implementation, and the plan for each.</w:t>
      </w:r>
    </w:p>
    <w:tbl>
      <w:tblPr>
        <w:tblW w:type="auto" w:w="0"/>
        <w:jc w:val="center"/>
        <w:tblLook w:firstColumn="1" w:firstRow="1" w:lastColumn="0" w:lastRow="0" w:noHBand="0" w:noVBand="1" w:val="04A0"/>
      </w:tblPr>
      <w:tblGrid>
        <w:gridCol w:w="3137"/>
        <w:gridCol w:w="3137"/>
        <w:gridCol w:w="3137"/>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Contingency</w:t>
            </w:r>
          </w:p>
        </w:tc>
        <w:tc>
          <w:tcPr>
            <w:tcW w:type="dxa" w:w="130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Likelihood</w:t>
            </w:r>
          </w:p>
        </w:tc>
        <w:tc>
          <w:tcPr>
            <w:tcW w:type="dxa" w:w="464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Plan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Unplanned leave or absence of a member</w:t>
            </w:r>
          </w:p>
        </w:tc>
        <w:tc>
          <w:tcPr>
            <w:tcW w:type="dxa" w:w="1304"/>
            <w:tcBorders>
              <w:top w:val="single" w:sz="4" w:space="0" w:color="E4DED3"/>
              <w:left w:val="single" w:sz="4" w:space="0" w:color="E4DED3"/>
              <w:bottom w:val="single" w:sz="4" w:space="0" w:color="E4DED3"/>
              <w:right w:val="single" w:sz="4" w:space="0" w:color="E4DED3"/>
            </w:tcBorders>
          </w:tcPr>
          <w:p>
            <w:r>
              <w:rPr>
                <w:sz w:val="18"/>
              </w:rPr>
              <w:t>Medium</w:t>
            </w:r>
          </w:p>
        </w:tc>
        <w:tc>
          <w:tcPr>
            <w:tcW w:type="dxa" w:w="4649"/>
            <w:tcBorders>
              <w:top w:val="single" w:sz="4" w:space="0" w:color="E4DED3"/>
              <w:left w:val="single" w:sz="4" w:space="0" w:color="E4DED3"/>
              <w:bottom w:val="single" w:sz="4" w:space="0" w:color="E4DED3"/>
              <w:right w:val="single" w:sz="4" w:space="0" w:color="E4DED3"/>
            </w:tcBorders>
          </w:tcPr>
          <w:p>
            <w:r>
              <w:rPr>
                <w:sz w:val="18"/>
              </w:rPr>
              <w:t>Cross-brief each component's cross-stack interface at every working session so no component is a single point of failure; the absent member's component is picked up by the lead or an adjacent-component owner from the documented interface; deadlines re-planned if needed.</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Re-allocation of work tasks</w:t>
            </w:r>
          </w:p>
        </w:tc>
        <w:tc>
          <w:tcPr>
            <w:tcW w:type="dxa" w:w="1304"/>
            <w:tcBorders>
              <w:top w:val="single" w:sz="4" w:space="0" w:color="E4DED3"/>
              <w:left w:val="single" w:sz="4" w:space="0" w:color="E4DED3"/>
              <w:bottom w:val="single" w:sz="4" w:space="0" w:color="E4DED3"/>
              <w:right w:val="single" w:sz="4" w:space="0" w:color="E4DED3"/>
            </w:tcBorders>
          </w:tcPr>
          <w:p>
            <w:r>
              <w:rPr>
                <w:sz w:val="18"/>
              </w:rPr>
              <w:t>Medium</w:t>
            </w:r>
          </w:p>
        </w:tc>
        <w:tc>
          <w:tcPr>
            <w:tcW w:type="dxa" w:w="4649"/>
            <w:tcBorders>
              <w:top w:val="single" w:sz="4" w:space="0" w:color="E4DED3"/>
              <w:left w:val="single" w:sz="4" w:space="0" w:color="E4DED3"/>
              <w:bottom w:val="single" w:sz="4" w:space="0" w:color="E4DED3"/>
              <w:right w:val="single" w:sz="4" w:space="0" w:color="E4DED3"/>
            </w:tcBorders>
          </w:tcPr>
          <w:p>
            <w:r>
              <w:rPr>
                <w:sz w:val="18"/>
              </w:rPr>
              <w:t>A small schedule buffer before the integration/sign-off; adjacent components (network/compute, database/storage) are paired so re-allocation stays within a familiar area.</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Succession for an important team role (the lead)</w:t>
            </w:r>
          </w:p>
        </w:tc>
        <w:tc>
          <w:tcPr>
            <w:tcW w:type="dxa" w:w="1304"/>
            <w:tcBorders>
              <w:top w:val="single" w:sz="4" w:space="0" w:color="E4DED3"/>
              <w:left w:val="single" w:sz="4" w:space="0" w:color="E4DED3"/>
              <w:bottom w:val="single" w:sz="4" w:space="0" w:color="E4DED3"/>
              <w:right w:val="single" w:sz="4" w:space="0" w:color="E4DED3"/>
            </w:tcBorders>
          </w:tcPr>
          <w:p>
            <w:r>
              <w:rPr>
                <w:sz w:val="18"/>
              </w:rPr>
              <w:t>Low</w:t>
            </w:r>
          </w:p>
        </w:tc>
        <w:tc>
          <w:tcPr>
            <w:tcW w:type="dxa" w:w="4649"/>
            <w:tcBorders>
              <w:top w:val="single" w:sz="4" w:space="0" w:color="E4DED3"/>
              <w:left w:val="single" w:sz="4" w:space="0" w:color="E4DED3"/>
              <w:bottom w:val="single" w:sz="4" w:space="0" w:color="E4DED3"/>
              <w:right w:val="single" w:sz="4" w:space="0" w:color="E4DED3"/>
            </w:tcBorders>
          </w:tcPr>
          <w:p>
            <w:r>
              <w:rPr>
                <w:sz w:val="18"/>
              </w:rPr>
              <w:t>The rotating-chair model means every member can lead; a short written handover passes the open actions and decisions to the next chair.</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 component's cross-stack interface conflicts with another at integration</w:t>
            </w:r>
          </w:p>
        </w:tc>
        <w:tc>
          <w:tcPr>
            <w:tcW w:type="dxa" w:w="1304"/>
            <w:tcBorders>
              <w:top w:val="single" w:sz="4" w:space="0" w:color="E4DED3"/>
              <w:left w:val="single" w:sz="4" w:space="0" w:color="E4DED3"/>
              <w:bottom w:val="single" w:sz="4" w:space="0" w:color="E4DED3"/>
              <w:right w:val="single" w:sz="4" w:space="0" w:color="E4DED3"/>
            </w:tcBorders>
          </w:tcPr>
          <w:p>
            <w:r>
              <w:rPr>
                <w:sz w:val="18"/>
              </w:rPr>
              <w:t>Medium</w:t>
            </w:r>
          </w:p>
        </w:tc>
        <w:tc>
          <w:tcPr>
            <w:tcW w:type="dxa" w:w="4649"/>
            <w:tcBorders>
              <w:top w:val="single" w:sz="4" w:space="0" w:color="E4DED3"/>
              <w:left w:val="single" w:sz="4" w:space="0" w:color="E4DED3"/>
              <w:bottom w:val="single" w:sz="4" w:space="0" w:color="E4DED3"/>
              <w:right w:val="single" w:sz="4" w:space="0" w:color="E4DED3"/>
            </w:tcBorders>
          </w:tcPr>
          <w:p>
            <w:r>
              <w:rPr>
                <w:sz w:val="18"/>
              </w:rPr>
              <w:t>Peer review of the exports/imports (§4) surfaces reference mismatches before integration; the team lead arbitrates and minutes the decision.</w:t>
            </w:r>
          </w:p>
        </w:tc>
      </w:tr>
    </w:tbl>
    <w:p/>
    <w:p>
      <w:pPr>
        <w:pStyle w:val="Heading1"/>
      </w:pPr>
      <w:r>
        <w:t>7. Team operating norms</w:t>
      </w:r>
    </w:p>
    <w:p>
      <w:pPr>
        <w:spacing w:after="120"/>
      </w:pPr>
      <w:r>
        <w:rPr>
          <w:i/>
          <w:color w:val="1F5A5C"/>
          <w:sz w:val="17"/>
        </w:rPr>
        <w:t>Evidences: [BSBXTW401 FS Get the work done]</w:t>
      </w:r>
    </w:p>
    <w:p>
      <w:r>
        <w:rPr>
          <w:sz w:val="21"/>
        </w:rPr>
        <w:t>The team works through a series of rotating-chair working meetings, each chaired by a different member. Decisions are minuted against an owner and a due date. The eventual production deployment follows YAT's Change Management Procedure and avoids the monthly accounting close and end-of-financial-year periods. Communication with YAT runs through the team lead to the YAT ICT Manager, with Pat Lin (MTS Senior Consultant) as the supervision and escalation point.</w:t>
      </w:r>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 Knowledge Evidence</w:t>
      </w:r>
    </w:p>
    <w:p>
      <w:r>
        <w:rPr>
          <w:sz w:val="21"/>
        </w:rPr>
        <w:t>Underlying knowledge as applied to this team and this engagement.</w:t>
      </w:r>
    </w:p>
    <w:tbl>
      <w:tblPr>
        <w:tblW w:type="auto" w:w="0"/>
        <w:jc w:val="center"/>
        <w:tblLook w:firstColumn="1" w:firstRow="1" w:lastColumn="0" w:lastRow="0" w:noHBand="0" w:noVBand="1" w:val="04A0"/>
      </w:tblPr>
      <w:tblGrid>
        <w:gridCol w:w="4706"/>
        <w:gridCol w:w="4706"/>
      </w:tblGrid>
      <w:tr>
        <w:tc>
          <w:tcPr>
            <w:tcW w:type="dxa" w:w="368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Question</w:t>
            </w:r>
          </w:p>
        </w:tc>
        <w:tc>
          <w:tcPr>
            <w:tcW w:type="dxa" w:w="51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Response</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Which organisational requirements (workplace policies, codes of conduct, organisational reputation and culture) shape how the team must operate, and how does the plan reflect them? [BSBXTW401 KE 1]</w:t>
            </w:r>
          </w:p>
        </w:tc>
        <w:tc>
          <w:tcPr>
            <w:tcW w:type="dxa" w:w="5102"/>
            <w:tcBorders>
              <w:top w:val="single" w:sz="4" w:space="0" w:color="E4DED3"/>
              <w:left w:val="single" w:sz="4" w:space="0" w:color="E4DED3"/>
              <w:bottom w:val="single" w:sz="4" w:space="0" w:color="E4DED3"/>
              <w:right w:val="single" w:sz="4" w:space="0" w:color="E4DED3"/>
            </w:tcBorders>
          </w:tcPr>
          <w:p>
            <w:r>
              <w:rPr>
                <w:sz w:val="18"/>
              </w:rPr>
              <w:t>YAT's Change Management Procedure (all production change is gated - reflected in the change discipline in §7), the Security and Incident Response Policy and the Privacy / Data Handling Policy (the network, database and storage components are written to them), and YAT's reputation as an RTO handling student and financial data (the team errs toward proportionate, well-justified infrastructure rather than risk).</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Which legislative requirements are relevant to the team's work, and how does the plan account for them? [BSBXTW401 KE 2]</w:t>
            </w:r>
          </w:p>
        </w:tc>
        <w:tc>
          <w:tcPr>
            <w:tcW w:type="dxa" w:w="5102"/>
            <w:tcBorders>
              <w:top w:val="single" w:sz="4" w:space="0" w:color="E4DED3"/>
              <w:left w:val="single" w:sz="4" w:space="0" w:color="E4DED3"/>
              <w:bottom w:val="single" w:sz="4" w:space="0" w:color="E4DED3"/>
              <w:right w:val="single" w:sz="4" w:space="0" w:color="E4DED3"/>
            </w:tcBorders>
          </w:tcPr>
          <w:p>
            <w:r>
              <w:rPr>
                <w:sz w:val="18"/>
              </w:rPr>
              <w:t>The Indian regulatory requirements arising from the India-campus operation (DPDP Act, CERT-In log residency, financial-records obligations) - provided by the Compliance area and carried by the storage component's residency slice; and Australian obligations (the Privacy Act / Australian Privacy Principles) for YAT data generally. The team builds the infrastructure to these requirements; it does not interpret the law (that is the Compliance area's role).</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What typical workplace contingencies could impact the team, and how does the plan handle them? [BSBXTW401 KE 9]</w:t>
            </w:r>
          </w:p>
        </w:tc>
        <w:tc>
          <w:tcPr>
            <w:tcW w:type="dxa" w:w="5102"/>
            <w:tcBorders>
              <w:top w:val="single" w:sz="4" w:space="0" w:color="E4DED3"/>
              <w:left w:val="single" w:sz="4" w:space="0" w:color="E4DED3"/>
              <w:bottom w:val="single" w:sz="4" w:space="0" w:color="E4DED3"/>
              <w:right w:val="single" w:sz="4" w:space="0" w:color="E4DED3"/>
            </w:tcBorders>
          </w:tcPr>
          <w:p>
            <w:r>
              <w:rPr>
                <w:sz w:val="18"/>
              </w:rPr>
              <w:t>Unplanned leave/absence, re-allocation of work tasks, and succession for an important role (here, the rotating lead). Each is addressed in §6 - cross-briefing the component interfaces so no component is a single point of failure, a schedule buffer and paired adjacent components for re-allocation, and the rotating-chair model plus a written handover for succession.</w:t>
            </w:r>
          </w:p>
        </w:tc>
      </w:tr>
    </w:tbl>
    <w:p/>
    <w:p>
      <w:pPr>
        <w:pStyle w:val="Heading1"/>
      </w:pPr>
      <w:r>
        <w:t>Sign-off</w:t>
      </w:r>
    </w:p>
    <w:tbl>
      <w:tblPr>
        <w:tblW w:type="auto" w:w="0"/>
        <w:jc w:val="center"/>
        <w:tblLook w:firstColumn="1" w:firstRow="1" w:lastColumn="0" w:lastRow="0" w:noHBand="0" w:noVBand="1" w:val="04A0"/>
      </w:tblPr>
      <w:tblGrid>
        <w:gridCol w:w="2353"/>
        <w:gridCol w:w="2353"/>
        <w:gridCol w:w="2353"/>
        <w:gridCol w:w="2353"/>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Signature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Prepared by (team lead)</w:t>
            </w:r>
          </w:p>
        </w:tc>
        <w:tc>
          <w:tcPr>
            <w:tcW w:type="dxa" w:w="3118"/>
            <w:tcBorders>
              <w:top w:val="single" w:sz="4" w:space="0" w:color="E4DED3"/>
              <w:left w:val="single" w:sz="4" w:space="0" w:color="E4DED3"/>
              <w:bottom w:val="single" w:sz="4" w:space="0" w:color="E4DED3"/>
              <w:right w:val="single" w:sz="4" w:space="0" w:color="E4DED3"/>
            </w:tcBorders>
          </w:tcPr>
          <w:p>
            <w:r>
              <w:rPr>
                <w:sz w:val="18"/>
              </w:rPr>
              <w:t>Maya N. (MTS improvement team)</w:t>
            </w:r>
          </w:p>
        </w:tc>
        <w:tc>
          <w:tcPr>
            <w:tcW w:type="dxa" w:w="1417"/>
            <w:tcBorders>
              <w:top w:val="single" w:sz="4" w:space="0" w:color="E4DED3"/>
              <w:left w:val="single" w:sz="4" w:space="0" w:color="E4DED3"/>
              <w:bottom w:val="single" w:sz="4" w:space="0" w:color="E4DED3"/>
              <w:right w:val="single" w:sz="4" w:space="0" w:color="E4DED3"/>
            </w:tcBorders>
          </w:tcPr>
          <w:p>
            <w:r>
              <w:rPr>
                <w:sz w:val="18"/>
              </w:rPr>
            </w:r>
          </w:p>
        </w:tc>
        <w:tc>
          <w:tcPr>
            <w:tcW w:type="dxa" w:w="1701"/>
            <w:tcBorders>
              <w:top w:val="single" w:sz="4" w:space="0" w:color="E4DED3"/>
              <w:left w:val="single" w:sz="4" w:space="0" w:color="E4DED3"/>
              <w:bottom w:val="single" w:sz="4" w:space="0" w:color="E4DED3"/>
              <w:right w:val="single" w:sz="4" w:space="0" w:color="E4DED3"/>
            </w:tcBorders>
          </w:tcPr>
          <w:p>
            <w:r>
              <w:rPr>
                <w:sz w:val="18"/>
              </w:rPr>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Reviewed by</w:t>
            </w:r>
          </w:p>
        </w:tc>
        <w:tc>
          <w:tcPr>
            <w:tcW w:type="dxa" w:w="3118"/>
            <w:tcBorders>
              <w:top w:val="single" w:sz="4" w:space="0" w:color="E4DED3"/>
              <w:left w:val="single" w:sz="4" w:space="0" w:color="E4DED3"/>
              <w:bottom w:val="single" w:sz="4" w:space="0" w:color="E4DED3"/>
              <w:right w:val="single" w:sz="4" w:space="0" w:color="E4DED3"/>
            </w:tcBorders>
          </w:tcPr>
          <w:p>
            <w:r>
              <w:rPr>
                <w:sz w:val="18"/>
              </w:rPr>
              <w:t>Pat Lin (MTS Senior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r>
          </w:p>
        </w:tc>
        <w:tc>
          <w:tcPr>
            <w:tcW w:type="dxa" w:w="1701"/>
            <w:tcBorders>
              <w:top w:val="single" w:sz="4" w:space="0" w:color="E4DED3"/>
              <w:left w:val="single" w:sz="4" w:space="0" w:color="E4DED3"/>
              <w:bottom w:val="single" w:sz="4" w:space="0" w:color="E4DED3"/>
              <w:right w:val="single" w:sz="4" w:space="0" w:color="E4DED3"/>
            </w:tcBorders>
          </w:tcPr>
          <w:p>
            <w:r>
              <w:rPr>
                <w:sz w:val="18"/>
              </w:rPr>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Noted by</w:t>
            </w:r>
          </w:p>
        </w:tc>
        <w:tc>
          <w:tcPr>
            <w:tcW w:type="dxa" w:w="3118"/>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1417"/>
            <w:tcBorders>
              <w:top w:val="single" w:sz="4" w:space="0" w:color="E4DED3"/>
              <w:left w:val="single" w:sz="4" w:space="0" w:color="E4DED3"/>
              <w:bottom w:val="single" w:sz="4" w:space="0" w:color="E4DED3"/>
              <w:right w:val="single" w:sz="4" w:space="0" w:color="E4DED3"/>
            </w:tcBorders>
          </w:tcPr>
          <w:p>
            <w:r>
              <w:rPr>
                <w:sz w:val="18"/>
              </w:rPr>
            </w:r>
          </w:p>
        </w:tc>
        <w:tc>
          <w:tcPr>
            <w:tcW w:type="dxa" w:w="1701"/>
            <w:tcBorders>
              <w:top w:val="single" w:sz="4" w:space="0" w:color="E4DED3"/>
              <w:left w:val="single" w:sz="4" w:space="0" w:color="E4DED3"/>
              <w:bottom w:val="single" w:sz="4" w:space="0" w:color="E4DED3"/>
              <w:right w:val="single" w:sz="4" w:space="0" w:color="E4DED3"/>
            </w:tcBorders>
          </w:tcPr>
          <w:p>
            <w:r>
              <w:rPr>
                <w:sz w:val="18"/>
              </w:rPr>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