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Disaster Recovery Plan</w:t>
      </w:r>
    </w:p>
    <w:p>
      <w:r>
        <w:rPr>
          <w:b/>
          <w:color w:val="C5613B"/>
          <w:sz w:val="30"/>
        </w:rPr>
        <w:t>YAT LMS Global Expansion — Disaster Recovery Plan</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Global Expansion &amp; Disaster Recovery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YAT-MTS-2026-002</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Plan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LMS Global Expansion Solution Design (companion); the Functional &amp; Non-Functional Requirements; the Data Residency &amp; Sovereignty Requirements</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[ICTCLD501 PE 1] — overview of the developed and evaluated plan</w:t>
      </w:r>
    </w:p>
    <w:p>
      <w:r>
        <w:rPr>
          <w:sz w:val="21"/>
        </w:rPr>
        <w:t>This Disaster Recovery Plan protects the YAT Learning Management System after its expansion to serve the new India-campus cohort. With a partner institution now depending on the LMS, the platform needs to survive the loss of an entire cloud region — a risk the existing in-region high-availability design does not address. The plan analyses three major risk events (loss of the primary region, destructive data loss, and a cyber-security compromise), sets the recovery objectives at RTO ≤ 4 hours and RPO ≤ 1 hour, and recommends a backup-and-restore strategy that recovers the LMS into a second AWS region (Mumbai, ap-south-1).</w:t>
      </w:r>
    </w:p>
    <w:p>
      <w:r>
        <w:rPr>
          <w:sz w:val="21"/>
        </w:rPr>
        <w:t>That recovery region doubles as the home for the India-cohort access logs the data-residency requirements place in India, so recovery and compliance reinforce one another. Recovery is driven from infrastructure-as-code plus automated and cross-region backups, which together rebuild and restore the platform inside the four-hour window. The plan was walked through with the YAT ICT Manager and signed off (§7).</w:t>
      </w:r>
    </w:p>
    <w:p>
      <w:pPr>
        <w:pStyle w:val="Heading1"/>
      </w:pPr>
      <w:r>
        <w:t>2. Engagement Context and Scope</w:t>
      </w:r>
    </w:p>
    <w:p>
      <w:pPr>
        <w:spacing w:after="120"/>
      </w:pPr>
      <w:r>
        <w:rPr>
          <w:i/>
          <w:color w:val="1F5A5C"/>
          <w:sz w:val="17"/>
        </w:rPr>
        <w:t>Evidences: [ICTCLD501 PC 1.1] identify disaster recovery plan requirements according to business needs</w:t>
      </w:r>
    </w:p>
    <w:p>
      <w:r>
        <w:rPr>
          <w:sz w:val="21"/>
        </w:rPr>
        <w:t>The LMS was migrated to AWS and hardened for in-region high availability (Multi-AZ database, cross-AZ compute) under the prior engagement. This engagement extends it for the India campus, and this plan adds the region-level disaster recovery that the partnership makes necessary. The business requirement, confirmed with the YAT ICT Manager, is that a disaster affecting the primary region must not lose more than one hour of data (RPO ≤ 1 h) and the LMS must be back in service within four hours (RTO ≤ 4 h), with the India-cohort log residency preserved even during recovery.</w:t>
      </w:r>
    </w:p>
    <w:p>
      <w:r>
        <w:rPr>
          <w:sz w:val="21"/>
        </w:rPr>
        <w:t>In scope: the LMS web/application tier, the database, and the India-resident audit/access-log store, for both cohorts. Out of scope: in-region component/AZ failure (already handled by the existing HA design), application-layer recovery of the DOODLE software (a YAT IT responsibility), and the legal determination of the residency obligations themselves (owned by YAT compliance — this plan designs to them).</w:t>
      </w:r>
    </w:p>
    <w:p>
      <w:pPr>
        <w:pStyle w:val="Heading1"/>
      </w:pPr>
      <w:r>
        <w:t>3. Current Recovery Position</w:t>
      </w:r>
    </w:p>
    <w:p>
      <w:pPr>
        <w:spacing w:after="120"/>
      </w:pPr>
      <w:r>
        <w:rPr>
          <w:i/>
          <w:color w:val="1F5A5C"/>
          <w:sz w:val="17"/>
        </w:rPr>
        <w:t>Evidences: [ICTCLD501 PC 1.2] existing organisational recovery plans · [ICTCLD501 PC 1.3] vendor disaster recovery plan and SLAs</w:t>
      </w:r>
    </w:p>
    <w:p>
      <w:r>
        <w:rPr>
          <w:sz w:val="21"/>
        </w:rPr>
        <w:t>Existing arrangements (PC 1.2): the only documented disaster recovery plan is the deprecated on-premises DR plan, which the cloud migration superseded and which no longer applies. The current cloud platform provides in-region resilience — a Multi-AZ database with automatic failover, an Auto Scaling group and load balancer across two Availability Zones, and automated database backups (per the Baseline Design, governed by the YAT Backup and Retention Policy). These protect against the loss of a component or an Availability Zone, but not against the loss of the whole region; YAT has no current region-level recovery plan, which is the gap this plan closes.</w:t>
      </w:r>
    </w:p>
    <w:p>
      <w:r>
        <w:rPr>
          <w:sz w:val="21"/>
        </w:rPr>
        <w:t>Vendor provisions and SLAs (PC 1.3): AWS operates each region as multiple independent Availability Zones and offers the native cross-region protections this plan relies on — automated RDS backups with point-in-time restore, cross-region snapshot copy, and S3 eleven-nines durability. The engagement is covered by AWS Business Support (severity-1 response within one hour), and recovery operates under the AWS shared-responsibility model: AWS for the regional infrastructure, YAT for the data, configuration, and recovery actions.</w:t>
      </w:r>
    </w:p>
    <w:p>
      <w:pPr>
        <w:pStyle w:val="Heading1"/>
      </w:pPr>
      <w:r>
        <w:t>4. Impact Analysis</w:t>
      </w:r>
    </w:p>
    <w:p>
      <w:pPr>
        <w:spacing w:after="120"/>
      </w:pPr>
      <w:r>
        <w:rPr>
          <w:i/>
          <w:color w:val="1F5A5C"/>
          <w:sz w:val="17"/>
        </w:rPr>
        <w:t>Evidences: [ICTCLD501 PC 2.1–2.5] · [ICTCLD501 PE 2] · [ICTCLD501 KE 1, 2, 5]</w:t>
      </w:r>
    </w:p>
    <w:p>
      <w:r>
        <w:rPr>
          <w:sz w:val="21"/>
        </w:rPr>
        <w:t>Method (KE 2): risks were identified in a workshop with YAT ICT and a review of the expanded architecture, then rated on likelihood and impact to give a severity, with the recovery objectives derived from the business's tolerance for downtime and data loss.</w:t>
      </w:r>
    </w:p>
    <w:p>
      <w:r>
        <w:rPr>
          <w:sz w:val="21"/>
        </w:rPr>
        <w:t>Recovery objectives (PC 2.1, KE 5): RTO ≤ 4 hours and RPO ≤ 1 hour, carried from the Functional &amp; Non-Functional Requirements. RPO ≤ 1 h means recovery may lose at most the last hour of data; RTO ≤ 4 h means service is restored within four hours of an incident being declared. These figures drove the choice of backup cadence and recovery strategy in §5.</w:t>
      </w:r>
    </w:p>
    <w:p>
      <w:r>
        <w:rPr>
          <w:sz w:val="21"/>
        </w:rPr>
        <w:t>Data managed (PC 2.3): the LMS database is approximately 40–60 GB and holds student personal information, enrolment and assessment records, and course content; the audit/access-log store holds India-cohort access events. Personal data is subject to the Australian Privacy Act and, for the India cohort, to Indian law — the access logs are residency-bound and must remain in India through recovery.</w:t>
      </w:r>
    </w:p>
    <w:p>
      <w:r>
        <w:rPr>
          <w:sz w:val="21"/>
        </w:rPr>
        <w:t>Risk environment (KE 1): the principal risks to a cloud-hosted, now cross-border, mission-critical service are assessed below.</w:t>
      </w:r>
    </w:p>
    <w:tbl>
      <w:tblPr>
        <w:tblW w:type="auto" w:w="0"/>
        <w:jc w:val="center"/>
        <w:tblLook w:firstColumn="1" w:firstRow="1" w:lastColumn="0" w:lastRow="0" w:noHBand="0" w:noVBand="1" w:val="04A0"/>
      </w:tblPr>
      <w:tblGrid>
        <w:gridCol w:w="1569"/>
        <w:gridCol w:w="1569"/>
        <w:gridCol w:w="1569"/>
        <w:gridCol w:w="1569"/>
        <w:gridCol w:w="1569"/>
        <w:gridCol w:w="1569"/>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Risk event</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Impact</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Severity</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Drives</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RE1</w:t>
            </w:r>
          </w:p>
        </w:tc>
        <w:tc>
          <w:tcPr>
            <w:tcW w:type="dxa" w:w="2835"/>
            <w:tcBorders>
              <w:top w:val="single" w:sz="4" w:space="0" w:color="E4DED3"/>
              <w:left w:val="single" w:sz="4" w:space="0" w:color="E4DED3"/>
              <w:bottom w:val="single" w:sz="4" w:space="0" w:color="E4DED3"/>
              <w:right w:val="single" w:sz="4" w:space="0" w:color="E4DED3"/>
            </w:tcBorders>
          </w:tcPr>
          <w:p>
            <w:r>
              <w:rPr>
                <w:sz w:val="18"/>
              </w:rPr>
              <w:t>Loss of the primary region (region-wide AWS outage)</w:t>
            </w:r>
          </w:p>
        </w:tc>
        <w:tc>
          <w:tcPr>
            <w:tcW w:type="dxa" w:w="1134"/>
            <w:tcBorders>
              <w:top w:val="single" w:sz="4" w:space="0" w:color="E4DED3"/>
              <w:left w:val="single" w:sz="4" w:space="0" w:color="E4DED3"/>
              <w:bottom w:val="single" w:sz="4" w:space="0" w:color="E4DED3"/>
              <w:right w:val="single" w:sz="4" w:space="0" w:color="E4DED3"/>
            </w:tcBorders>
          </w:tcPr>
          <w:p>
            <w:r>
              <w:rPr>
                <w:sz w:val="18"/>
              </w:rPr>
              <w:t>Low</w:t>
            </w:r>
          </w:p>
        </w:tc>
        <w:tc>
          <w:tcPr>
            <w:tcW w:type="dxa" w:w="1020"/>
            <w:tcBorders>
              <w:top w:val="single" w:sz="4" w:space="0" w:color="E4DED3"/>
              <w:left w:val="single" w:sz="4" w:space="0" w:color="E4DED3"/>
              <w:bottom w:val="single" w:sz="4" w:space="0" w:color="E4DED3"/>
              <w:right w:val="single" w:sz="4" w:space="0" w:color="E4DED3"/>
            </w:tcBorders>
          </w:tcPr>
          <w:p>
            <w:r>
              <w:rPr>
                <w:sz w:val="18"/>
              </w:rPr>
              <w:t>Critical</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268"/>
            <w:tcBorders>
              <w:top w:val="single" w:sz="4" w:space="0" w:color="E4DED3"/>
              <w:left w:val="single" w:sz="4" w:space="0" w:color="E4DED3"/>
              <w:bottom w:val="single" w:sz="4" w:space="0" w:color="E4DED3"/>
              <w:right w:val="single" w:sz="4" w:space="0" w:color="E4DED3"/>
            </w:tcBorders>
          </w:tcPr>
          <w:p>
            <w:r>
              <w:rPr>
                <w:sz w:val="18"/>
              </w:rPr>
              <w:t>Cross-region recovery capability</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RE2</w:t>
            </w:r>
          </w:p>
        </w:tc>
        <w:tc>
          <w:tcPr>
            <w:tcW w:type="dxa" w:w="2835"/>
            <w:tcBorders>
              <w:top w:val="single" w:sz="4" w:space="0" w:color="E4DED3"/>
              <w:left w:val="single" w:sz="4" w:space="0" w:color="E4DED3"/>
              <w:bottom w:val="single" w:sz="4" w:space="0" w:color="E4DED3"/>
              <w:right w:val="single" w:sz="4" w:space="0" w:color="E4DED3"/>
            </w:tcBorders>
          </w:tcPr>
          <w:p>
            <w:r>
              <w:rPr>
                <w:sz w:val="18"/>
              </w:rPr>
              <w:t>Destructive data loss (corruption or accidental deletion)</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268"/>
            <w:tcBorders>
              <w:top w:val="single" w:sz="4" w:space="0" w:color="E4DED3"/>
              <w:left w:val="single" w:sz="4" w:space="0" w:color="E4DED3"/>
              <w:bottom w:val="single" w:sz="4" w:space="0" w:color="E4DED3"/>
              <w:right w:val="single" w:sz="4" w:space="0" w:color="E4DED3"/>
            </w:tcBorders>
          </w:tcPr>
          <w:p>
            <w:r>
              <w:rPr>
                <w:sz w:val="18"/>
              </w:rPr>
              <w:t>Point-in-time backups (RPO)</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RE3</w:t>
            </w:r>
          </w:p>
        </w:tc>
        <w:tc>
          <w:tcPr>
            <w:tcW w:type="dxa" w:w="2835"/>
            <w:tcBorders>
              <w:top w:val="single" w:sz="4" w:space="0" w:color="E4DED3"/>
              <w:left w:val="single" w:sz="4" w:space="0" w:color="E4DED3"/>
              <w:bottom w:val="single" w:sz="4" w:space="0" w:color="E4DED3"/>
              <w:right w:val="single" w:sz="4" w:space="0" w:color="E4DED3"/>
            </w:tcBorders>
          </w:tcPr>
          <w:p>
            <w:r>
              <w:rPr>
                <w:sz w:val="18"/>
              </w:rPr>
              <w:t>Cyber-security compromise (ransomware / credential abuse)</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Critical</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268"/>
            <w:tcBorders>
              <w:top w:val="single" w:sz="4" w:space="0" w:color="E4DED3"/>
              <w:left w:val="single" w:sz="4" w:space="0" w:color="E4DED3"/>
              <w:bottom w:val="single" w:sz="4" w:space="0" w:color="E4DED3"/>
              <w:right w:val="single" w:sz="4" w:space="0" w:color="E4DED3"/>
            </w:tcBorders>
          </w:tcPr>
          <w:p>
            <w:r>
              <w:rPr>
                <w:sz w:val="18"/>
              </w:rPr>
              <w:t>Isolated, immutable, cross-region backups</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RE4</w:t>
            </w:r>
          </w:p>
        </w:tc>
        <w:tc>
          <w:tcPr>
            <w:tcW w:type="dxa" w:w="2835"/>
            <w:tcBorders>
              <w:top w:val="single" w:sz="4" w:space="0" w:color="E4DED3"/>
              <w:left w:val="single" w:sz="4" w:space="0" w:color="E4DED3"/>
              <w:bottom w:val="single" w:sz="4" w:space="0" w:color="E4DED3"/>
              <w:right w:val="single" w:sz="4" w:space="0" w:color="E4DED3"/>
            </w:tcBorders>
          </w:tcPr>
          <w:p>
            <w:r>
              <w:rPr>
                <w:sz w:val="18"/>
              </w:rPr>
              <w:t>Loss of connectivity between Australia and the India cohort</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Medium</w:t>
            </w:r>
          </w:p>
        </w:tc>
        <w:tc>
          <w:tcPr>
            <w:tcW w:type="dxa" w:w="2268"/>
            <w:tcBorders>
              <w:top w:val="single" w:sz="4" w:space="0" w:color="E4DED3"/>
              <w:left w:val="single" w:sz="4" w:space="0" w:color="E4DED3"/>
              <w:bottom w:val="single" w:sz="4" w:space="0" w:color="E4DED3"/>
              <w:right w:val="single" w:sz="4" w:space="0" w:color="E4DED3"/>
            </w:tcBorders>
          </w:tcPr>
          <w:p>
            <w:r>
              <w:rPr>
                <w:sz w:val="18"/>
              </w:rPr>
              <w:t>Edge delivery + India-region read path</w:t>
            </w:r>
          </w:p>
        </w:tc>
      </w:tr>
    </w:tbl>
    <w:p/>
    <w:p>
      <w:r>
        <w:rPr>
          <w:sz w:val="21"/>
        </w:rPr>
        <w:t>Severity of impact and disruption (PC 2.4): RE1 and RE3 are the most severe — both can take the LMS fully offline and, for RE3, threaten data integrity for both cohorts and breach obligations to the partner. RE2 is contained to the affected data but can still breach the RPO if backups are inadequate. RE4 degrades the India experience without a full outage.</w:t>
      </w:r>
    </w:p>
    <w:p>
      <w:r>
        <w:rPr>
          <w:sz w:val="21"/>
        </w:rPr>
        <w:t>Plan exclusions (PC 2.2): single-component and single-AZ failures are excluded — they are handled by the existing in-region HA design, not this plan. Application-layer faults within the DOODLE software are excluded as a YAT IT responsibility. The plan assumes recovery into at least one healthy AWS region remains possible; a simultaneous loss of both the primary and recovery regions is outside its scope.</w:t>
      </w:r>
    </w:p>
    <w:p>
      <w:r>
        <w:rPr>
          <w:sz w:val="21"/>
        </w:rPr>
        <w:t>Outcomes (PC 2.5): this impact analysis is recorded in YAT ICT shared documentation per the Backup and Retention and Records Management policies, and is the basis for the recovery strategy in §5.</w:t>
      </w:r>
    </w:p>
    <w:p>
      <w:pPr>
        <w:pStyle w:val="Heading1"/>
      </w:pPr>
      <w:r>
        <w:t>5. Recovery Strategy</w:t>
      </w:r>
    </w:p>
    <w:p>
      <w:pPr>
        <w:spacing w:after="120"/>
      </w:pPr>
      <w:r>
        <w:rPr>
          <w:i/>
          <w:color w:val="1F5A5C"/>
          <w:sz w:val="17"/>
        </w:rPr>
        <w:t>Evidences: [ICTCLD501 PC 3.1–3.4] · [ICTCLD501 KE 3, 4]</w:t>
      </w:r>
    </w:p>
    <w:p>
      <w:r>
        <w:rPr>
          <w:sz w:val="21"/>
        </w:rPr>
        <w:t>Range of solutions evaluated (PC 3.1, KE 3): the four standard cloud DR strategies were assessed against the RTO/RPO targets and cost.</w:t>
      </w:r>
    </w:p>
    <w:tbl>
      <w:tblPr>
        <w:tblW w:type="auto" w:w="0"/>
        <w:jc w:val="center"/>
        <w:tblLook w:firstColumn="1" w:firstRow="1" w:lastColumn="0" w:lastRow="0" w:noHBand="0" w:noVBand="1" w:val="04A0"/>
      </w:tblPr>
      <w:tblGrid>
        <w:gridCol w:w="1882"/>
        <w:gridCol w:w="1882"/>
        <w:gridCol w:w="1882"/>
        <w:gridCol w:w="1882"/>
        <w:gridCol w:w="1882"/>
      </w:tblGrid>
      <w:tr>
        <w:tc>
          <w:tcPr>
            <w:tcW w:type="dxa" w:w="249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RTO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RPO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Relative cost</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Fit</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Backup &amp; Restore (recommended)</w:t>
            </w:r>
          </w:p>
        </w:tc>
        <w:tc>
          <w:tcPr>
            <w:tcW w:type="dxa" w:w="1134"/>
            <w:tcBorders>
              <w:top w:val="single" w:sz="4" w:space="0" w:color="E4DED3"/>
              <w:left w:val="single" w:sz="4" w:space="0" w:color="E4DED3"/>
              <w:bottom w:val="single" w:sz="4" w:space="0" w:color="E4DED3"/>
              <w:right w:val="single" w:sz="4" w:space="0" w:color="E4DED3"/>
            </w:tcBorders>
          </w:tcPr>
          <w:p>
            <w:r>
              <w:rPr>
                <w:sz w:val="18"/>
              </w:rPr>
              <w:t>Hours</w:t>
            </w:r>
          </w:p>
        </w:tc>
        <w:tc>
          <w:tcPr>
            <w:tcW w:type="dxa" w:w="1361"/>
            <w:tcBorders>
              <w:top w:val="single" w:sz="4" w:space="0" w:color="E4DED3"/>
              <w:left w:val="single" w:sz="4" w:space="0" w:color="E4DED3"/>
              <w:bottom w:val="single" w:sz="4" w:space="0" w:color="E4DED3"/>
              <w:right w:val="single" w:sz="4" w:space="0" w:color="E4DED3"/>
            </w:tcBorders>
          </w:tcPr>
          <w:p>
            <w:r>
              <w:rPr>
                <w:sz w:val="18"/>
              </w:rPr>
              <w:t>Minutes–1 h</w:t>
            </w:r>
          </w:p>
        </w:tc>
        <w:tc>
          <w:tcPr>
            <w:tcW w:type="dxa" w:w="1361"/>
            <w:tcBorders>
              <w:top w:val="single" w:sz="4" w:space="0" w:color="E4DED3"/>
              <w:left w:val="single" w:sz="4" w:space="0" w:color="E4DED3"/>
              <w:bottom w:val="single" w:sz="4" w:space="0" w:color="E4DED3"/>
              <w:right w:val="single" w:sz="4" w:space="0" w:color="E4DED3"/>
            </w:tcBorders>
          </w:tcPr>
          <w:p>
            <w:r>
              <w:rPr>
                <w:sz w:val="18"/>
              </w:rPr>
              <w:t>Low</w:t>
            </w:r>
          </w:p>
        </w:tc>
        <w:tc>
          <w:tcPr>
            <w:tcW w:type="dxa" w:w="2438"/>
            <w:tcBorders>
              <w:top w:val="single" w:sz="4" w:space="0" w:color="E4DED3"/>
              <w:left w:val="single" w:sz="4" w:space="0" w:color="E4DED3"/>
              <w:bottom w:val="single" w:sz="4" w:space="0" w:color="E4DED3"/>
              <w:right w:val="single" w:sz="4" w:space="0" w:color="E4DED3"/>
            </w:tcBorders>
          </w:tcPr>
          <w:p>
            <w:r>
              <w:rPr>
                <w:sz w:val="18"/>
              </w:rPr>
              <w:t>Meets ≤ 4 h / ≤ 1 h at lowest cost and complexity</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Pilot Light</w:t>
            </w:r>
          </w:p>
        </w:tc>
        <w:tc>
          <w:tcPr>
            <w:tcW w:type="dxa" w:w="1134"/>
            <w:tcBorders>
              <w:top w:val="single" w:sz="4" w:space="0" w:color="E4DED3"/>
              <w:left w:val="single" w:sz="4" w:space="0" w:color="E4DED3"/>
              <w:bottom w:val="single" w:sz="4" w:space="0" w:color="E4DED3"/>
              <w:right w:val="single" w:sz="4" w:space="0" w:color="E4DED3"/>
            </w:tcBorders>
          </w:tcPr>
          <w:p>
            <w:r>
              <w:rPr>
                <w:sz w:val="18"/>
              </w:rPr>
              <w:t>~1 h</w:t>
            </w:r>
          </w:p>
        </w:tc>
        <w:tc>
          <w:tcPr>
            <w:tcW w:type="dxa" w:w="1361"/>
            <w:tcBorders>
              <w:top w:val="single" w:sz="4" w:space="0" w:color="E4DED3"/>
              <w:left w:val="single" w:sz="4" w:space="0" w:color="E4DED3"/>
              <w:bottom w:val="single" w:sz="4" w:space="0" w:color="E4DED3"/>
              <w:right w:val="single" w:sz="4" w:space="0" w:color="E4DED3"/>
            </w:tcBorders>
          </w:tcPr>
          <w:p>
            <w:r>
              <w:rPr>
                <w:sz w:val="18"/>
              </w:rPr>
              <w:t>Minutes</w:t>
            </w:r>
          </w:p>
        </w:tc>
        <w:tc>
          <w:tcPr>
            <w:tcW w:type="dxa" w:w="1361"/>
            <w:tcBorders>
              <w:top w:val="single" w:sz="4" w:space="0" w:color="E4DED3"/>
              <w:left w:val="single" w:sz="4" w:space="0" w:color="E4DED3"/>
              <w:bottom w:val="single" w:sz="4" w:space="0" w:color="E4DED3"/>
              <w:right w:val="single" w:sz="4" w:space="0" w:color="E4DED3"/>
            </w:tcBorders>
          </w:tcPr>
          <w:p>
            <w:r>
              <w:rPr>
                <w:sz w:val="18"/>
              </w:rPr>
              <w:t>Medium</w:t>
            </w:r>
          </w:p>
        </w:tc>
        <w:tc>
          <w:tcPr>
            <w:tcW w:type="dxa" w:w="2438"/>
            <w:tcBorders>
              <w:top w:val="single" w:sz="4" w:space="0" w:color="E4DED3"/>
              <w:left w:val="single" w:sz="4" w:space="0" w:color="E4DED3"/>
              <w:bottom w:val="single" w:sz="4" w:space="0" w:color="E4DED3"/>
              <w:right w:val="single" w:sz="4" w:space="0" w:color="E4DED3"/>
            </w:tcBorders>
          </w:tcPr>
          <w:p>
            <w:r>
              <w:rPr>
                <w:sz w:val="18"/>
              </w:rPr>
              <w:t>Faster than needed; ongoing standby cost</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Warm Standby</w:t>
            </w:r>
          </w:p>
        </w:tc>
        <w:tc>
          <w:tcPr>
            <w:tcW w:type="dxa" w:w="1134"/>
            <w:tcBorders>
              <w:top w:val="single" w:sz="4" w:space="0" w:color="E4DED3"/>
              <w:left w:val="single" w:sz="4" w:space="0" w:color="E4DED3"/>
              <w:bottom w:val="single" w:sz="4" w:space="0" w:color="E4DED3"/>
              <w:right w:val="single" w:sz="4" w:space="0" w:color="E4DED3"/>
            </w:tcBorders>
          </w:tcPr>
          <w:p>
            <w:r>
              <w:rPr>
                <w:sz w:val="18"/>
              </w:rPr>
              <w:t>Minutes</w:t>
            </w:r>
          </w:p>
        </w:tc>
        <w:tc>
          <w:tcPr>
            <w:tcW w:type="dxa" w:w="1361"/>
            <w:tcBorders>
              <w:top w:val="single" w:sz="4" w:space="0" w:color="E4DED3"/>
              <w:left w:val="single" w:sz="4" w:space="0" w:color="E4DED3"/>
              <w:bottom w:val="single" w:sz="4" w:space="0" w:color="E4DED3"/>
              <w:right w:val="single" w:sz="4" w:space="0" w:color="E4DED3"/>
            </w:tcBorders>
          </w:tcPr>
          <w:p>
            <w:r>
              <w:rPr>
                <w:sz w:val="18"/>
              </w:rPr>
              <w:t>Seconds</w:t>
            </w:r>
          </w:p>
        </w:tc>
        <w:tc>
          <w:tcPr>
            <w:tcW w:type="dxa" w:w="1361"/>
            <w:tcBorders>
              <w:top w:val="single" w:sz="4" w:space="0" w:color="E4DED3"/>
              <w:left w:val="single" w:sz="4" w:space="0" w:color="E4DED3"/>
              <w:bottom w:val="single" w:sz="4" w:space="0" w:color="E4DED3"/>
              <w:right w:val="single" w:sz="4" w:space="0" w:color="E4DED3"/>
            </w:tcBorders>
          </w:tcPr>
          <w:p>
            <w:r>
              <w:rPr>
                <w:sz w:val="18"/>
              </w:rPr>
              <w:t>High</w:t>
            </w:r>
          </w:p>
        </w:tc>
        <w:tc>
          <w:tcPr>
            <w:tcW w:type="dxa" w:w="2438"/>
            <w:tcBorders>
              <w:top w:val="single" w:sz="4" w:space="0" w:color="E4DED3"/>
              <w:left w:val="single" w:sz="4" w:space="0" w:color="E4DED3"/>
              <w:bottom w:val="single" w:sz="4" w:space="0" w:color="E4DED3"/>
              <w:right w:val="single" w:sz="4" w:space="0" w:color="E4DED3"/>
            </w:tcBorders>
          </w:tcPr>
          <w:p>
            <w:r>
              <w:rPr>
                <w:sz w:val="18"/>
              </w:rPr>
              <w:t>Exceeds the requirement; not justified</w:t>
            </w:r>
          </w:p>
        </w:tc>
      </w:tr>
      <w:tr>
        <w:tc>
          <w:tcPr>
            <w:tcW w:type="dxa" w:w="2494"/>
            <w:tcBorders>
              <w:top w:val="single" w:sz="4" w:space="0" w:color="E4DED3"/>
              <w:left w:val="single" w:sz="4" w:space="0" w:color="E4DED3"/>
              <w:bottom w:val="single" w:sz="4" w:space="0" w:color="E4DED3"/>
              <w:right w:val="single" w:sz="4" w:space="0" w:color="E4DED3"/>
            </w:tcBorders>
          </w:tcPr>
          <w:p>
            <w:r>
              <w:rPr>
                <w:b/>
                <w:sz w:val="18"/>
              </w:rPr>
              <w:t>Multi-region Active-Active</w:t>
            </w:r>
          </w:p>
        </w:tc>
        <w:tc>
          <w:tcPr>
            <w:tcW w:type="dxa" w:w="1134"/>
            <w:tcBorders>
              <w:top w:val="single" w:sz="4" w:space="0" w:color="E4DED3"/>
              <w:left w:val="single" w:sz="4" w:space="0" w:color="E4DED3"/>
              <w:bottom w:val="single" w:sz="4" w:space="0" w:color="E4DED3"/>
              <w:right w:val="single" w:sz="4" w:space="0" w:color="E4DED3"/>
            </w:tcBorders>
          </w:tcPr>
          <w:p>
            <w:r>
              <w:rPr>
                <w:sz w:val="18"/>
              </w:rPr>
              <w:t>Near-zero</w:t>
            </w:r>
          </w:p>
        </w:tc>
        <w:tc>
          <w:tcPr>
            <w:tcW w:type="dxa" w:w="1361"/>
            <w:tcBorders>
              <w:top w:val="single" w:sz="4" w:space="0" w:color="E4DED3"/>
              <w:left w:val="single" w:sz="4" w:space="0" w:color="E4DED3"/>
              <w:bottom w:val="single" w:sz="4" w:space="0" w:color="E4DED3"/>
              <w:right w:val="single" w:sz="4" w:space="0" w:color="E4DED3"/>
            </w:tcBorders>
          </w:tcPr>
          <w:p>
            <w:r>
              <w:rPr>
                <w:sz w:val="18"/>
              </w:rPr>
              <w:t>Near-zero</w:t>
            </w:r>
          </w:p>
        </w:tc>
        <w:tc>
          <w:tcPr>
            <w:tcW w:type="dxa" w:w="1361"/>
            <w:tcBorders>
              <w:top w:val="single" w:sz="4" w:space="0" w:color="E4DED3"/>
              <w:left w:val="single" w:sz="4" w:space="0" w:color="E4DED3"/>
              <w:bottom w:val="single" w:sz="4" w:space="0" w:color="E4DED3"/>
              <w:right w:val="single" w:sz="4" w:space="0" w:color="E4DED3"/>
            </w:tcBorders>
          </w:tcPr>
          <w:p>
            <w:r>
              <w:rPr>
                <w:sz w:val="18"/>
              </w:rPr>
              <w:t>Very high</w:t>
            </w:r>
          </w:p>
        </w:tc>
        <w:tc>
          <w:tcPr>
            <w:tcW w:type="dxa" w:w="2438"/>
            <w:tcBorders>
              <w:top w:val="single" w:sz="4" w:space="0" w:color="E4DED3"/>
              <w:left w:val="single" w:sz="4" w:space="0" w:color="E4DED3"/>
              <w:bottom w:val="single" w:sz="4" w:space="0" w:color="E4DED3"/>
              <w:right w:val="single" w:sz="4" w:space="0" w:color="E4DED3"/>
            </w:tcBorders>
          </w:tcPr>
          <w:p>
            <w:r>
              <w:rPr>
                <w:sz w:val="18"/>
              </w:rPr>
              <w:t>Far exceeds the requirement; disproportionate</w:t>
            </w:r>
          </w:p>
        </w:tc>
      </w:tr>
    </w:tbl>
    <w:p/>
    <w:p>
      <w:r>
        <w:rPr>
          <w:sz w:val="21"/>
        </w:rPr>
        <w:t>Recommended approach: Backup &amp; Restore into Mumbai (ap-south-1). Automated RDS backups give point-in-time restore (RPO in minutes); a cross-region snapshot copy to the India region runs at least hourly (within the 1-hour RPO) and also satisfies the India log-residency requirement; and the infrastructure-as-code templates rebuild the stack in the recovery region by changing the target-region parameter. This is the simplest strategy that meets the objectives — consistent with the requirement to avoid unnecessary cost and complexity.</w:t>
      </w:r>
    </w:p>
    <w:p>
      <w:r>
        <w:rPr>
          <w:sz w:val="21"/>
        </w:rPr>
        <w:t>Vendor protections and risk prioritisation (PC 3.2): the strategy leans on AWS-native protections — durable snapshots, cross-region copy, a separate backup vault with restricted access for ransomware resistance. Risks are prioritised RE1 (region loss) first — addressed by cross-region recovery — then RE2 (data loss) via point-in-time restore, then RE3 (compromise) via isolated, immutable backups held in a different region.</w:t>
      </w:r>
    </w:p>
    <w:p>
      <w:r>
        <w:rPr>
          <w:sz w:val="21"/>
        </w:rPr>
        <w:t>Insurance (PC 3.3): YAT holds a cyber and business-interruption insurance policy. It was reviewed as a complementary control, not a substitute for recovery: the policy transfers residual financial risk (e.g. breach-response and liability costs) that the technical plan cannot eliminate, while this plan reduces the likelihood and duration of a claimable event. The policy's notification and evidence requirements are noted in the recovery runbook.</w:t>
      </w:r>
    </w:p>
    <w:p>
      <w:r>
        <w:rPr>
          <w:sz w:val="21"/>
        </w:rPr>
        <w:t>Other components (PC 3.4): the strategy also includes a recovery runbook, a declaration and escalation path, a stakeholder communication plan (including the India partner), DNS failover to the recovered endpoint, and the order of recovery across the tiers. The approach aligns with the ICT-continuity standards ISO 22301 and ISO/IEC 27031 (KE 4).</w:t>
      </w:r>
    </w:p>
    <w:p>
      <w:pPr>
        <w:pStyle w:val="Heading1"/>
      </w:pPr>
      <w:r>
        <w:t>6. The Disaster Recovery Plan</w:t>
      </w:r>
    </w:p>
    <w:p>
      <w:pPr>
        <w:spacing w:after="120"/>
      </w:pPr>
      <w:r>
        <w:rPr>
          <w:i/>
          <w:color w:val="1F5A5C"/>
          <w:sz w:val="17"/>
        </w:rPr>
        <w:t>Evidences: [ICTCLD501 PC 4.1–4.3] · [ICTCLD501 PE 3] · [ICTCLD501 KE 6]</w:t>
      </w:r>
    </w:p>
    <w:p>
      <w:r>
        <w:rPr>
          <w:sz w:val="21"/>
        </w:rPr>
        <w:t>Alignment to risk (PC 4.1): the recovery actions below are aligned to the prioritised risks from §4 — the cross-region rebuild answers RE1, the point-in-time restore answers RE2, and restoring from the isolated backup vault answers RE3.</w:t>
      </w:r>
    </w:p>
    <w:p>
      <w:r>
        <w:rPr>
          <w:sz w:val="21"/>
        </w:rPr>
        <w:t>Detection and alerting (KE 6): a region-level event is detected by CloudWatch alarms, the AWS Health Dashboard, and the availability monitoring on the audit-log path; breaching the detection threshold pages the on-call YAT ICT officer, who declares a disaster and starts the runbook.</w:t>
      </w:r>
    </w:p>
    <w:p>
      <w:r>
        <w:rPr>
          <w:sz w:val="21"/>
        </w:rPr>
        <w:t>Recovery steps, timelines and service providers (PC 4.2):</w:t>
      </w:r>
    </w:p>
    <w:tbl>
      <w:tblPr>
        <w:tblW w:type="auto" w:w="0"/>
        <w:jc w:val="center"/>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Step</w:t>
            </w:r>
          </w:p>
        </w:tc>
        <w:tc>
          <w:tcPr>
            <w:tcW w:type="dxa" w:w="470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Owner</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 (cumulative)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1</w:t>
            </w:r>
          </w:p>
        </w:tc>
        <w:tc>
          <w:tcPr>
            <w:tcW w:type="dxa" w:w="4706"/>
            <w:tcBorders>
              <w:top w:val="single" w:sz="4" w:space="0" w:color="E4DED3"/>
              <w:left w:val="single" w:sz="4" w:space="0" w:color="E4DED3"/>
              <w:bottom w:val="single" w:sz="4" w:space="0" w:color="E4DED3"/>
              <w:right w:val="single" w:sz="4" w:space="0" w:color="E4DED3"/>
            </w:tcBorders>
          </w:tcPr>
          <w:p>
            <w:r>
              <w:rPr>
                <w:sz w:val="18"/>
              </w:rPr>
              <w:t>Detect and declare the disaster; notify stakeholders and the India partner</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 on-call</w:t>
            </w:r>
          </w:p>
        </w:tc>
        <w:tc>
          <w:tcPr>
            <w:tcW w:type="dxa" w:w="1814"/>
            <w:tcBorders>
              <w:top w:val="single" w:sz="4" w:space="0" w:color="E4DED3"/>
              <w:left w:val="single" w:sz="4" w:space="0" w:color="E4DED3"/>
              <w:bottom w:val="single" w:sz="4" w:space="0" w:color="E4DED3"/>
              <w:right w:val="single" w:sz="4" w:space="0" w:color="E4DED3"/>
            </w:tcBorders>
          </w:tcPr>
          <w:p>
            <w:r>
              <w:rPr>
                <w:sz w:val="18"/>
              </w:rPr>
              <w:t>0:20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2</w:t>
            </w:r>
          </w:p>
        </w:tc>
        <w:tc>
          <w:tcPr>
            <w:tcW w:type="dxa" w:w="4706"/>
            <w:tcBorders>
              <w:top w:val="single" w:sz="4" w:space="0" w:color="E4DED3"/>
              <w:left w:val="single" w:sz="4" w:space="0" w:color="E4DED3"/>
              <w:bottom w:val="single" w:sz="4" w:space="0" w:color="E4DED3"/>
              <w:right w:val="single" w:sz="4" w:space="0" w:color="E4DED3"/>
            </w:tcBorders>
          </w:tcPr>
          <w:p>
            <w:r>
              <w:rPr>
                <w:sz w:val="18"/>
              </w:rPr>
              <w:t>Provision the recovery stack in ap-south-1 from the IaC templates (region parameter = ap-south-1)</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1:30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3</w:t>
            </w:r>
          </w:p>
        </w:tc>
        <w:tc>
          <w:tcPr>
            <w:tcW w:type="dxa" w:w="4706"/>
            <w:tcBorders>
              <w:top w:val="single" w:sz="4" w:space="0" w:color="E4DED3"/>
              <w:left w:val="single" w:sz="4" w:space="0" w:color="E4DED3"/>
              <w:bottom w:val="single" w:sz="4" w:space="0" w:color="E4DED3"/>
              <w:right w:val="single" w:sz="4" w:space="0" w:color="E4DED3"/>
            </w:tcBorders>
          </w:tcPr>
          <w:p>
            <w:r>
              <w:rPr>
                <w:sz w:val="18"/>
              </w:rPr>
              <w:t>Restore the database from the latest cross-region snapshot / point-in-time copy</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2:45</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4</w:t>
            </w:r>
          </w:p>
        </w:tc>
        <w:tc>
          <w:tcPr>
            <w:tcW w:type="dxa" w:w="4706"/>
            <w:tcBorders>
              <w:top w:val="single" w:sz="4" w:space="0" w:color="E4DED3"/>
              <w:left w:val="single" w:sz="4" w:space="0" w:color="E4DED3"/>
              <w:bottom w:val="single" w:sz="4" w:space="0" w:color="E4DED3"/>
              <w:right w:val="single" w:sz="4" w:space="0" w:color="E4DED3"/>
            </w:tcBorders>
          </w:tcPr>
          <w:p>
            <w:r>
              <w:rPr>
                <w:sz w:val="18"/>
              </w:rPr>
              <w:t>Confirm the India-resident audit/access-log store is in place and receiving events</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3:00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5</w:t>
            </w:r>
          </w:p>
        </w:tc>
        <w:tc>
          <w:tcPr>
            <w:tcW w:type="dxa" w:w="4706"/>
            <w:tcBorders>
              <w:top w:val="single" w:sz="4" w:space="0" w:color="E4DED3"/>
              <w:left w:val="single" w:sz="4" w:space="0" w:color="E4DED3"/>
              <w:bottom w:val="single" w:sz="4" w:space="0" w:color="E4DED3"/>
              <w:right w:val="single" w:sz="4" w:space="0" w:color="E4DED3"/>
            </w:tcBorders>
          </w:tcPr>
          <w:p>
            <w:r>
              <w:rPr>
                <w:sz w:val="18"/>
              </w:rPr>
              <w:t>Validate connectivity and core LMS functions; smoke-test both cohorts</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3:30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6</w:t>
            </w:r>
          </w:p>
        </w:tc>
        <w:tc>
          <w:tcPr>
            <w:tcW w:type="dxa" w:w="4706"/>
            <w:tcBorders>
              <w:top w:val="single" w:sz="4" w:space="0" w:color="E4DED3"/>
              <w:left w:val="single" w:sz="4" w:space="0" w:color="E4DED3"/>
              <w:bottom w:val="single" w:sz="4" w:space="0" w:color="E4DED3"/>
              <w:right w:val="single" w:sz="4" w:space="0" w:color="E4DED3"/>
            </w:tcBorders>
          </w:tcPr>
          <w:p>
            <w:r>
              <w:rPr>
                <w:sz w:val="18"/>
              </w:rPr>
              <w:t>Cut DNS over to the recovered endpoint; confirm users are served</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3:50</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7</w:t>
            </w:r>
          </w:p>
        </w:tc>
        <w:tc>
          <w:tcPr>
            <w:tcW w:type="dxa" w:w="4706"/>
            <w:tcBorders>
              <w:top w:val="single" w:sz="4" w:space="0" w:color="E4DED3"/>
              <w:left w:val="single" w:sz="4" w:space="0" w:color="E4DED3"/>
              <w:bottom w:val="single" w:sz="4" w:space="0" w:color="E4DED3"/>
              <w:right w:val="single" w:sz="4" w:space="0" w:color="E4DED3"/>
            </w:tcBorders>
          </w:tcPr>
          <w:p>
            <w:r>
              <w:rPr>
                <w:sz w:val="18"/>
              </w:rPr>
              <w:t>Post-recovery confirmation, CERT-In/insurer notifications as required, incident log</w:t>
            </w:r>
          </w:p>
        </w:tc>
        <w:tc>
          <w:tcPr>
            <w:tcW w:type="dxa" w:w="1701"/>
            <w:tcBorders>
              <w:top w:val="single" w:sz="4" w:space="0" w:color="E4DED3"/>
              <w:left w:val="single" w:sz="4" w:space="0" w:color="E4DED3"/>
              <w:bottom w:val="single" w:sz="4" w:space="0" w:color="E4DED3"/>
              <w:right w:val="single" w:sz="4" w:space="0" w:color="E4DED3"/>
            </w:tcBorders>
          </w:tcPr>
          <w:p>
            <w:r>
              <w:rPr>
                <w:sz w:val="18"/>
              </w:rPr>
              <w:t>YAT ICT</w:t>
            </w:r>
          </w:p>
        </w:tc>
        <w:tc>
          <w:tcPr>
            <w:tcW w:type="dxa" w:w="1814"/>
            <w:tcBorders>
              <w:top w:val="single" w:sz="4" w:space="0" w:color="E4DED3"/>
              <w:left w:val="single" w:sz="4" w:space="0" w:color="E4DED3"/>
              <w:bottom w:val="single" w:sz="4" w:space="0" w:color="E4DED3"/>
              <w:right w:val="single" w:sz="4" w:space="0" w:color="E4DED3"/>
            </w:tcBorders>
          </w:tcPr>
          <w:p>
            <w:r>
              <w:rPr>
                <w:sz w:val="18"/>
              </w:rPr>
              <w:t>4:00</w:t>
            </w:r>
          </w:p>
        </w:tc>
      </w:tr>
    </w:tbl>
    <w:p/>
    <w:p>
      <w:r>
        <w:rPr>
          <w:sz w:val="21"/>
        </w:rPr>
        <w:t>How the plan meets the objectives (PE 3): RPO ≤ 1 h is met because point-in-time backups and the at-least-hourly cross-region copy cap data loss below one hour; RTO ≤ 4 h is met because the templated rebuild and the database restore complete inside the four-hour budget, as the step timeline shows. Service providers in the plan are AWS (regional infrastructure and recovery services), YAT ICT (declares and executes recovery), and MTS (designed the plan and handed it over).</w:t>
      </w:r>
    </w:p>
    <w:p>
      <w:r>
        <w:rPr>
          <w:sz w:val="21"/>
        </w:rPr>
        <w:t>Documentation (PC 4.3): this plan is the documented disaster recovery plan; it is versioned, lodged, and reviewed as set out in §7.</w:t>
      </w:r>
    </w:p>
    <w:p>
      <w:pPr>
        <w:pStyle w:val="Heading1"/>
      </w:pPr>
      <w:r>
        <w:t>7. Plan Validation and Approval</w:t>
      </w:r>
    </w:p>
    <w:p>
      <w:pPr>
        <w:spacing w:after="120"/>
      </w:pPr>
      <w:r>
        <w:rPr>
          <w:i/>
          <w:color w:val="1F5A5C"/>
          <w:sz w:val="17"/>
        </w:rPr>
        <w:t>Evidences: [ICTCLD501 PC 5.1–5.4]</w:t>
      </w:r>
    </w:p>
    <w:p>
      <w:r>
        <w:rPr>
          <w:sz w:val="21"/>
        </w:rPr>
        <w:t>Walkthrough (PC 5.1): the plan was presented to the YAT ICT Manager and stakeholders in a verbal walkthrough, including a tabletop run of the RE1 region-loss scenario against the §6 steps, which confirmed the actions and that the timeline stays within the four-hour RTO.</w:t>
      </w:r>
    </w:p>
    <w:p>
      <w:r>
        <w:rPr>
          <w:sz w:val="21"/>
        </w:rPr>
        <w:t>Feedback sought and responded to (PC 5.2):</w:t>
      </w:r>
    </w:p>
    <w:tbl>
      <w:tblPr>
        <w:tblW w:type="auto" w:w="0"/>
        <w:jc w:val="center"/>
        <w:tblLook w:firstColumn="1" w:firstRow="1" w:lastColumn="0" w:lastRow="0" w:noHBand="0" w:noVBand="1" w:val="04A0"/>
      </w:tblPr>
      <w:tblGrid>
        <w:gridCol w:w="2353"/>
        <w:gridCol w:w="2353"/>
        <w:gridCol w:w="2353"/>
        <w:gridCol w:w="2353"/>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From</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Resulting action</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Confirm the India access logs remain in India during a recovery, not just in normal running</w:t>
            </w:r>
          </w:p>
        </w:tc>
        <w:tc>
          <w:tcPr>
            <w:tcW w:type="dxa" w:w="1701"/>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2438"/>
            <w:tcBorders>
              <w:top w:val="single" w:sz="4" w:space="0" w:color="E4DED3"/>
              <w:left w:val="single" w:sz="4" w:space="0" w:color="E4DED3"/>
              <w:bottom w:val="single" w:sz="4" w:space="0" w:color="E4DED3"/>
              <w:right w:val="single" w:sz="4" w:space="0" w:color="E4DED3"/>
            </w:tcBorders>
          </w:tcPr>
          <w:p>
            <w:r>
              <w:rPr>
                <w:sz w:val="18"/>
              </w:rPr>
              <w:t>Confirmed — the recovery region is the India region (ap-south-1), so the logs stay in-country throughout</w:t>
            </w:r>
          </w:p>
        </w:tc>
        <w:tc>
          <w:tcPr>
            <w:tcW w:type="dxa" w:w="1701"/>
            <w:tcBorders>
              <w:top w:val="single" w:sz="4" w:space="0" w:color="E4DED3"/>
              <w:left w:val="single" w:sz="4" w:space="0" w:color="E4DED3"/>
              <w:bottom w:val="single" w:sz="4" w:space="0" w:color="E4DED3"/>
              <w:right w:val="single" w:sz="4" w:space="0" w:color="E4DED3"/>
            </w:tcBorders>
          </w:tcPr>
          <w:p>
            <w:r>
              <w:rPr>
                <w:sz w:val="18"/>
              </w:rPr>
              <w:t>Clarified in §5 and §6 step 4</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Check the recovery cost is proportionate</w:t>
            </w:r>
          </w:p>
        </w:tc>
        <w:tc>
          <w:tcPr>
            <w:tcW w:type="dxa" w:w="1701"/>
            <w:tcBorders>
              <w:top w:val="single" w:sz="4" w:space="0" w:color="E4DED3"/>
              <w:left w:val="single" w:sz="4" w:space="0" w:color="E4DED3"/>
              <w:bottom w:val="single" w:sz="4" w:space="0" w:color="E4DED3"/>
              <w:right w:val="single" w:sz="4" w:space="0" w:color="E4DED3"/>
            </w:tcBorders>
          </w:tcPr>
          <w:p>
            <w:r>
              <w:rPr>
                <w:sz w:val="18"/>
              </w:rPr>
              <w:t>Robin Ng (CFO)</w:t>
            </w:r>
          </w:p>
        </w:tc>
        <w:tc>
          <w:tcPr>
            <w:tcW w:type="dxa" w:w="2438"/>
            <w:tcBorders>
              <w:top w:val="single" w:sz="4" w:space="0" w:color="E4DED3"/>
              <w:left w:val="single" w:sz="4" w:space="0" w:color="E4DED3"/>
              <w:bottom w:val="single" w:sz="4" w:space="0" w:color="E4DED3"/>
              <w:right w:val="single" w:sz="4" w:space="0" w:color="E4DED3"/>
            </w:tcBorders>
          </w:tcPr>
          <w:p>
            <w:r>
              <w:rPr>
                <w:sz w:val="18"/>
              </w:rPr>
              <w:t>Backup-and-restore was chosen specifically as the lowest-cost option meeting the objectives (§5)</w:t>
            </w:r>
          </w:p>
        </w:tc>
        <w:tc>
          <w:tcPr>
            <w:tcW w:type="dxa" w:w="1701"/>
            <w:tcBorders>
              <w:top w:val="single" w:sz="4" w:space="0" w:color="E4DED3"/>
              <w:left w:val="single" w:sz="4" w:space="0" w:color="E4DED3"/>
              <w:bottom w:val="single" w:sz="4" w:space="0" w:color="E4DED3"/>
              <w:right w:val="single" w:sz="4" w:space="0" w:color="E4DED3"/>
            </w:tcBorders>
          </w:tcPr>
          <w:p>
            <w:r>
              <w:rPr>
                <w:sz w:val="18"/>
              </w:rPr>
              <w:t>Cost rationale recorded in §5</w:t>
            </w:r>
          </w:p>
        </w:tc>
      </w:tr>
    </w:tbl>
    <w:p/>
    <w:p>
      <w:r>
        <w:rPr>
          <w:sz w:val="21"/>
        </w:rPr>
        <w:t>Lodgement (PC 5.3): the approved plan is lodged in YAT ICT shared documentation under the Records Management Policy and registered against the Change Management Procedure, with a review on each major architecture change and at least annually.</w:t>
      </w:r>
    </w:p>
    <w:p>
      <w:r>
        <w:rPr>
          <w:sz w:val="21"/>
        </w:rPr>
        <w:t>Sign-off (PC 5.4):</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Approved for submission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DR Plan accepted — objectives, strategy and recovery steps confirmed; cleared to proceed to implementation</w:t>
            </w:r>
          </w:p>
        </w:tc>
      </w:tr>
    </w:tbl>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Disaster Recovery Plan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Global Expansion &amp; Disaster Recovery</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LMS Global Expansion Solution Design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LMS Global Expansion Deployment Report (Phase 2 implementation)</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