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YAT Website Global Expansion — Solution Design</w:t>
      </w:r>
    </w:p>
    <w:p>
      <w:r>
        <w:rPr>
          <w:i/>
          <w:color w:val="6B6660"/>
          <w:sz w:val="20"/>
        </w:rPr>
        <w:t>Assessor exemplar — internal marking reference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Website Global Expansion &amp; Disaster Recovery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YAT-MTS-2026-003</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Dana Mercer (Marketing &amp; Admissions Manager) · Pat Lin (MTS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Functional &amp; Non-Functional Requirements; Data Residency &amp; Sovereignty Requirements; Website Cloud Architecture — HA-Hardened Design (baseline); companion Disaster Recovery Plan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pPr>
        <w:spacing w:after="120"/>
      </w:pPr>
      <w:r>
        <w:rPr>
          <w:i/>
          <w:color w:val="1F5A5C"/>
          <w:sz w:val="17"/>
        </w:rPr>
        <w:t>Evidences: [ICTCLD503 PC 1.1] determine and confirm cloud web-scaling needs</w:t>
      </w:r>
    </w:p>
    <w:p>
      <w:r>
        <w:rPr>
          <w:sz w:val="21"/>
        </w:rPr>
        <w:t>This Solution Design sets out the architecture changes that prepare the YAT public website to serve the new India-campus market alongside its existing Australian audience. The website is YAT's public, unauthenticated shopfront — its users are anonymous visitors arriving from the open internet and from search engines. Two changes are required: (1) scale the website to serve a global, anonymous public audience while maintaining availability and security, and (2) add a microservice that records India-cohort access events to a store held in India, meeting the data-residency requirements. This design is the basis for the Phase 2 implementation (the Deployment Report) and for the companion Disaster Recovery Plan.</w:t>
      </w:r>
    </w:p>
    <w:p>
      <w:r>
        <w:rPr>
          <w:sz w:val="21"/>
        </w:rPr>
        <w:t>In scope: the web-tier scaling design (edge delivery, caching, public-traffic protection) and the audit-log microservice design. Out of scope: disaster recovery (the companion DR Plan), the build and its evidence (the Phase 2 Deployment Report), and the legal determination of the residency obligations (owned by YAT compliance — this design treats them as fixed inputs).</w:t>
      </w:r>
    </w:p>
    <w:p>
      <w:pPr>
        <w:pStyle w:val="Heading1"/>
      </w:pPr>
      <w:r>
        <w:t>2. Design Inputs and Requirements</w:t>
      </w:r>
    </w:p>
    <w:p>
      <w:pPr>
        <w:pStyle w:val="Heading3"/>
      </w:pPr>
      <w:r>
        <w:t>2.1 Inputs</w:t>
      </w:r>
    </w:p>
    <w:p>
      <w:pPr>
        <w:spacing w:after="120"/>
      </w:pPr>
      <w:r>
        <w:rPr>
          <w:i/>
          <w:color w:val="1F5A5C"/>
          <w:sz w:val="17"/>
        </w:rPr>
        <w:t>Evidences: [ICTCLD503 PC 1.1] confirm web-scaling needs according to business needs</w:t>
      </w:r>
    </w:p>
    <w:p>
      <w:r>
        <w:rPr>
          <w:sz w:val="21"/>
        </w:rPr>
        <w:t>This design is built from the Functional &amp; Non-Functional Requirements, the Data Residency &amp; Sovereignty Requirements, the Website Specification, and the existing HA-Hardened Solution Design (the baseline). The partnership opens the website to a large new market of anonymous prospective students far from the Sydney region, so the website must serve that audience with acceptable latency, absorb a higher and spikier public read load, stay discoverable in search, and preserve its availability and security under greater public exposure.</w:t>
      </w:r>
    </w:p>
    <w:p>
      <w:pPr>
        <w:pStyle w:val="Heading3"/>
      </w:pPr>
      <w:r>
        <w:t>2.2 Requirements the design must meet</w:t>
      </w:r>
    </w:p>
    <w:tbl>
      <w:tblPr>
        <w:tblW w:type="auto" w:w="0"/>
        <w:jc w:val="center"/>
        <w:tblLook w:firstColumn="1" w:firstRow="1" w:lastColumn="0" w:lastRow="0" w:noHBand="0" w:noVBand="1" w:val="04A0"/>
      </w:tblPr>
      <w:tblGrid>
        <w:gridCol w:w="3137"/>
        <w:gridCol w:w="3137"/>
        <w:gridCol w:w="3137"/>
      </w:tblGrid>
      <w:tr>
        <w:tc>
          <w:tcPr>
            <w:tcW w:type="dxa" w:w="79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Ref</w:t>
            </w:r>
          </w:p>
        </w:tc>
        <w:tc>
          <w:tcPr>
            <w:tcW w:type="dxa" w:w="487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794"/>
            <w:tcBorders>
              <w:top w:val="single" w:sz="4" w:space="0" w:color="E4DED3"/>
              <w:left w:val="single" w:sz="4" w:space="0" w:color="E4DED3"/>
              <w:bottom w:val="single" w:sz="4" w:space="0" w:color="E4DED3"/>
              <w:right w:val="single" w:sz="4" w:space="0" w:color="E4DED3"/>
            </w:tcBorders>
          </w:tcPr>
          <w:p>
            <w:r>
              <w:rPr>
                <w:b/>
                <w:sz w:val="18"/>
              </w:rPr>
              <w:t>R1</w:t>
            </w:r>
          </w:p>
        </w:tc>
        <w:tc>
          <w:tcPr>
            <w:tcW w:type="dxa" w:w="4876"/>
            <w:tcBorders>
              <w:top w:val="single" w:sz="4" w:space="0" w:color="E4DED3"/>
              <w:left w:val="single" w:sz="4" w:space="0" w:color="E4DED3"/>
              <w:bottom w:val="single" w:sz="4" w:space="0" w:color="E4DED3"/>
              <w:right w:val="single" w:sz="4" w:space="0" w:color="E4DED3"/>
            </w:tcBorders>
          </w:tcPr>
          <w:p>
            <w:r>
              <w:rPr>
                <w:sz w:val="18"/>
              </w:rPr>
              <w:t>Serve a global, anonymous public audience (AU + India) with acceptable latency</w:t>
            </w:r>
          </w:p>
        </w:tc>
        <w:tc>
          <w:tcPr>
            <w:tcW w:type="dxa" w:w="3402"/>
            <w:tcBorders>
              <w:top w:val="single" w:sz="4" w:space="0" w:color="E4DED3"/>
              <w:left w:val="single" w:sz="4" w:space="0" w:color="E4DED3"/>
              <w:bottom w:val="single" w:sz="4" w:space="0" w:color="E4DED3"/>
              <w:right w:val="single" w:sz="4" w:space="0" w:color="E4DED3"/>
            </w:tcBorders>
          </w:tcPr>
          <w:p>
            <w:r>
              <w:rPr>
                <w:sz w:val="18"/>
              </w:rPr>
              <w:t>Functional &amp; Non-Functional Requirements</w:t>
            </w:r>
          </w:p>
        </w:tc>
      </w:tr>
      <w:tr>
        <w:tc>
          <w:tcPr>
            <w:tcW w:type="dxa" w:w="794"/>
            <w:tcBorders>
              <w:top w:val="single" w:sz="4" w:space="0" w:color="E4DED3"/>
              <w:left w:val="single" w:sz="4" w:space="0" w:color="E4DED3"/>
              <w:bottom w:val="single" w:sz="4" w:space="0" w:color="E4DED3"/>
              <w:right w:val="single" w:sz="4" w:space="0" w:color="E4DED3"/>
            </w:tcBorders>
          </w:tcPr>
          <w:p>
            <w:r>
              <w:rPr>
                <w:b/>
                <w:sz w:val="18"/>
              </w:rPr>
              <w:t>R2</w:t>
            </w:r>
          </w:p>
        </w:tc>
        <w:tc>
          <w:tcPr>
            <w:tcW w:type="dxa" w:w="4876"/>
            <w:tcBorders>
              <w:top w:val="single" w:sz="4" w:space="0" w:color="E4DED3"/>
              <w:left w:val="single" w:sz="4" w:space="0" w:color="E4DED3"/>
              <w:bottom w:val="single" w:sz="4" w:space="0" w:color="E4DED3"/>
              <w:right w:val="single" w:sz="4" w:space="0" w:color="E4DED3"/>
            </w:tcBorders>
          </w:tcPr>
          <w:p>
            <w:r>
              <w:rPr>
                <w:sz w:val="18"/>
              </w:rPr>
              <w:t>Scale network, compute and storage as utilisation increases</w:t>
            </w:r>
          </w:p>
        </w:tc>
        <w:tc>
          <w:tcPr>
            <w:tcW w:type="dxa" w:w="3402"/>
            <w:tcBorders>
              <w:top w:val="single" w:sz="4" w:space="0" w:color="E4DED3"/>
              <w:left w:val="single" w:sz="4" w:space="0" w:color="E4DED3"/>
              <w:bottom w:val="single" w:sz="4" w:space="0" w:color="E4DED3"/>
              <w:right w:val="single" w:sz="4" w:space="0" w:color="E4DED3"/>
            </w:tcBorders>
          </w:tcPr>
          <w:p>
            <w:r>
              <w:rPr>
                <w:sz w:val="18"/>
              </w:rPr>
              <w:t>Functional &amp; Non-Functional Requirements</w:t>
            </w:r>
          </w:p>
        </w:tc>
      </w:tr>
      <w:tr>
        <w:tc>
          <w:tcPr>
            <w:tcW w:type="dxa" w:w="794"/>
            <w:tcBorders>
              <w:top w:val="single" w:sz="4" w:space="0" w:color="E4DED3"/>
              <w:left w:val="single" w:sz="4" w:space="0" w:color="E4DED3"/>
              <w:bottom w:val="single" w:sz="4" w:space="0" w:color="E4DED3"/>
              <w:right w:val="single" w:sz="4" w:space="0" w:color="E4DED3"/>
            </w:tcBorders>
          </w:tcPr>
          <w:p>
            <w:r>
              <w:rPr>
                <w:b/>
                <w:sz w:val="18"/>
              </w:rPr>
              <w:t>R3</w:t>
            </w:r>
          </w:p>
        </w:tc>
        <w:tc>
          <w:tcPr>
            <w:tcW w:type="dxa" w:w="4876"/>
            <w:tcBorders>
              <w:top w:val="single" w:sz="4" w:space="0" w:color="E4DED3"/>
              <w:left w:val="single" w:sz="4" w:space="0" w:color="E4DED3"/>
              <w:bottom w:val="single" w:sz="4" w:space="0" w:color="E4DED3"/>
              <w:right w:val="single" w:sz="4" w:space="0" w:color="E4DED3"/>
            </w:tcBorders>
          </w:tcPr>
          <w:p>
            <w:r>
              <w:rPr>
                <w:sz w:val="18"/>
              </w:rPr>
              <w:t>Maintain availability (&gt;= 99.9%) and security through the changes</w:t>
            </w:r>
          </w:p>
        </w:tc>
        <w:tc>
          <w:tcPr>
            <w:tcW w:type="dxa" w:w="3402"/>
            <w:tcBorders>
              <w:top w:val="single" w:sz="4" w:space="0" w:color="E4DED3"/>
              <w:left w:val="single" w:sz="4" w:space="0" w:color="E4DED3"/>
              <w:bottom w:val="single" w:sz="4" w:space="0" w:color="E4DED3"/>
              <w:right w:val="single" w:sz="4" w:space="0" w:color="E4DED3"/>
            </w:tcBorders>
          </w:tcPr>
          <w:p>
            <w:r>
              <w:rPr>
                <w:sz w:val="18"/>
              </w:rPr>
              <w:t>Requirements / Baseline Design</w:t>
            </w:r>
          </w:p>
        </w:tc>
      </w:tr>
      <w:tr>
        <w:tc>
          <w:tcPr>
            <w:tcW w:type="dxa" w:w="794"/>
            <w:tcBorders>
              <w:top w:val="single" w:sz="4" w:space="0" w:color="E4DED3"/>
              <w:left w:val="single" w:sz="4" w:space="0" w:color="E4DED3"/>
              <w:bottom w:val="single" w:sz="4" w:space="0" w:color="E4DED3"/>
              <w:right w:val="single" w:sz="4" w:space="0" w:color="E4DED3"/>
            </w:tcBorders>
          </w:tcPr>
          <w:p>
            <w:r>
              <w:rPr>
                <w:b/>
                <w:sz w:val="18"/>
              </w:rPr>
              <w:t>R4</w:t>
            </w:r>
          </w:p>
        </w:tc>
        <w:tc>
          <w:tcPr>
            <w:tcW w:type="dxa" w:w="4876"/>
            <w:tcBorders>
              <w:top w:val="single" w:sz="4" w:space="0" w:color="E4DED3"/>
              <w:left w:val="single" w:sz="4" w:space="0" w:color="E4DED3"/>
              <w:bottom w:val="single" w:sz="4" w:space="0" w:color="E4DED3"/>
              <w:right w:val="single" w:sz="4" w:space="0" w:color="E4DED3"/>
            </w:tcBorders>
          </w:tcPr>
          <w:p>
            <w:r>
              <w:rPr>
                <w:sz w:val="18"/>
              </w:rPr>
              <w:t>Protect the public attack surface (web exploits, bots, DDoS) and stay search-discoverable</w:t>
            </w:r>
          </w:p>
        </w:tc>
        <w:tc>
          <w:tcPr>
            <w:tcW w:type="dxa" w:w="3402"/>
            <w:tcBorders>
              <w:top w:val="single" w:sz="4" w:space="0" w:color="E4DED3"/>
              <w:left w:val="single" w:sz="4" w:space="0" w:color="E4DED3"/>
              <w:bottom w:val="single" w:sz="4" w:space="0" w:color="E4DED3"/>
              <w:right w:val="single" w:sz="4" w:space="0" w:color="E4DED3"/>
            </w:tcBorders>
          </w:tcPr>
          <w:p>
            <w:r>
              <w:rPr>
                <w:sz w:val="18"/>
              </w:rPr>
              <w:t>Functional &amp; Non-Functional Requirements</w:t>
            </w:r>
          </w:p>
        </w:tc>
      </w:tr>
      <w:tr>
        <w:tc>
          <w:tcPr>
            <w:tcW w:type="dxa" w:w="794"/>
            <w:tcBorders>
              <w:top w:val="single" w:sz="4" w:space="0" w:color="E4DED3"/>
              <w:left w:val="single" w:sz="4" w:space="0" w:color="E4DED3"/>
              <w:bottom w:val="single" w:sz="4" w:space="0" w:color="E4DED3"/>
              <w:right w:val="single" w:sz="4" w:space="0" w:color="E4DED3"/>
            </w:tcBorders>
          </w:tcPr>
          <w:p>
            <w:r>
              <w:rPr>
                <w:b/>
                <w:sz w:val="18"/>
              </w:rPr>
              <w:t>R5</w:t>
            </w:r>
          </w:p>
        </w:tc>
        <w:tc>
          <w:tcPr>
            <w:tcW w:type="dxa" w:w="4876"/>
            <w:tcBorders>
              <w:top w:val="single" w:sz="4" w:space="0" w:color="E4DED3"/>
              <w:left w:val="single" w:sz="4" w:space="0" w:color="E4DED3"/>
              <w:bottom w:val="single" w:sz="4" w:space="0" w:color="E4DED3"/>
              <w:right w:val="single" w:sz="4" w:space="0" w:color="E4DED3"/>
            </w:tcBorders>
          </w:tcPr>
          <w:p>
            <w:r>
              <w:rPr>
                <w:sz w:val="18"/>
              </w:rPr>
              <w:t>India-cohort access logs retained in India (&gt;= 180 days)</w:t>
            </w:r>
          </w:p>
        </w:tc>
        <w:tc>
          <w:tcPr>
            <w:tcW w:type="dxa" w:w="3402"/>
            <w:tcBorders>
              <w:top w:val="single" w:sz="4" w:space="0" w:color="E4DED3"/>
              <w:left w:val="single" w:sz="4" w:space="0" w:color="E4DED3"/>
              <w:bottom w:val="single" w:sz="4" w:space="0" w:color="E4DED3"/>
              <w:right w:val="single" w:sz="4" w:space="0" w:color="E4DED3"/>
            </w:tcBorders>
          </w:tcPr>
          <w:p>
            <w:r>
              <w:rPr>
                <w:sz w:val="18"/>
              </w:rPr>
              <w:t>Data Residency Requirements (CERT-In)</w:t>
            </w:r>
          </w:p>
        </w:tc>
      </w:tr>
      <w:tr>
        <w:tc>
          <w:tcPr>
            <w:tcW w:type="dxa" w:w="794"/>
            <w:tcBorders>
              <w:top w:val="single" w:sz="4" w:space="0" w:color="E4DED3"/>
              <w:left w:val="single" w:sz="4" w:space="0" w:color="E4DED3"/>
              <w:bottom w:val="single" w:sz="4" w:space="0" w:color="E4DED3"/>
              <w:right w:val="single" w:sz="4" w:space="0" w:color="E4DED3"/>
            </w:tcBorders>
          </w:tcPr>
          <w:p>
            <w:r>
              <w:rPr>
                <w:b/>
                <w:sz w:val="18"/>
              </w:rPr>
              <w:t>R6</w:t>
            </w:r>
          </w:p>
        </w:tc>
        <w:tc>
          <w:tcPr>
            <w:tcW w:type="dxa" w:w="4876"/>
            <w:tcBorders>
              <w:top w:val="single" w:sz="4" w:space="0" w:color="E4DED3"/>
              <w:left w:val="single" w:sz="4" w:space="0" w:color="E4DED3"/>
              <w:bottom w:val="single" w:sz="4" w:space="0" w:color="E4DED3"/>
              <w:right w:val="single" w:sz="4" w:space="0" w:color="E4DED3"/>
            </w:tcBorders>
          </w:tcPr>
          <w:p>
            <w:r>
              <w:rPr>
                <w:sz w:val="18"/>
              </w:rPr>
              <w:t>Main website data may remain in Australia (light residency slice)</w:t>
            </w:r>
          </w:p>
        </w:tc>
        <w:tc>
          <w:tcPr>
            <w:tcW w:type="dxa" w:w="3402"/>
            <w:tcBorders>
              <w:top w:val="single" w:sz="4" w:space="0" w:color="E4DED3"/>
              <w:left w:val="single" w:sz="4" w:space="0" w:color="E4DED3"/>
              <w:bottom w:val="single" w:sz="4" w:space="0" w:color="E4DED3"/>
              <w:right w:val="single" w:sz="4" w:space="0" w:color="E4DED3"/>
            </w:tcBorders>
          </w:tcPr>
          <w:p>
            <w:r>
              <w:rPr>
                <w:sz w:val="18"/>
              </w:rPr>
              <w:t>Data Residency Requirements (DPDP)</w:t>
            </w:r>
          </w:p>
        </w:tc>
      </w:tr>
    </w:tbl>
    <w:p/>
    <w:p>
      <w:pPr>
        <w:pStyle w:val="Heading1"/>
      </w:pPr>
      <w:r>
        <w:t>3. Review of the Existing Architecture</w:t>
      </w:r>
    </w:p>
    <w:p>
      <w:pPr>
        <w:spacing w:after="120"/>
      </w:pPr>
      <w:r>
        <w:rPr>
          <w:i/>
          <w:color w:val="1F5A5C"/>
          <w:sz w:val="17"/>
        </w:rPr>
        <w:t>Evidences: [ICTCLD503 PC 1.2] review architecture for web application according to business needs</w:t>
      </w:r>
    </w:p>
    <w:p>
      <w:r>
        <w:rPr>
          <w:sz w:val="21"/>
        </w:rPr>
        <w:t>The current architecture (HA-Hardened Solution Design) is a single-region, multi-AZ deployment in ap-southeast-2 (Sydney): an Application Load Balancer across two Availability Zones, an Auto Scaling group of EC2 instances running the LAMP / CMS stack, a Multi-AZ RDS database, and Amazon S3 for media. It is highly available within the region but was sized for an Australian audience served entirely from Sydney.</w:t>
      </w:r>
    </w:p>
    <w:p>
      <w:r>
        <w:rPr>
          <w:sz w:val="21"/>
        </w:rPr>
        <w:t>Reviewed layer by layer against R1–R4, four gaps drive this design:</w:t>
      </w:r>
    </w:p>
    <w:p>
      <w:pPr>
        <w:pStyle w:val="ListBullet"/>
      </w:pPr>
      <w:r>
        <w:rPr>
          <w:sz w:val="21"/>
        </w:rPr>
        <w:t>Edge / global delivery — anonymous India visitors are served entirely from Sydney; there is no CDN, so static and cacheable content travels the full distance on every request, hurting latency (R1).</w:t>
      </w:r>
    </w:p>
    <w:p>
      <w:pPr>
        <w:pStyle w:val="ListBullet"/>
      </w:pPr>
      <w:r>
        <w:rPr>
          <w:sz w:val="21"/>
        </w:rPr>
        <w:t>Read-path scale — the Auto Scaling group scales compute, but there is no caching layer to absorb a larger, spikier public read load off the database (R2).</w:t>
      </w:r>
    </w:p>
    <w:p>
      <w:pPr>
        <w:pStyle w:val="ListBullet"/>
      </w:pPr>
      <w:r>
        <w:rPr>
          <w:sz w:val="21"/>
        </w:rPr>
        <w:t>Public exposure — as an unauthenticated public site reaching a wider audience, it needs protection at the edge against web exploits, scraping bots and denial-of-service, and it must stay search-discoverable; the baseline has neither a CDN edge nor edge security in front of it (R4).</w:t>
      </w:r>
    </w:p>
    <w:p>
      <w:pPr>
        <w:pStyle w:val="ListBullet"/>
      </w:pPr>
      <w:r>
        <w:rPr>
          <w:sz w:val="21"/>
        </w:rPr>
        <w:t>Logging residency — all access logging currently lands in Sydney; there is no mechanism to keep India-cohort access logs in India (R5).</w:t>
      </w:r>
    </w:p>
    <w:p>
      <w:r>
        <w:rPr>
          <w:sz w:val="21"/>
        </w:rPr>
        <w:t>The compute and load-balancing tiers scale adequately and are retained largely unchanged; the gaps are at the edge, the data read path, public-traffic protection, and logging residency — addressed in §5 and §6.</w:t>
      </w:r>
    </w:p>
    <w:p>
      <w:pPr>
        <w:pStyle w:val="Heading1"/>
      </w:pPr>
      <w:r>
        <w:t>4. Architecture Design</w:t>
      </w:r>
    </w:p>
    <w:p>
      <w:pPr>
        <w:spacing w:after="120"/>
      </w:pPr>
      <w:r>
        <w:rPr>
          <w:i/>
          <w:color w:val="1F5A5C"/>
          <w:sz w:val="17"/>
        </w:rPr>
        <w:t>Evidences: [ICTCLD503 PC 1.4] design architecture changes using cloud services (overview) · [ICTCLD503 PC 1.5] scale for a global user base</w:t>
      </w:r>
    </w:p>
    <w:p>
      <w:pPr>
        <w:pStyle w:val="Heading3"/>
      </w:pPr>
      <w:r>
        <w:t>4.1 Assumptions and constraints</w:t>
      </w:r>
    </w:p>
    <w:p>
      <w:pPr>
        <w:pStyle w:val="ListBullet"/>
      </w:pPr>
      <w:r>
        <w:rPr>
          <w:sz w:val="21"/>
        </w:rPr>
        <w:t>The baseline is fully implemented: the website runs highly available in ap-southeast-2 (multi-AZ ALB / ASG / RDS, media on S3).</w:t>
      </w:r>
    </w:p>
    <w:p>
      <w:pPr>
        <w:pStyle w:val="ListBullet"/>
      </w:pPr>
      <w:r>
        <w:rPr>
          <w:sz w:val="21"/>
        </w:rPr>
        <w:t>The change is incremental — this design modifies the baseline rather than rebuilding it.</w:t>
      </w:r>
    </w:p>
    <w:p>
      <w:pPr>
        <w:pStyle w:val="ListBullet"/>
      </w:pPr>
      <w:r>
        <w:rPr>
          <w:sz w:val="21"/>
        </w:rPr>
        <w:t>Data residency is a fixed input: India-cohort access logs must be in India; the main website database may remain in Australia (the light residency slice).</w:t>
      </w:r>
    </w:p>
    <w:p>
      <w:pPr>
        <w:pStyle w:val="Heading3"/>
      </w:pPr>
      <w:r>
        <w:t>4.2 AWS accounts and regions</w:t>
      </w:r>
    </w:p>
    <w:p>
      <w:r>
        <w:rPr>
          <w:sz w:val="21"/>
        </w:rPr>
        <w:t>ap-southeast-2 (Sydney) remains the primary application and data region. ap-south-1 (Mumbai) is introduced for one purpose only — to hold the India-cohort audit log (the residency slice, §6). Global, anonymous visitors are reached through edge delivery (§5.3), not by replicating the application into other regions. The main website database stays in Sydney; only the access logs are residency-bound.</w:t>
      </w:r>
    </w:p>
    <w:p>
      <w:pPr>
        <w:pStyle w:val="Heading3"/>
      </w:pPr>
      <w:r>
        <w:t>4.3 Design relative to the baseline</w:t>
      </w:r>
    </w:p>
    <w:p>
      <w:r>
        <w:rPr>
          <w:sz w:val="21"/>
        </w:rPr>
        <w:t>The baseline's IAM, VPC / network, compute (ALB + Auto Scaling group), database (Multi-AZ RDS) and S3 media storage are retained. This design adds: a global edge / caching layer with edge security in front of the website (§5), a read / session cache (§5), and the audit-log microservice in India (§6). Infrastructure layers not described here are unchanged from the baseline.</w:t>
      </w:r>
    </w:p>
    <w:p>
      <w:pPr>
        <w:pStyle w:val="Heading1"/>
      </w:pPr>
      <w:r>
        <w:t>5. Web-scale Design</w:t>
      </w:r>
    </w:p>
    <w:p>
      <w:pPr>
        <w:spacing w:after="120"/>
      </w:pPr>
      <w:r>
        <w:rPr>
          <w:i/>
          <w:color w:val="1F5A5C"/>
          <w:sz w:val="17"/>
        </w:rPr>
        <w:t>Evidences: [ICTCLD503 PC 1.3, 1.4, 1.5, 1.6, 1.7] · [ICTCLD503 PE 1, 5]</w:t>
      </w:r>
    </w:p>
    <w:p>
      <w:pPr>
        <w:pStyle w:val="Heading3"/>
      </w:pPr>
      <w:r>
        <w:t>5.1 Web-scaling needs</w:t>
      </w:r>
    </w:p>
    <w:p>
      <w:r>
        <w:rPr>
          <w:sz w:val="21"/>
        </w:rPr>
        <w:t>The drivers (PC 1.1, 1.3): a large new audience of anonymous public visitors, geographically distant from Sydney, with a read-heavy and spiky demand profile (marketing campaigns, the enrolment-enquiry period). The design must scale network, compute and storage elastically (R2) and serve the global, anonymous base with acceptable latency (R1) while preserving availability and security under greater public exposure (R3, R4).</w:t>
      </w:r>
    </w:p>
    <w:p>
      <w:pPr>
        <w:pStyle w:val="Heading3"/>
      </w:pPr>
      <w:r>
        <w:t>5.2 Scaling by layer</w:t>
      </w:r>
    </w:p>
    <w:p>
      <w:r>
        <w:rPr>
          <w:sz w:val="21"/>
        </w:rPr>
        <w:t>Services selected to scale the website (PC 1.3) and how each layer scales as utilisation increases (PC 1.4):</w:t>
      </w:r>
    </w:p>
    <w:tbl>
      <w:tblPr>
        <w:tblW w:type="auto" w:w="0"/>
        <w:jc w:val="center"/>
        <w:tblLook w:firstColumn="1" w:firstRow="1" w:lastColumn="0" w:lastRow="0" w:noHBand="0" w:noVBand="1" w:val="04A0"/>
      </w:tblPr>
      <w:tblGrid>
        <w:gridCol w:w="3137"/>
        <w:gridCol w:w="3137"/>
        <w:gridCol w:w="3137"/>
      </w:tblGrid>
      <w:tr>
        <w:tc>
          <w:tcPr>
            <w:tcW w:type="dxa" w:w="192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Layer</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Service</w:t>
            </w:r>
          </w:p>
        </w:tc>
        <w:tc>
          <w:tcPr>
            <w:tcW w:type="dxa" w:w="43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How it scales</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Edge / network</w:t>
            </w:r>
          </w:p>
        </w:tc>
        <w:tc>
          <w:tcPr>
            <w:tcW w:type="dxa" w:w="2835"/>
            <w:tcBorders>
              <w:top w:val="single" w:sz="4" w:space="0" w:color="E4DED3"/>
              <w:left w:val="single" w:sz="4" w:space="0" w:color="E4DED3"/>
              <w:bottom w:val="single" w:sz="4" w:space="0" w:color="E4DED3"/>
              <w:right w:val="single" w:sz="4" w:space="0" w:color="E4DED3"/>
            </w:tcBorders>
          </w:tcPr>
          <w:p>
            <w:r>
              <w:rPr>
                <w:sz w:val="18"/>
              </w:rPr>
              <w:t>CloudFront CDN + Route 53 latency routing</w:t>
            </w:r>
          </w:p>
        </w:tc>
        <w:tc>
          <w:tcPr>
            <w:tcW w:type="dxa" w:w="4309"/>
            <w:tcBorders>
              <w:top w:val="single" w:sz="4" w:space="0" w:color="E4DED3"/>
              <w:left w:val="single" w:sz="4" w:space="0" w:color="E4DED3"/>
              <w:bottom w:val="single" w:sz="4" w:space="0" w:color="E4DED3"/>
              <w:right w:val="single" w:sz="4" w:space="0" w:color="E4DED3"/>
            </w:tcBorders>
          </w:tcPr>
          <w:p>
            <w:r>
              <w:rPr>
                <w:sz w:val="18"/>
              </w:rPr>
              <w:t>Serves cached / static content from edge locations worldwide; India visitors hit the nearest edge, not Sydney</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Compute</w:t>
            </w:r>
          </w:p>
        </w:tc>
        <w:tc>
          <w:tcPr>
            <w:tcW w:type="dxa" w:w="2835"/>
            <w:tcBorders>
              <w:top w:val="single" w:sz="4" w:space="0" w:color="E4DED3"/>
              <w:left w:val="single" w:sz="4" w:space="0" w:color="E4DED3"/>
              <w:bottom w:val="single" w:sz="4" w:space="0" w:color="E4DED3"/>
              <w:right w:val="single" w:sz="4" w:space="0" w:color="E4DED3"/>
            </w:tcBorders>
          </w:tcPr>
          <w:p>
            <w:r>
              <w:rPr>
                <w:sz w:val="18"/>
              </w:rPr>
              <w:t>ALB + EC2 Auto Scaling (retained)</w:t>
            </w:r>
          </w:p>
        </w:tc>
        <w:tc>
          <w:tcPr>
            <w:tcW w:type="dxa" w:w="4309"/>
            <w:tcBorders>
              <w:top w:val="single" w:sz="4" w:space="0" w:color="E4DED3"/>
              <w:left w:val="single" w:sz="4" w:space="0" w:color="E4DED3"/>
              <w:bottom w:val="single" w:sz="4" w:space="0" w:color="E4DED3"/>
              <w:right w:val="single" w:sz="4" w:space="0" w:color="E4DED3"/>
            </w:tcBorders>
          </w:tcPr>
          <w:p>
            <w:r>
              <w:rPr>
                <w:sz w:val="18"/>
              </w:rPr>
              <w:t>Target-tracking policies add / remove instances on demand; retuned for the higher, spikier public load</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Caching / read path</w:t>
            </w:r>
          </w:p>
        </w:tc>
        <w:tc>
          <w:tcPr>
            <w:tcW w:type="dxa" w:w="2835"/>
            <w:tcBorders>
              <w:top w:val="single" w:sz="4" w:space="0" w:color="E4DED3"/>
              <w:left w:val="single" w:sz="4" w:space="0" w:color="E4DED3"/>
              <w:bottom w:val="single" w:sz="4" w:space="0" w:color="E4DED3"/>
              <w:right w:val="single" w:sz="4" w:space="0" w:color="E4DED3"/>
            </w:tcBorders>
          </w:tcPr>
          <w:p>
            <w:r>
              <w:rPr>
                <w:sz w:val="18"/>
              </w:rPr>
              <w:t>ElastiCache (Redis) — new</w:t>
            </w:r>
          </w:p>
        </w:tc>
        <w:tc>
          <w:tcPr>
            <w:tcW w:type="dxa" w:w="4309"/>
            <w:tcBorders>
              <w:top w:val="single" w:sz="4" w:space="0" w:color="E4DED3"/>
              <w:left w:val="single" w:sz="4" w:space="0" w:color="E4DED3"/>
              <w:bottom w:val="single" w:sz="4" w:space="0" w:color="E4DED3"/>
              <w:right w:val="single" w:sz="4" w:space="0" w:color="E4DED3"/>
            </w:tcBorders>
          </w:tcPr>
          <w:p>
            <w:r>
              <w:rPr>
                <w:sz w:val="18"/>
              </w:rPr>
              <w:t>Absorbs session and hot-read load off the database as anonymous concurrency grows</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Storage</w:t>
            </w:r>
          </w:p>
        </w:tc>
        <w:tc>
          <w:tcPr>
            <w:tcW w:type="dxa" w:w="2835"/>
            <w:tcBorders>
              <w:top w:val="single" w:sz="4" w:space="0" w:color="E4DED3"/>
              <w:left w:val="single" w:sz="4" w:space="0" w:color="E4DED3"/>
              <w:bottom w:val="single" w:sz="4" w:space="0" w:color="E4DED3"/>
              <w:right w:val="single" w:sz="4" w:space="0" w:color="E4DED3"/>
            </w:tcBorders>
          </w:tcPr>
          <w:p>
            <w:r>
              <w:rPr>
                <w:sz w:val="18"/>
              </w:rPr>
              <w:t>S3 (retained), served via CloudFront</w:t>
            </w:r>
          </w:p>
        </w:tc>
        <w:tc>
          <w:tcPr>
            <w:tcW w:type="dxa" w:w="4309"/>
            <w:tcBorders>
              <w:top w:val="single" w:sz="4" w:space="0" w:color="E4DED3"/>
              <w:left w:val="single" w:sz="4" w:space="0" w:color="E4DED3"/>
              <w:bottom w:val="single" w:sz="4" w:space="0" w:color="E4DED3"/>
              <w:right w:val="single" w:sz="4" w:space="0" w:color="E4DED3"/>
            </w:tcBorders>
          </w:tcPr>
          <w:p>
            <w:r>
              <w:rPr>
                <w:sz w:val="18"/>
              </w:rPr>
              <w:t>Effectively unlimited media storage; edge-cached for global delivery</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Database</w:t>
            </w:r>
          </w:p>
        </w:tc>
        <w:tc>
          <w:tcPr>
            <w:tcW w:type="dxa" w:w="2835"/>
            <w:tcBorders>
              <w:top w:val="single" w:sz="4" w:space="0" w:color="E4DED3"/>
              <w:left w:val="single" w:sz="4" w:space="0" w:color="E4DED3"/>
              <w:bottom w:val="single" w:sz="4" w:space="0" w:color="E4DED3"/>
              <w:right w:val="single" w:sz="4" w:space="0" w:color="E4DED3"/>
            </w:tcBorders>
          </w:tcPr>
          <w:p>
            <w:r>
              <w:rPr>
                <w:sz w:val="18"/>
              </w:rPr>
              <w:t>RDS Multi-AZ (retained, Sydney)</w:t>
            </w:r>
          </w:p>
        </w:tc>
        <w:tc>
          <w:tcPr>
            <w:tcW w:type="dxa" w:w="4309"/>
            <w:tcBorders>
              <w:top w:val="single" w:sz="4" w:space="0" w:color="E4DED3"/>
              <w:left w:val="single" w:sz="4" w:space="0" w:color="E4DED3"/>
              <w:bottom w:val="single" w:sz="4" w:space="0" w:color="E4DED3"/>
              <w:right w:val="single" w:sz="4" w:space="0" w:color="E4DED3"/>
            </w:tcBorders>
          </w:tcPr>
          <w:p>
            <w:r>
              <w:rPr>
                <w:sz w:val="18"/>
              </w:rPr>
              <w:t>Vertical scaling, with a read replica as future headroom (not required at launch)</w:t>
            </w:r>
          </w:p>
        </w:tc>
      </w:tr>
    </w:tbl>
    <w:p/>
    <w:p>
      <w:pPr>
        <w:pStyle w:val="Heading3"/>
      </w:pPr>
      <w:r>
        <w:t>5.3 Global delivery and discoverability</w:t>
      </w:r>
    </w:p>
    <w:p>
      <w:r>
        <w:rPr>
          <w:sz w:val="21"/>
        </w:rPr>
        <w:t>A global, anonymous audience is served (PC 1.5) by pushing content to the edge with CloudFront and routing visitors to the lowest-latency entry point with Route 53. The website is read-heavy and highly cacheable — marketing pages, the course catalogue, media — so the dominant share of traffic is served from the nearest edge and India visitors get acceptable latency without replicating the application or its data into India. Because the catalogue and marketing pages are the primary acquisition channel for the new market, the edge configuration preserves clean, crawlable URLs and fast first-byte times so the site stays discoverable by search engines (R4).</w:t>
      </w:r>
    </w:p>
    <w:p>
      <w:pPr>
        <w:pStyle w:val="Heading3"/>
      </w:pPr>
      <w:r>
        <w:t>5.4 Web-scale component choices</w:t>
      </w:r>
    </w:p>
    <w:p>
      <w:r>
        <w:rPr>
          <w:sz w:val="21"/>
        </w:rPr>
        <w:t>Each web-scale component is chosen where it fits:</w:t>
      </w:r>
    </w:p>
    <w:tbl>
      <w:tblPr>
        <w:tblW w:type="auto" w:w="0"/>
        <w:jc w:val="center"/>
        <w:tblLook w:firstColumn="1" w:firstRow="1" w:lastColumn="0" w:lastRow="0" w:noHBand="0" w:noVBand="1" w:val="04A0"/>
      </w:tblPr>
      <w:tblGrid>
        <w:gridCol w:w="3137"/>
        <w:gridCol w:w="3137"/>
        <w:gridCol w:w="3137"/>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Choice</w:t>
            </w:r>
          </w:p>
        </w:tc>
        <w:tc>
          <w:tcPr>
            <w:tcW w:type="dxa" w:w="328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374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SQL vs NoSQL</w:t>
            </w:r>
          </w:p>
        </w:tc>
        <w:tc>
          <w:tcPr>
            <w:tcW w:type="dxa" w:w="3288"/>
            <w:tcBorders>
              <w:top w:val="single" w:sz="4" w:space="0" w:color="E4DED3"/>
              <w:left w:val="single" w:sz="4" w:space="0" w:color="E4DED3"/>
              <w:bottom w:val="single" w:sz="4" w:space="0" w:color="E4DED3"/>
              <w:right w:val="single" w:sz="4" w:space="0" w:color="E4DED3"/>
            </w:tcBorders>
          </w:tcPr>
          <w:p>
            <w:r>
              <w:rPr>
                <w:sz w:val="18"/>
              </w:rPr>
              <w:t>SQL (RDS) for website content / enquiry data; NoSQL (DynamoDB) for the audit log</w:t>
            </w:r>
          </w:p>
        </w:tc>
        <w:tc>
          <w:tcPr>
            <w:tcW w:type="dxa" w:w="3742"/>
            <w:tcBorders>
              <w:top w:val="single" w:sz="4" w:space="0" w:color="E4DED3"/>
              <w:left w:val="single" w:sz="4" w:space="0" w:color="E4DED3"/>
              <w:bottom w:val="single" w:sz="4" w:space="0" w:color="E4DED3"/>
              <w:right w:val="single" w:sz="4" w:space="0" w:color="E4DED3"/>
            </w:tcBorders>
          </w:tcPr>
          <w:p>
            <w:r>
              <w:rPr>
                <w:sz w:val="18"/>
              </w:rPr>
              <w:t>Relational integrity for the CMS and enquiry / application records; append-only high-write key-value for logs (§6)</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Monolith vs microservice</w:t>
            </w:r>
          </w:p>
        </w:tc>
        <w:tc>
          <w:tcPr>
            <w:tcW w:type="dxa" w:w="3288"/>
            <w:tcBorders>
              <w:top w:val="single" w:sz="4" w:space="0" w:color="E4DED3"/>
              <w:left w:val="single" w:sz="4" w:space="0" w:color="E4DED3"/>
              <w:bottom w:val="single" w:sz="4" w:space="0" w:color="E4DED3"/>
              <w:right w:val="single" w:sz="4" w:space="0" w:color="E4DED3"/>
            </w:tcBorders>
          </w:tcPr>
          <w:p>
            <w:r>
              <w:rPr>
                <w:sz w:val="18"/>
              </w:rPr>
              <w:t>Keep the website (CMS) a monolith; split the audit function into a microservice</w:t>
            </w:r>
          </w:p>
        </w:tc>
        <w:tc>
          <w:tcPr>
            <w:tcW w:type="dxa" w:w="3742"/>
            <w:tcBorders>
              <w:top w:val="single" w:sz="4" w:space="0" w:color="E4DED3"/>
              <w:left w:val="single" w:sz="4" w:space="0" w:color="E4DED3"/>
              <w:bottom w:val="single" w:sz="4" w:space="0" w:color="E4DED3"/>
              <w:right w:val="single" w:sz="4" w:space="0" w:color="E4DED3"/>
            </w:tcBorders>
          </w:tcPr>
          <w:p>
            <w:r>
              <w:rPr>
                <w:sz w:val="18"/>
              </w:rPr>
              <w:t>The CMS performs well and isn't the bottleneck; the new, independently-scaling concern is isolated (§6)</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Compute model</w:t>
            </w:r>
          </w:p>
        </w:tc>
        <w:tc>
          <w:tcPr>
            <w:tcW w:type="dxa" w:w="3288"/>
            <w:tcBorders>
              <w:top w:val="single" w:sz="4" w:space="0" w:color="E4DED3"/>
              <w:left w:val="single" w:sz="4" w:space="0" w:color="E4DED3"/>
              <w:bottom w:val="single" w:sz="4" w:space="0" w:color="E4DED3"/>
              <w:right w:val="single" w:sz="4" w:space="0" w:color="E4DED3"/>
            </w:tcBorders>
          </w:tcPr>
          <w:p>
            <w:r>
              <w:rPr>
                <w:sz w:val="18"/>
              </w:rPr>
              <w:t>Container / VM (EC2 + ASG) for the site; serverless (Lambda) for the microservice</w:t>
            </w:r>
          </w:p>
        </w:tc>
        <w:tc>
          <w:tcPr>
            <w:tcW w:type="dxa" w:w="3742"/>
            <w:tcBorders>
              <w:top w:val="single" w:sz="4" w:space="0" w:color="E4DED3"/>
              <w:left w:val="single" w:sz="4" w:space="0" w:color="E4DED3"/>
              <w:bottom w:val="single" w:sz="4" w:space="0" w:color="E4DED3"/>
              <w:right w:val="single" w:sz="4" w:space="0" w:color="E4DED3"/>
            </w:tcBorders>
          </w:tcPr>
          <w:p>
            <w:r>
              <w:rPr>
                <w:sz w:val="18"/>
              </w:rPr>
              <w:t>Steady site load suits always-on instances; bursty event load suits scale-to-zero serverless</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CDN + in-memory store</w:t>
            </w:r>
          </w:p>
        </w:tc>
        <w:tc>
          <w:tcPr>
            <w:tcW w:type="dxa" w:w="3288"/>
            <w:tcBorders>
              <w:top w:val="single" w:sz="4" w:space="0" w:color="E4DED3"/>
              <w:left w:val="single" w:sz="4" w:space="0" w:color="E4DED3"/>
              <w:bottom w:val="single" w:sz="4" w:space="0" w:color="E4DED3"/>
              <w:right w:val="single" w:sz="4" w:space="0" w:color="E4DED3"/>
            </w:tcBorders>
          </w:tcPr>
          <w:p>
            <w:r>
              <w:rPr>
                <w:sz w:val="18"/>
              </w:rPr>
              <w:t>CloudFront (CDN) + ElastiCache (in-memory)</w:t>
            </w:r>
          </w:p>
        </w:tc>
        <w:tc>
          <w:tcPr>
            <w:tcW w:type="dxa" w:w="3742"/>
            <w:tcBorders>
              <w:top w:val="single" w:sz="4" w:space="0" w:color="E4DED3"/>
              <w:left w:val="single" w:sz="4" w:space="0" w:color="E4DED3"/>
              <w:bottom w:val="single" w:sz="4" w:space="0" w:color="E4DED3"/>
              <w:right w:val="single" w:sz="4" w:space="0" w:color="E4DED3"/>
            </w:tcBorders>
          </w:tcPr>
          <w:p>
            <w:r>
              <w:rPr>
                <w:sz w:val="18"/>
              </w:rPr>
              <w:t>Edge delivery for global, anonymous latency; in-memory caching for read scale</w:t>
            </w:r>
          </w:p>
        </w:tc>
      </w:tr>
    </w:tbl>
    <w:p/>
    <w:p>
      <w:pPr>
        <w:pStyle w:val="Heading3"/>
      </w:pPr>
      <w:r>
        <w:t>5.5 Availability and security maintained</w:t>
      </w:r>
    </w:p>
    <w:p>
      <w:r>
        <w:rPr>
          <w:sz w:val="21"/>
        </w:rPr>
        <w:t>Availability is preserved (PC 1.6) — the multi-AZ ALB / ASG / RDS design is unchanged, and CloudFront and ElastiCache are themselves resilient managed services. Security is preserved and strengthened for the wider public exposure (R4): TLS end-to-end; AWS WAF at the CloudFront edge for the OWASP-class web exploits; AWS Shield and WAF rate-based and bot rules to blunt scraping, credential-stuffing of the public application form, and denial-of-service; and the origin locked to accept only CloudFront traffic. There is no change to the IAM or data-at-rest posture. The design was reviewed against R1–R4 and meets them.</w:t>
      </w:r>
    </w:p>
    <w:p>
      <w:r>
        <w:rPr>
          <w:sz w:val="21"/>
        </w:rPr>
        <w:t>This is one architecture that scales networking, compute and storage for the multi-tier website (PE 1) using established web-scaling principles — edge offload, horizontal compute scaling, read caching (PE 5) — and the rationale for each change is recorded above, satisfying the requirement to document and justify the architecture changes (PC 1.7).</w:t>
      </w:r>
    </w:p>
    <w:p>
      <w:pPr>
        <w:pStyle w:val="Heading1"/>
      </w:pPr>
      <w:r>
        <w:t>6. Microservice and Serverless Design</w:t>
      </w:r>
    </w:p>
    <w:p>
      <w:pPr>
        <w:spacing w:after="120"/>
      </w:pPr>
      <w:r>
        <w:rPr>
          <w:i/>
          <w:color w:val="1F5A5C"/>
          <w:sz w:val="17"/>
        </w:rPr>
        <w:t>Evidences: [ICTCLD503 PC 2.1, 2.2, 2.3, 2.4] · [ICTCLD503 PE 2]</w:t>
      </w:r>
    </w:p>
    <w:p>
      <w:pPr>
        <w:pStyle w:val="Heading3"/>
      </w:pPr>
      <w:r>
        <w:t>6.1 Microservices and data transactions</w:t>
      </w:r>
    </w:p>
    <w:p>
      <w:r>
        <w:rPr>
          <w:sz w:val="21"/>
        </w:rPr>
        <w:t>One microservice is introduced (PC 2.1) — the Access-Log Service. Its single responsibility is to record India-cohort access events durably and in-region. The data transaction: on each relevant website event (page view, enquiry / application submission) for an India-cohort visitor, the website emits an event and the service persists one append-only audit record. It never reads back into the website and holds no other state — highly cohesive and loosely coupled.</w:t>
      </w:r>
    </w:p>
    <w:p>
      <w:pPr>
        <w:pStyle w:val="Heading3"/>
      </w:pPr>
      <w:r>
        <w:t>6.2 Supporting cloud services</w:t>
      </w:r>
    </w:p>
    <w:p>
      <w:r>
        <w:rPr>
          <w:sz w:val="21"/>
        </w:rPr>
        <w:t>The service is serverless and event-driven, hosted in ap-south-1 (India) (PC 2.2):</w:t>
      </w:r>
    </w:p>
    <w:tbl>
      <w:tblPr>
        <w:tblW w:type="auto" w:w="0"/>
        <w:jc w:val="center"/>
        <w:tblLook w:firstColumn="1" w:firstRow="1" w:lastColumn="0" w:lastRow="0" w:noHBand="0" w:noVBand="1" w:val="04A0"/>
      </w:tblPr>
      <w:tblGrid>
        <w:gridCol w:w="3137"/>
        <w:gridCol w:w="3137"/>
        <w:gridCol w:w="3137"/>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Service</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Ingress / API</w:t>
            </w:r>
          </w:p>
        </w:tc>
        <w:tc>
          <w:tcPr>
            <w:tcW w:type="dxa" w:w="2835"/>
            <w:tcBorders>
              <w:top w:val="single" w:sz="4" w:space="0" w:color="E4DED3"/>
              <w:left w:val="single" w:sz="4" w:space="0" w:color="E4DED3"/>
              <w:bottom w:val="single" w:sz="4" w:space="0" w:color="E4DED3"/>
              <w:right w:val="single" w:sz="4" w:space="0" w:color="E4DED3"/>
            </w:tcBorders>
          </w:tcPr>
          <w:p>
            <w:r>
              <w:rPr>
                <w:sz w:val="18"/>
              </w:rPr>
              <w:t>API Gateway (regional, ap-south-1)</w:t>
            </w:r>
          </w:p>
        </w:tc>
        <w:tc>
          <w:tcPr>
            <w:tcW w:type="dxa" w:w="4195"/>
            <w:tcBorders>
              <w:top w:val="single" w:sz="4" w:space="0" w:color="E4DED3"/>
              <w:left w:val="single" w:sz="4" w:space="0" w:color="E4DED3"/>
              <w:bottom w:val="single" w:sz="4" w:space="0" w:color="E4DED3"/>
              <w:right w:val="single" w:sz="4" w:space="0" w:color="E4DED3"/>
            </w:tcBorders>
          </w:tcPr>
          <w:p>
            <w:r>
              <w:rPr>
                <w:sz w:val="18"/>
              </w:rPr>
              <w:t>Receives the website event webhook over HTTPS</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Messaging / queuing</w:t>
            </w:r>
          </w:p>
        </w:tc>
        <w:tc>
          <w:tcPr>
            <w:tcW w:type="dxa" w:w="2835"/>
            <w:tcBorders>
              <w:top w:val="single" w:sz="4" w:space="0" w:color="E4DED3"/>
              <w:left w:val="single" w:sz="4" w:space="0" w:color="E4DED3"/>
              <w:bottom w:val="single" w:sz="4" w:space="0" w:color="E4DED3"/>
              <w:right w:val="single" w:sz="4" w:space="0" w:color="E4DED3"/>
            </w:tcBorders>
          </w:tcPr>
          <w:p>
            <w:r>
              <w:rPr>
                <w:sz w:val="18"/>
              </w:rPr>
              <w:t>SQS queue</w:t>
            </w:r>
          </w:p>
        </w:tc>
        <w:tc>
          <w:tcPr>
            <w:tcW w:type="dxa" w:w="4195"/>
            <w:tcBorders>
              <w:top w:val="single" w:sz="4" w:space="0" w:color="E4DED3"/>
              <w:left w:val="single" w:sz="4" w:space="0" w:color="E4DED3"/>
              <w:bottom w:val="single" w:sz="4" w:space="0" w:color="E4DED3"/>
              <w:right w:val="single" w:sz="4" w:space="0" w:color="E4DED3"/>
            </w:tcBorders>
          </w:tcPr>
          <w:p>
            <w:r>
              <w:rPr>
                <w:sz w:val="18"/>
              </w:rPr>
              <w:t>Buffers events so a spike or downstream slowness never blocks or loses one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Compute</w:t>
            </w:r>
          </w:p>
        </w:tc>
        <w:tc>
          <w:tcPr>
            <w:tcW w:type="dxa" w:w="2835"/>
            <w:tcBorders>
              <w:top w:val="single" w:sz="4" w:space="0" w:color="E4DED3"/>
              <w:left w:val="single" w:sz="4" w:space="0" w:color="E4DED3"/>
              <w:bottom w:val="single" w:sz="4" w:space="0" w:color="E4DED3"/>
              <w:right w:val="single" w:sz="4" w:space="0" w:color="E4DED3"/>
            </w:tcBorders>
          </w:tcPr>
          <w:p>
            <w:r>
              <w:rPr>
                <w:sz w:val="18"/>
              </w:rPr>
              <w:t>AWS Lambda</w:t>
            </w:r>
          </w:p>
        </w:tc>
        <w:tc>
          <w:tcPr>
            <w:tcW w:type="dxa" w:w="4195"/>
            <w:tcBorders>
              <w:top w:val="single" w:sz="4" w:space="0" w:color="E4DED3"/>
              <w:left w:val="single" w:sz="4" w:space="0" w:color="E4DED3"/>
              <w:bottom w:val="single" w:sz="4" w:space="0" w:color="E4DED3"/>
              <w:right w:val="single" w:sz="4" w:space="0" w:color="E4DED3"/>
            </w:tcBorders>
          </w:tcPr>
          <w:p>
            <w:r>
              <w:rPr>
                <w:sz w:val="18"/>
              </w:rPr>
              <w:t>Serverless; scales to zero and to spikes, with no servers to manage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Persistent storage</w:t>
            </w:r>
          </w:p>
        </w:tc>
        <w:tc>
          <w:tcPr>
            <w:tcW w:type="dxa" w:w="2835"/>
            <w:tcBorders>
              <w:top w:val="single" w:sz="4" w:space="0" w:color="E4DED3"/>
              <w:left w:val="single" w:sz="4" w:space="0" w:color="E4DED3"/>
              <w:bottom w:val="single" w:sz="4" w:space="0" w:color="E4DED3"/>
              <w:right w:val="single" w:sz="4" w:space="0" w:color="E4DED3"/>
            </w:tcBorders>
          </w:tcPr>
          <w:p>
            <w:r>
              <w:rPr>
                <w:sz w:val="18"/>
              </w:rPr>
              <w:t>DynamoDB (ap-south-1)</w:t>
            </w:r>
          </w:p>
        </w:tc>
        <w:tc>
          <w:tcPr>
            <w:tcW w:type="dxa" w:w="4195"/>
            <w:tcBorders>
              <w:top w:val="single" w:sz="4" w:space="0" w:color="E4DED3"/>
              <w:left w:val="single" w:sz="4" w:space="0" w:color="E4DED3"/>
              <w:bottom w:val="single" w:sz="4" w:space="0" w:color="E4DED3"/>
              <w:right w:val="single" w:sz="4" w:space="0" w:color="E4DED3"/>
            </w:tcBorders>
          </w:tcPr>
          <w:p>
            <w:r>
              <w:rPr>
                <w:sz w:val="18"/>
              </w:rPr>
              <w:t>Append-only NoSQL audit log, kept in India (R5 / CERT-In &gt;= 180 days)</w:t>
            </w:r>
          </w:p>
        </w:tc>
      </w:tr>
    </w:tbl>
    <w:p/>
    <w:p>
      <w:pPr>
        <w:pStyle w:val="Heading3"/>
      </w:pPr>
      <w:r>
        <w:t>6.3 Microservice architecture</w:t>
      </w:r>
    </w:p>
    <w:p>
      <w:r>
        <w:rPr>
          <w:sz w:val="21"/>
        </w:rPr>
        <w:t>Flow (PC 2.3): website event webhook → API Gateway (ap-south-1) → SQS → Lambda → DynamoDB (ap-south-1). The website is the event producer and knows only the webhook contract; everything behind it can change independently. The design is highly cohesive and loosely coupled (the service does one thing; the website integrates only through the contract); it uses a managed database / storage service for persistent data (DynamoDB); and it connects its parts with API, messaging and queuing services (API Gateway + SQS). Because the store is in ap-south-1, the access logs are resident in India by construction.</w:t>
      </w:r>
    </w:p>
    <w:p>
      <w:pPr>
        <w:pStyle w:val="Heading3"/>
      </w:pPr>
      <w:r>
        <w:t>6.4 Interface / integration contract</w:t>
      </w:r>
    </w:p>
    <w:p>
      <w:r>
        <w:rPr>
          <w:sz w:val="21"/>
        </w:rPr>
        <w:t>The contract the website calls is the single coupling point (PC 2.4): POST /events with a JSON body { event_id, occurred_at, user_ref, cohort, event_type, source_ip }, authenticated with a signing key. Defining it here lets the website and the service evolve independently. The contract is deliberately generic — any event producer that meets it can use the same service unchanged, only the payload differing.</w:t>
      </w:r>
    </w:p>
    <w:p>
      <w:r>
        <w:rPr>
          <w:sz w:val="21"/>
        </w:rPr>
        <w:t>This is one microservice architecture for a simple application (PE 2), designed on serverless cloud services, with each choice justified above — satisfying the requirement to document and justify the microservice design (PC 2.4).</w:t>
      </w:r>
    </w:p>
    <w:p>
      <w:pPr>
        <w:pStyle w:val="Heading1"/>
      </w:pPr>
      <w:r>
        <w:t>7. Implementation Sequencing</w:t>
      </w:r>
    </w:p>
    <w:p>
      <w:r>
        <w:rPr>
          <w:sz w:val="21"/>
        </w:rPr>
        <w:t>The changes are applied in an order that holds availability throughout; the build and its evidence are the Phase 2 Deployment Report.</w:t>
      </w:r>
    </w:p>
    <w:tbl>
      <w:tblPr>
        <w:tblW w:type="auto" w:w="0"/>
        <w:jc w:val="center"/>
        <w:tblLook w:firstColumn="1" w:firstRow="1" w:lastColumn="0" w:lastRow="0" w:noHBand="0" w:noVBand="1" w:val="04A0"/>
      </w:tblPr>
      <w:tblGrid>
        <w:gridCol w:w="3137"/>
        <w:gridCol w:w="3137"/>
        <w:gridCol w:w="3137"/>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60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Expected impact</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1</w:t>
            </w:r>
          </w:p>
        </w:tc>
        <w:tc>
          <w:tcPr>
            <w:tcW w:type="dxa" w:w="6009"/>
            <w:tcBorders>
              <w:top w:val="single" w:sz="4" w:space="0" w:color="E4DED3"/>
              <w:left w:val="single" w:sz="4" w:space="0" w:color="E4DED3"/>
              <w:bottom w:val="single" w:sz="4" w:space="0" w:color="E4DED3"/>
              <w:right w:val="single" w:sz="4" w:space="0" w:color="E4DED3"/>
            </w:tcBorders>
          </w:tcPr>
          <w:p>
            <w:r>
              <w:rPr>
                <w:sz w:val="18"/>
              </w:rPr>
              <w:t>Stand up the audit-log microservice in ap-south-1 (API Gateway → SQS → Lambda → DynamoDB) and point the website webhook at it</w:t>
            </w:r>
          </w:p>
        </w:tc>
        <w:tc>
          <w:tcPr>
            <w:tcW w:type="dxa" w:w="2551"/>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2</w:t>
            </w:r>
          </w:p>
        </w:tc>
        <w:tc>
          <w:tcPr>
            <w:tcW w:type="dxa" w:w="6009"/>
            <w:tcBorders>
              <w:top w:val="single" w:sz="4" w:space="0" w:color="E4DED3"/>
              <w:left w:val="single" w:sz="4" w:space="0" w:color="E4DED3"/>
              <w:bottom w:val="single" w:sz="4" w:space="0" w:color="E4DED3"/>
              <w:right w:val="single" w:sz="4" w:space="0" w:color="E4DED3"/>
            </w:tcBorders>
          </w:tcPr>
          <w:p>
            <w:r>
              <w:rPr>
                <w:sz w:val="18"/>
              </w:rPr>
              <w:t>Introduce ElastiCache and move the session / read path onto it</w:t>
            </w:r>
          </w:p>
        </w:tc>
        <w:tc>
          <w:tcPr>
            <w:tcW w:type="dxa" w:w="2551"/>
            <w:tcBorders>
              <w:top w:val="single" w:sz="4" w:space="0" w:color="E4DED3"/>
              <w:left w:val="single" w:sz="4" w:space="0" w:color="E4DED3"/>
              <w:bottom w:val="single" w:sz="4" w:space="0" w:color="E4DED3"/>
              <w:right w:val="single" w:sz="4" w:space="0" w:color="E4DED3"/>
            </w:tcBorders>
          </w:tcPr>
          <w:p>
            <w:r>
              <w:rPr>
                <w:sz w:val="18"/>
              </w:rPr>
              <w:t>None — cache warms transparently</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3</w:t>
            </w:r>
          </w:p>
        </w:tc>
        <w:tc>
          <w:tcPr>
            <w:tcW w:type="dxa" w:w="6009"/>
            <w:tcBorders>
              <w:top w:val="single" w:sz="4" w:space="0" w:color="E4DED3"/>
              <w:left w:val="single" w:sz="4" w:space="0" w:color="E4DED3"/>
              <w:bottom w:val="single" w:sz="4" w:space="0" w:color="E4DED3"/>
              <w:right w:val="single" w:sz="4" w:space="0" w:color="E4DED3"/>
            </w:tcBorders>
          </w:tcPr>
          <w:p>
            <w:r>
              <w:rPr>
                <w:sz w:val="18"/>
              </w:rPr>
              <w:t>Put CloudFront + WAF / Shield in front of the ALB and switch Route 53 to the distribution</w:t>
            </w:r>
          </w:p>
        </w:tc>
        <w:tc>
          <w:tcPr>
            <w:tcW w:type="dxa" w:w="2551"/>
            <w:tcBorders>
              <w:top w:val="single" w:sz="4" w:space="0" w:color="E4DED3"/>
              <w:left w:val="single" w:sz="4" w:space="0" w:color="E4DED3"/>
              <w:bottom w:val="single" w:sz="4" w:space="0" w:color="E4DED3"/>
              <w:right w:val="single" w:sz="4" w:space="0" w:color="E4DED3"/>
            </w:tcBorders>
          </w:tcPr>
          <w:p>
            <w:r>
              <w:rPr>
                <w:sz w:val="18"/>
              </w:rPr>
              <w:t>None — origin unchanged; cutover at DNS</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4</w:t>
            </w:r>
          </w:p>
        </w:tc>
        <w:tc>
          <w:tcPr>
            <w:tcW w:type="dxa" w:w="6009"/>
            <w:tcBorders>
              <w:top w:val="single" w:sz="4" w:space="0" w:color="E4DED3"/>
              <w:left w:val="single" w:sz="4" w:space="0" w:color="E4DED3"/>
              <w:bottom w:val="single" w:sz="4" w:space="0" w:color="E4DED3"/>
              <w:right w:val="single" w:sz="4" w:space="0" w:color="E4DED3"/>
            </w:tcBorders>
          </w:tcPr>
          <w:p>
            <w:r>
              <w:rPr>
                <w:sz w:val="18"/>
              </w:rPr>
              <w:t>Retune the Auto Scaling group scaling policies for the public, spikier load profile</w:t>
            </w:r>
          </w:p>
        </w:tc>
        <w:tc>
          <w:tcPr>
            <w:tcW w:type="dxa" w:w="2551"/>
            <w:tcBorders>
              <w:top w:val="single" w:sz="4" w:space="0" w:color="E4DED3"/>
              <w:left w:val="single" w:sz="4" w:space="0" w:color="E4DED3"/>
              <w:bottom w:val="single" w:sz="4" w:space="0" w:color="E4DED3"/>
              <w:right w:val="single" w:sz="4" w:space="0" w:color="E4DED3"/>
            </w:tcBorders>
          </w:tcPr>
          <w:p>
            <w:r>
              <w:rPr>
                <w:sz w:val="18"/>
              </w:rPr>
              <w:t>None</w:t>
            </w:r>
          </w:p>
        </w:tc>
      </w:tr>
    </w:tbl>
    <w:p/>
    <w:p>
      <w:pPr>
        <w:pStyle w:val="Heading1"/>
      </w:pPr>
      <w:r>
        <w:t>8. Simulation and Verification Plan</w:t>
      </w:r>
    </w:p>
    <w:p>
      <w:r>
        <w:rPr>
          <w:sz w:val="21"/>
        </w:rPr>
        <w:t>How the design will be shown to work; the evidence is produced in Phase 2.</w:t>
      </w:r>
    </w:p>
    <w:p>
      <w:pPr>
        <w:pStyle w:val="Heading3"/>
      </w:pPr>
      <w:r>
        <w:t>8.1 Web-scale verification</w:t>
      </w:r>
    </w:p>
    <w:p>
      <w:pPr>
        <w:pStyle w:val="ListBullet"/>
      </w:pPr>
      <w:r>
        <w:rPr>
          <w:sz w:val="21"/>
        </w:rPr>
        <w:t>A load test ramps anonymous concurrent visitors to the projected global peak; the Auto Scaling group scales out and back, edge offload and cache hit-rate are measured, and p95 latency for an India-region client stays within target (R1, R2).</w:t>
      </w:r>
    </w:p>
    <w:p>
      <w:pPr>
        <w:pStyle w:val="ListBullet"/>
      </w:pPr>
      <w:r>
        <w:rPr>
          <w:sz w:val="21"/>
        </w:rPr>
        <w:t>Confirm multi-AZ failover still works, WAF blocks the OWASP baseline, the rate-based / bot rules throttle abusive traffic, and the origin rejects non-CloudFront traffic (R3, R4).</w:t>
      </w:r>
    </w:p>
    <w:p>
      <w:pPr>
        <w:pStyle w:val="Heading3"/>
      </w:pPr>
      <w:r>
        <w:t>8.2 Microservice verification</w:t>
      </w:r>
    </w:p>
    <w:p>
      <w:pPr>
        <w:pStyle w:val="ListBullet"/>
      </w:pPr>
      <w:r>
        <w:rPr>
          <w:sz w:val="21"/>
        </w:rPr>
        <w:t>Fire sample webhook events; confirm each is persisted exactly once in the ap-south-1 DynamoDB table.</w:t>
      </w:r>
    </w:p>
    <w:p>
      <w:pPr>
        <w:pStyle w:val="ListBullet"/>
      </w:pPr>
      <w:r>
        <w:rPr>
          <w:sz w:val="21"/>
        </w:rPr>
        <w:t>Force a downstream stall; confirm events queue in SQS and drain without loss.</w:t>
      </w:r>
    </w:p>
    <w:p>
      <w:pPr>
        <w:pStyle w:val="ListBullet"/>
      </w:pPr>
      <w:r>
        <w:rPr>
          <w:sz w:val="21"/>
        </w:rPr>
        <w:t>Confirm the audit store location is ap-south-1 (R5).</w:t>
      </w:r>
    </w:p>
    <w:p>
      <w:pPr>
        <w:pStyle w:val="Heading1"/>
      </w:pPr>
      <w:r>
        <w:t>9. Out of Scope</w:t>
      </w:r>
    </w:p>
    <w:p>
      <w:pPr>
        <w:pStyle w:val="ListBullet"/>
      </w:pPr>
      <w:r>
        <w:rPr>
          <w:sz w:val="21"/>
        </w:rPr>
        <w:t>Disaster recovery — covered by the companion DR Plan (Part B).</w:t>
      </w:r>
    </w:p>
    <w:p>
      <w:pPr>
        <w:pStyle w:val="ListBullet"/>
      </w:pPr>
      <w:r>
        <w:rPr>
          <w:sz w:val="21"/>
        </w:rPr>
        <w:t>The implementation and its evidence — the Phase 2 Deployment Report (AT2).</w:t>
      </w:r>
    </w:p>
    <w:p>
      <w:pPr>
        <w:pStyle w:val="ListBullet"/>
      </w:pPr>
      <w:r>
        <w:rPr>
          <w:sz w:val="21"/>
        </w:rPr>
        <w:t>The legal determination of the residency obligations — owned by YAT compliance; treated here as fixed inputs.</w:t>
      </w:r>
    </w:p>
    <w:p>
      <w:pPr>
        <w:pStyle w:val="ListBullet"/>
      </w:pPr>
      <w:r>
        <w:rPr>
          <w:sz w:val="21"/>
        </w:rPr>
        <w:t>Replicating the main website database into India — deliberately avoided; the residency slice is the access logs only, and replication would add cost and complexity for no required benefit.</w:t>
      </w:r>
    </w:p>
    <w:p>
      <w:pPr>
        <w:pStyle w:val="Heading1"/>
      </w:pPr>
      <w:r>
        <w:t>10. References</w:t>
      </w:r>
    </w:p>
    <w:p>
      <w:pPr>
        <w:pStyle w:val="ListBullet"/>
      </w:pPr>
      <w:r>
        <w:rPr>
          <w:sz w:val="21"/>
        </w:rPr>
        <w:t>Functional &amp; Non-Functional Requirements (YAT Website Global Expansion)</w:t>
      </w:r>
    </w:p>
    <w:p>
      <w:pPr>
        <w:pStyle w:val="ListBullet"/>
      </w:pPr>
      <w:r>
        <w:rPr>
          <w:sz w:val="21"/>
        </w:rPr>
        <w:t>Data Residency &amp; Sovereignty Requirements (DPDP Act 2023; CERT-In Directions 2022)</w:t>
      </w:r>
    </w:p>
    <w:p>
      <w:pPr>
        <w:pStyle w:val="ListBullet"/>
      </w:pPr>
      <w:r>
        <w:rPr>
          <w:sz w:val="21"/>
        </w:rPr>
        <w:t>Website Specification</w:t>
      </w:r>
    </w:p>
    <w:p>
      <w:pPr>
        <w:pStyle w:val="ListBullet"/>
      </w:pPr>
      <w:r>
        <w:rPr>
          <w:sz w:val="21"/>
        </w:rPr>
        <w:t>Website Cloud Architecture — HA-Hardened Design (the baseline)</w:t>
      </w:r>
    </w:p>
    <w:p>
      <w:pPr>
        <w:pStyle w:val="ListBullet"/>
      </w:pPr>
      <w:r>
        <w:rPr>
          <w:sz w:val="21"/>
        </w:rPr>
        <w:t>AWS Well-Architected Framework — Performance Efficiency and Reliability pillars</w:t>
      </w:r>
    </w:p>
    <w:p>
      <w:pPr>
        <w:pStyle w:val="Heading1"/>
      </w:pPr>
      <w:r>
        <w:t>11. Review and Approval</w:t>
      </w:r>
    </w:p>
    <w:p>
      <w:pPr>
        <w:spacing w:after="120"/>
      </w:pPr>
      <w:r>
        <w:rPr>
          <w:i/>
          <w:color w:val="1F5A5C"/>
          <w:sz w:val="17"/>
        </w:rPr>
        <w:t>Evidences: [ICTCLD503 PC 1.6] review design as required</w:t>
      </w:r>
    </w:p>
    <w:p>
      <w:r>
        <w:rPr>
          <w:sz w:val="21"/>
        </w:rPr>
        <w:t>Before submission the design was reviewed internally against R1–R4 and the requirements, and by the MTS Senior Consultant. Stakeholder approval of the design is obtained at the AT1 design-walkthrough presentation, together with the companion DR Plan (Part C); the sign-off below records that approval.</w:t>
      </w:r>
    </w:p>
    <w:p>
      <w:pPr>
        <w:pStyle w:val="Heading3"/>
      </w:pPr>
      <w:r>
        <w:t>11.1 Review feedback and author response</w:t>
      </w:r>
    </w:p>
    <w:tbl>
      <w:tblPr>
        <w:tblW w:type="auto" w:w="0"/>
        <w:jc w:val="center"/>
        <w:tblLook w:firstColumn="1" w:firstRow="1" w:lastColumn="0" w:lastRow="0" w:noHBand="0" w:noVBand="1" w:val="04A0"/>
      </w:tblPr>
      <w:tblGrid>
        <w:gridCol w:w="2353"/>
        <w:gridCol w:w="2353"/>
        <w:gridCol w:w="2353"/>
        <w:gridCol w:w="2353"/>
      </w:tblGrid>
      <w:tr>
        <w:tc>
          <w:tcPr>
            <w:tcW w:type="dxa" w:w="4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Review feedback</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Author response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Resulting change</w:t>
            </w:r>
          </w:p>
        </w:tc>
      </w:tr>
      <w:tr>
        <w:tc>
          <w:tcPr>
            <w:tcW w:type="dxa" w:w="454"/>
            <w:tcBorders>
              <w:top w:val="single" w:sz="4" w:space="0" w:color="E4DED3"/>
              <w:left w:val="single" w:sz="4" w:space="0" w:color="E4DED3"/>
              <w:bottom w:val="single" w:sz="4" w:space="0" w:color="E4DED3"/>
              <w:right w:val="single" w:sz="4" w:space="0" w:color="E4DED3"/>
            </w:tcBorders>
          </w:tcPr>
          <w:p>
            <w:r>
              <w:rPr>
                <w:b/>
                <w:sz w:val="18"/>
              </w:rPr>
              <w:t>1</w:t>
            </w:r>
          </w:p>
        </w:tc>
        <w:tc>
          <w:tcPr>
            <w:tcW w:type="dxa" w:w="3061"/>
            <w:tcBorders>
              <w:top w:val="single" w:sz="4" w:space="0" w:color="E4DED3"/>
              <w:left w:val="single" w:sz="4" w:space="0" w:color="E4DED3"/>
              <w:bottom w:val="single" w:sz="4" w:space="0" w:color="E4DED3"/>
              <w:right w:val="single" w:sz="4" w:space="0" w:color="E4DED3"/>
            </w:tcBorders>
          </w:tcPr>
          <w:p>
            <w:r>
              <w:rPr>
                <w:sz w:val="18"/>
              </w:rPr>
              <w:t>Confirm anonymous India visitors are served without replicating data into India</w:t>
            </w:r>
          </w:p>
        </w:tc>
        <w:tc>
          <w:tcPr>
            <w:tcW w:type="dxa" w:w="3061"/>
            <w:tcBorders>
              <w:top w:val="single" w:sz="4" w:space="0" w:color="E4DED3"/>
              <w:left w:val="single" w:sz="4" w:space="0" w:color="E4DED3"/>
              <w:bottom w:val="single" w:sz="4" w:space="0" w:color="E4DED3"/>
              <w:right w:val="single" w:sz="4" w:space="0" w:color="E4DED3"/>
            </w:tcBorders>
          </w:tcPr>
          <w:p>
            <w:r>
              <w:rPr>
                <w:sz w:val="18"/>
              </w:rPr>
              <w:t>Edge delivery (CloudFront) serves the global base; only the access logs sit in India</w:t>
            </w:r>
          </w:p>
        </w:tc>
        <w:tc>
          <w:tcPr>
            <w:tcW w:type="dxa" w:w="2268"/>
            <w:tcBorders>
              <w:top w:val="single" w:sz="4" w:space="0" w:color="E4DED3"/>
              <w:left w:val="single" w:sz="4" w:space="0" w:color="E4DED3"/>
              <w:bottom w:val="single" w:sz="4" w:space="0" w:color="E4DED3"/>
              <w:right w:val="single" w:sz="4" w:space="0" w:color="E4DED3"/>
            </w:tcBorders>
          </w:tcPr>
          <w:p>
            <w:r>
              <w:rPr>
                <w:sz w:val="18"/>
              </w:rPr>
              <w:t>Clarified in §4.2 and §5.3</w:t>
            </w:r>
          </w:p>
        </w:tc>
      </w:tr>
      <w:tr>
        <w:tc>
          <w:tcPr>
            <w:tcW w:type="dxa" w:w="454"/>
            <w:tcBorders>
              <w:top w:val="single" w:sz="4" w:space="0" w:color="E4DED3"/>
              <w:left w:val="single" w:sz="4" w:space="0" w:color="E4DED3"/>
              <w:bottom w:val="single" w:sz="4" w:space="0" w:color="E4DED3"/>
              <w:right w:val="single" w:sz="4" w:space="0" w:color="E4DED3"/>
            </w:tcBorders>
          </w:tcPr>
          <w:p>
            <w:r>
              <w:rPr>
                <w:b/>
                <w:sz w:val="18"/>
              </w:rPr>
              <w:t>2</w:t>
            </w:r>
          </w:p>
        </w:tc>
        <w:tc>
          <w:tcPr>
            <w:tcW w:type="dxa" w:w="3061"/>
            <w:tcBorders>
              <w:top w:val="single" w:sz="4" w:space="0" w:color="E4DED3"/>
              <w:left w:val="single" w:sz="4" w:space="0" w:color="E4DED3"/>
              <w:bottom w:val="single" w:sz="4" w:space="0" w:color="E4DED3"/>
              <w:right w:val="single" w:sz="4" w:space="0" w:color="E4DED3"/>
            </w:tcBorders>
          </w:tcPr>
          <w:p>
            <w:r>
              <w:rPr>
                <w:sz w:val="18"/>
              </w:rPr>
              <w:t>Confirm the public exposure is addressed, not just latency</w:t>
            </w:r>
          </w:p>
        </w:tc>
        <w:tc>
          <w:tcPr>
            <w:tcW w:type="dxa" w:w="3061"/>
            <w:tcBorders>
              <w:top w:val="single" w:sz="4" w:space="0" w:color="E4DED3"/>
              <w:left w:val="single" w:sz="4" w:space="0" w:color="E4DED3"/>
              <w:bottom w:val="single" w:sz="4" w:space="0" w:color="E4DED3"/>
              <w:right w:val="single" w:sz="4" w:space="0" w:color="E4DED3"/>
            </w:tcBorders>
          </w:tcPr>
          <w:p>
            <w:r>
              <w:rPr>
                <w:sz w:val="18"/>
              </w:rPr>
              <w:t>WAF + Shield + rate-based / bot rules added at the edge; SEO discoverability preserved</w:t>
            </w:r>
          </w:p>
        </w:tc>
        <w:tc>
          <w:tcPr>
            <w:tcW w:type="dxa" w:w="2268"/>
            <w:tcBorders>
              <w:top w:val="single" w:sz="4" w:space="0" w:color="E4DED3"/>
              <w:left w:val="single" w:sz="4" w:space="0" w:color="E4DED3"/>
              <w:bottom w:val="single" w:sz="4" w:space="0" w:color="E4DED3"/>
              <w:right w:val="single" w:sz="4" w:space="0" w:color="E4DED3"/>
            </w:tcBorders>
          </w:tcPr>
          <w:p>
            <w:r>
              <w:rPr>
                <w:sz w:val="18"/>
              </w:rPr>
              <w:t>Recorded in §5.3 and §5.5</w:t>
            </w:r>
          </w:p>
        </w:tc>
      </w:tr>
      <w:tr>
        <w:tc>
          <w:tcPr>
            <w:tcW w:type="dxa" w:w="454"/>
            <w:tcBorders>
              <w:top w:val="single" w:sz="4" w:space="0" w:color="E4DED3"/>
              <w:left w:val="single" w:sz="4" w:space="0" w:color="E4DED3"/>
              <w:bottom w:val="single" w:sz="4" w:space="0" w:color="E4DED3"/>
              <w:right w:val="single" w:sz="4" w:space="0" w:color="E4DED3"/>
            </w:tcBorders>
          </w:tcPr>
          <w:p>
            <w:r>
              <w:rPr>
                <w:b/>
                <w:sz w:val="18"/>
              </w:rPr>
              <w:t>3</w:t>
            </w:r>
          </w:p>
        </w:tc>
        <w:tc>
          <w:tcPr>
            <w:tcW w:type="dxa" w:w="3061"/>
            <w:tcBorders>
              <w:top w:val="single" w:sz="4" w:space="0" w:color="E4DED3"/>
              <w:left w:val="single" w:sz="4" w:space="0" w:color="E4DED3"/>
              <w:bottom w:val="single" w:sz="4" w:space="0" w:color="E4DED3"/>
              <w:right w:val="single" w:sz="4" w:space="0" w:color="E4DED3"/>
            </w:tcBorders>
          </w:tcPr>
          <w:p>
            <w:r>
              <w:rPr>
                <w:sz w:val="18"/>
              </w:rPr>
              <w:t>Confirm the microservice cannot lose events under load</w:t>
            </w:r>
          </w:p>
        </w:tc>
        <w:tc>
          <w:tcPr>
            <w:tcW w:type="dxa" w:w="3061"/>
            <w:tcBorders>
              <w:top w:val="single" w:sz="4" w:space="0" w:color="E4DED3"/>
              <w:left w:val="single" w:sz="4" w:space="0" w:color="E4DED3"/>
              <w:bottom w:val="single" w:sz="4" w:space="0" w:color="E4DED3"/>
              <w:right w:val="single" w:sz="4" w:space="0" w:color="E4DED3"/>
            </w:tcBorders>
          </w:tcPr>
          <w:p>
            <w:r>
              <w:rPr>
                <w:sz w:val="18"/>
              </w:rPr>
              <w:t>An SQS buffer decouples ingress from the writer, so spikes queue rather than drop</w:t>
            </w:r>
          </w:p>
        </w:tc>
        <w:tc>
          <w:tcPr>
            <w:tcW w:type="dxa" w:w="2268"/>
            <w:tcBorders>
              <w:top w:val="single" w:sz="4" w:space="0" w:color="E4DED3"/>
              <w:left w:val="single" w:sz="4" w:space="0" w:color="E4DED3"/>
              <w:bottom w:val="single" w:sz="4" w:space="0" w:color="E4DED3"/>
              <w:right w:val="single" w:sz="4" w:space="0" w:color="E4DED3"/>
            </w:tcBorders>
          </w:tcPr>
          <w:p>
            <w:r>
              <w:rPr>
                <w:sz w:val="18"/>
              </w:rPr>
              <w:t>Recorded in §6.2 / §6.3</w:t>
            </w:r>
          </w:p>
        </w:tc>
      </w:tr>
    </w:tbl>
    <w:p/>
    <w:p>
      <w:pPr>
        <w:pStyle w:val="Heading3"/>
      </w:pPr>
      <w:r>
        <w:t>11.2 Sign-off</w:t>
      </w:r>
    </w:p>
    <w:tbl>
      <w:tblPr>
        <w:tblW w:type="auto" w:w="0"/>
        <w:jc w:val="center"/>
        <w:tblLook w:firstColumn="1" w:firstRow="1" w:lastColumn="0" w:lastRow="0" w:noHBand="0" w:noVBand="1" w:val="04A0"/>
      </w:tblPr>
      <w:tblGrid>
        <w:gridCol w:w="2353"/>
        <w:gridCol w:w="2353"/>
        <w:gridCol w:w="2353"/>
        <w:gridCol w:w="2353"/>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Submitted</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for submission</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at design walkthrough — cleared to implement</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A — Knowledge Evidence</w:t>
      </w:r>
    </w:p>
    <w:p>
      <w:r>
        <w:rPr>
          <w:sz w:val="21"/>
        </w:rPr>
        <w:t>Written contextual responses for ICTCLD503 (design knowledge) — the mandatory knowledge-evidence location for Part A. Each question asks the candidate to reason about their own design; the answers below are the model responses (assessor reference).</w:t>
      </w:r>
    </w:p>
    <w:p>
      <w:pPr>
        <w:spacing w:after="120"/>
      </w:pPr>
      <w:r>
        <w:rPr>
          <w:i/>
          <w:color w:val="1F5A5C"/>
          <w:sz w:val="17"/>
        </w:rPr>
        <w:t>Evidences: [ICTCLD503 KE 3] — functions, benefits and differences of web-scale cloud components (SQL/NoSQL, monolith/microservice, compute models, CDN/in-memory stores)</w:t>
      </w:r>
    </w:p>
    <w:p>
      <w:r>
        <w:rPr>
          <w:b/>
          <w:sz w:val="21"/>
        </w:rPr>
        <w:t>Q1. Your design makes four component choices — SQL vs NoSQL, monolith vs microservice, the compute model, and CDN vs in-memory caching. Explain the function and trade-off of each and why you chose as you did for this website.</w:t>
      </w:r>
    </w:p>
    <w:p>
      <w:r>
        <w:rPr>
          <w:sz w:val="21"/>
        </w:rPr>
        <w:t>SQL (RDS) gives relational integrity and querying for the CMS content and the enquiry / application records; NoSQL (DynamoDB) gives cheap, high-write, append-only storage that suits the audit log — so each data shape goes to the store that fits it. A monolith keeps related code and data together and is simplest when one component performs well, which the CMS does; a microservice isolates a single, independently-scaling concern, which is why only the new audit function is split out. For compute, VMs/containers (EC2 + ASG) suit steady, always-on site load, while serverless (Lambda) suits the bursty, scale-to-zero event load of the microservice. A CDN caches and serves content from edge locations close to anonymous global visitors (latency); an in-memory store (ElastiCache) caches hot reads and sessions close to the application (read scale) — they solve different bottlenecks, so the design uses both.</w:t>
      </w:r>
    </w:p>
    <w:p>
      <w:pPr>
        <w:spacing w:after="120"/>
      </w:pPr>
      <w:r>
        <w:rPr>
          <w:i/>
          <w:color w:val="1F5A5C"/>
          <w:sz w:val="17"/>
        </w:rPr>
        <w:t>Evidences: [ICTCLD503 KE 4] — definitions, functions, features and uses of web-scale cloud infrastructure (cohesive/loosely-coupled systems; managed database/storage; API, messaging and queuing services)</w:t>
      </w:r>
    </w:p>
    <w:p>
      <w:r>
        <w:rPr>
          <w:b/>
          <w:sz w:val="21"/>
        </w:rPr>
        <w:t>Q2. Your audit-log service is described as highly cohesive and loosely coupled, using a managed datastore and API / messaging / queuing services. Explain what those properties mean and how your design exhibits them.</w:t>
      </w:r>
    </w:p>
    <w:p>
      <w:r>
        <w:rPr>
          <w:sz w:val="21"/>
        </w:rPr>
        <w:t>High cohesion means a component does one well-defined job: the service only records access events and holds no other state. Loose coupling means components depend on each other only through a stable interface, not internals: the website and the service share just the webhook contract, so either can change behind it. A managed database / storage service (DynamoDB) provides durable persistent storage without running database servers. API, messaging and queuing services connect the parts: API Gateway is the HTTPS ingress, and an SQS queue buffers events between ingress and the Lambda writer so a spike or a downstream stall queues rather than drops or blocks. Together these give a small, resilient, independently-scalable service.</w:t>
      </w:r>
    </w:p>
    <w:p>
      <w:pPr>
        <w:spacing w:after="120"/>
      </w:pPr>
      <w:r>
        <w:rPr>
          <w:i/>
          <w:color w:val="1F5A5C"/>
          <w:sz w:val="17"/>
        </w:rPr>
        <w:t>Evidences: [ICTCLD503 KE 6] — web-scaling principles and technologies</w:t>
      </w:r>
    </w:p>
    <w:p>
      <w:r>
        <w:rPr>
          <w:b/>
          <w:sz w:val="21"/>
        </w:rPr>
        <w:t>Q3. Which web-scaling principles and technologies does your design apply, and how does each address the website's global, anonymous, read-heavy load?</w:t>
      </w:r>
    </w:p>
    <w:p>
      <w:r>
        <w:rPr>
          <w:sz w:val="21"/>
        </w:rPr>
        <w:t>The design applies three core web-scaling principles. Edge offload: push cacheable content to a CDN (CloudFront) so most requests are served close to the visitor and never reach the origin — the biggest win for a read-heavy public site with a distant audience. Horizontal scaling: add and remove stateless compute on demand (the EC2 Auto Scaling group on target-tracking policies) rather than relying on a bigger single server, so capacity tracks the spiky public load. Caching the read path: an in-memory store (ElastiCache) absorbs hot reads and session lookups off the database as anonymous concurrency grows. Keeping the application stateless behind the load balancer is what lets the compute and edge tiers scale independently without sticky-session constraints.</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Solution Design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Website Global Expansion &amp; Disaster Recovery</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Companion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Disaster Recovery Plan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Implemented by</w:t>
            </w:r>
          </w:p>
        </w:tc>
        <w:tc>
          <w:tcPr>
            <w:tcW w:type="dxa" w:w="5953"/>
            <w:tcBorders>
              <w:top w:val="single" w:sz="4" w:space="0" w:color="E4DED3"/>
              <w:left w:val="single" w:sz="4" w:space="0" w:color="E4DED3"/>
              <w:bottom w:val="single" w:sz="4" w:space="0" w:color="E4DED3"/>
              <w:right w:val="single" w:sz="4" w:space="0" w:color="E4DED3"/>
            </w:tcBorders>
          </w:tcPr>
          <w:p>
            <w:r>
              <w:rPr>
                <w:sz w:val="18"/>
              </w:rPr>
              <w:t>Website Global Expansion Deployment Report (Phase 2)</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