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ource Sans 3" w:hAnsi="Source Sans 3"/>
          <w:b/>
          <w:color w:val="1F5A5C"/>
          <w:sz w:val="68"/>
        </w:rPr>
        <w:t>YAT</w:t>
      </w:r>
      <w:r>
        <w:rPr>
          <w:b/>
          <w:color w:val="C5613B"/>
          <w:sz w:val="32"/>
        </w:rPr>
        <w:t xml:space="preserve">  COLLEGE</w:t>
      </w:r>
    </w:p>
    <w:p>
      <w:r>
        <w:rPr>
          <w:color w:val="6B6660"/>
          <w:sz w:val="18"/>
        </w:rPr>
        <w:t>YAT College  ·  175 Cremorne St, Cremorne VIC 3121</w:t>
      </w:r>
    </w:p>
    <w:p>
      <w:pPr>
        <w:pBdr>
          <w:bottom w:val="single" w:sz="12" w:space="4" w:color="1F5A5C"/>
        </w:pBdr>
      </w:pPr>
    </w:p>
    <w:p/>
    <w:p/>
    <w:p/>
    <w:p>
      <w:pPr>
        <w:pStyle w:val="Title"/>
      </w:pPr>
      <w:r>
        <w:t>Solution Design</w:t>
      </w:r>
    </w:p>
    <w:p>
      <w:r>
        <w:rPr>
          <w:b/>
          <w:color w:val="C5613B"/>
          <w:sz w:val="30"/>
        </w:rPr>
        <w:t>YAT LMS Cloud Architecture — Baseline Design</w:t>
      </w:r>
    </w:p>
    <w:p/>
    <w:tbl>
      <w:tblPr>
        <w:tblW w:type="auto" w:w="0"/>
        <w:tblLook w:firstColumn="1" w:firstRow="1" w:lastColumn="0" w:lastRow="0" w:noHBand="0" w:noVBand="1" w:val="04A0"/>
      </w:tblPr>
      <w:tblGrid>
        <w:gridCol w:w="4706"/>
        <w:gridCol w:w="4706"/>
      </w:tblGrid>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Engagement</w:t>
            </w:r>
          </w:p>
        </w:tc>
        <w:tc>
          <w:tcPr>
            <w:tcW w:type="dxa" w:w="6803"/>
            <w:tcBorders>
              <w:top w:val="single" w:sz="4" w:space="0" w:color="E4DED3"/>
              <w:left w:val="single" w:sz="4" w:space="0" w:color="E4DED3"/>
              <w:bottom w:val="single" w:sz="4" w:space="0" w:color="E4DED3"/>
              <w:right w:val="single" w:sz="4" w:space="0" w:color="E4DED3"/>
            </w:tcBorders>
          </w:tcPr>
          <w:p>
            <w:r>
              <w:rPr>
                <w:sz w:val="20"/>
              </w:rPr>
              <w:t>YAT LMS Cloud Migration — Foundation Build</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Document type</w:t>
            </w:r>
          </w:p>
        </w:tc>
        <w:tc>
          <w:tcPr>
            <w:tcW w:type="dxa" w:w="6803"/>
            <w:tcBorders>
              <w:top w:val="single" w:sz="4" w:space="0" w:color="E4DED3"/>
              <w:left w:val="single" w:sz="4" w:space="0" w:color="E4DED3"/>
              <w:bottom w:val="single" w:sz="4" w:space="0" w:color="E4DED3"/>
              <w:right w:val="single" w:sz="4" w:space="0" w:color="E4DED3"/>
            </w:tcBorders>
          </w:tcPr>
          <w:p>
            <w:r>
              <w:rPr>
                <w:sz w:val="20"/>
              </w:rPr>
              <w:t>Technical design (Solution Design)</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Version</w:t>
            </w:r>
          </w:p>
        </w:tc>
        <w:tc>
          <w:tcPr>
            <w:tcW w:type="dxa" w:w="6803"/>
            <w:tcBorders>
              <w:top w:val="single" w:sz="4" w:space="0" w:color="E4DED3"/>
              <w:left w:val="single" w:sz="4" w:space="0" w:color="E4DED3"/>
              <w:bottom w:val="single" w:sz="4" w:space="0" w:color="E4DED3"/>
              <w:right w:val="single" w:sz="4" w:space="0" w:color="E4DED3"/>
            </w:tcBorders>
          </w:tcPr>
          <w:p>
            <w:r>
              <w:rPr>
                <w:sz w:val="20"/>
              </w:rPr>
              <w:t>v1.0 — Approved for implementation</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Authored by</w:t>
            </w:r>
          </w:p>
        </w:tc>
        <w:tc>
          <w:tcPr>
            <w:tcW w:type="dxa" w:w="6803"/>
            <w:tcBorders>
              <w:top w:val="single" w:sz="4" w:space="0" w:color="E4DED3"/>
              <w:left w:val="single" w:sz="4" w:space="0" w:color="E4DED3"/>
              <w:bottom w:val="single" w:sz="4" w:space="0" w:color="E4DED3"/>
              <w:right w:val="single" w:sz="4" w:space="0" w:color="E4DED3"/>
            </w:tcBorders>
          </w:tcPr>
          <w:p>
            <w:r>
              <w:rPr>
                <w:sz w:val="20"/>
              </w:rPr>
              <w:t>MTS Senior Architecture Team, in consultation with YAT ICT</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Approved by</w:t>
            </w:r>
          </w:p>
        </w:tc>
        <w:tc>
          <w:tcPr>
            <w:tcW w:type="dxa" w:w="6803"/>
            <w:tcBorders>
              <w:top w:val="single" w:sz="4" w:space="0" w:color="E4DED3"/>
              <w:left w:val="single" w:sz="4" w:space="0" w:color="E4DED3"/>
              <w:bottom w:val="single" w:sz="4" w:space="0" w:color="E4DED3"/>
              <w:right w:val="single" w:sz="4" w:space="0" w:color="E4DED3"/>
            </w:tcBorders>
          </w:tcPr>
          <w:p>
            <w:r>
              <w:rPr>
                <w:sz w:val="20"/>
              </w:rPr>
              <w:t>Pat Lin (MTS Senior Consultant) · Sam Walker (YAT ICT Manager)</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Implemented by</w:t>
            </w:r>
          </w:p>
        </w:tc>
        <w:tc>
          <w:tcPr>
            <w:tcW w:type="dxa" w:w="6803"/>
            <w:tcBorders>
              <w:top w:val="single" w:sz="4" w:space="0" w:color="E4DED3"/>
              <w:left w:val="single" w:sz="4" w:space="0" w:color="E4DED3"/>
              <w:bottom w:val="single" w:sz="4" w:space="0" w:color="E4DED3"/>
              <w:right w:val="single" w:sz="4" w:space="0" w:color="E4DED3"/>
            </w:tcBorders>
          </w:tcPr>
          <w:p>
            <w:r>
              <w:rPr>
                <w:sz w:val="20"/>
              </w:rPr>
              <w:t>the AT2 Deployment Report (foundation build)</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Classification</w:t>
            </w:r>
          </w:p>
        </w:tc>
        <w:tc>
          <w:tcPr>
            <w:tcW w:type="dxa" w:w="6803"/>
            <w:tcBorders>
              <w:top w:val="single" w:sz="4" w:space="0" w:color="E4DED3"/>
              <w:left w:val="single" w:sz="4" w:space="0" w:color="E4DED3"/>
              <w:bottom w:val="single" w:sz="4" w:space="0" w:color="E4DED3"/>
              <w:right w:val="single" w:sz="4" w:space="0" w:color="E4DED3"/>
            </w:tcBorders>
          </w:tcPr>
          <w:p>
            <w:r>
              <w:rPr>
                <w:sz w:val="20"/>
              </w:rPr>
              <w:t>Internal — YAT ICT, and MTS personnel on signed MSA</w:t>
            </w:r>
          </w:p>
        </w:tc>
      </w:tr>
    </w:tbl>
    <w:p>
      <w:pPr>
        <w:sectPr>
          <w:headerReference w:type="default" r:id="rId9"/>
          <w:footerReference w:type="default" r:id="rId10"/>
          <w:pgSz w:w="11906" w:h="16838"/>
          <w:pgMar w:top="1474" w:right="1247" w:bottom="1247" w:left="1247" w:header="567" w:footer="567" w:gutter="0"/>
          <w:cols w:space="720"/>
          <w:docGrid w:linePitch="360"/>
        </w:sectPr>
      </w:pPr>
    </w:p>
    <w:p>
      <w:pPr>
        <w:pStyle w:val="Heading1"/>
      </w:pPr>
      <w:r>
        <w:t>Contents</w:t>
      </w:r>
    </w:p>
    <w:p>
      <w:r>
        <w:fldChar w:fldCharType="begin"/>
        <w:instrText xml:space="preserve">TOC \o "1-3" \h \z \u</w:instrText>
        <w:fldChar w:fldCharType="separate"/>
      </w:r>
      <w:r>
        <w:rPr>
          <w:color w:val="6B6660"/>
        </w:rPr>
        <w:t>Right-click and choose “Update Field” to build the table of contents.</w:t>
      </w:r>
      <w:r>
        <w:fldChar w:fldCharType="end"/>
      </w:r>
    </w:p>
    <w:p>
      <w:pPr>
        <w:sectPr>
          <w:headerReference w:type="default" r:id="rId11"/>
          <w:footerReference w:type="default" r:id="rId12"/>
          <w:pgSz w:w="11906" w:h="16838"/>
          <w:pgMar w:top="1474" w:right="1247" w:bottom="1247" w:left="1247" w:header="567" w:footer="567" w:gutter="0"/>
          <w:cols w:space="720"/>
          <w:docGrid w:linePitch="360"/>
        </w:sectPr>
      </w:pPr>
    </w:p>
    <w:p>
      <w:pPr>
        <w:pStyle w:val="Heading1"/>
      </w:pPr>
      <w:r>
        <w:t>1. Purpose and Scope</w:t>
      </w:r>
    </w:p>
    <w:p>
      <w:r>
        <w:rPr>
          <w:sz w:val="21"/>
        </w:rPr>
        <w:t>This document specifies the baseline AWS architecture MTS will implement as the first build phase of the YAT LMS cloud migration. It translates the action plan approved at the close of the Business Case engagement into a concrete, implementable design. The design stops at “infrastructure ready for application deployment”: the EC2 instance is provisioned with the OS, the RDS instance with an empty MySQL schema, and the ALB with placeholder health checks — no application binaries or production data are placed by the MTS build.</w:t>
      </w:r>
    </w:p>
    <w:p>
      <w:pPr>
        <w:pStyle w:val="Heading3"/>
      </w:pPr>
      <w:r>
        <w:t>In scope of this design</w:t>
      </w:r>
    </w:p>
    <w:p>
      <w:pPr>
        <w:pStyle w:val="ListBullet"/>
      </w:pPr>
      <w:r>
        <w:rPr>
          <w:sz w:val="21"/>
        </w:rPr>
        <w:t>The production cloud foundation for the DOODLE LMS application.</w:t>
      </w:r>
    </w:p>
    <w:p>
      <w:pPr>
        <w:pStyle w:val="ListBullet"/>
      </w:pPr>
      <w:r>
        <w:rPr>
          <w:sz w:val="21"/>
        </w:rPr>
        <w:t>All compute, networking, identity, storage, database, autoscaling and monitoring needed to run the LMS as a multi-tier web workload in AWS.</w:t>
      </w:r>
    </w:p>
    <w:p>
      <w:pPr>
        <w:pStyle w:val="ListBullet"/>
      </w:pPr>
      <w:r>
        <w:rPr>
          <w:sz w:val="21"/>
        </w:rPr>
        <w:t>Single-region, single-Availability-Zone deployment in ap-southeast-2 (Sydney).</w:t>
      </w:r>
    </w:p>
    <w:p>
      <w:pPr>
        <w:pStyle w:val="Heading3"/>
      </w:pPr>
      <w:r>
        <w:t>Out of scope — deferred to the follow-on HA design phase</w:t>
      </w:r>
    </w:p>
    <w:p>
      <w:pPr>
        <w:pStyle w:val="ListBullet"/>
      </w:pPr>
      <w:r>
        <w:rPr>
          <w:sz w:val="21"/>
        </w:rPr>
        <w:t>High-availability hardening (Multi-AZ database, cross-AZ compute resilience, failure-simulation testing).</w:t>
      </w:r>
    </w:p>
    <w:p>
      <w:pPr>
        <w:pStyle w:val="ListBullet"/>
      </w:pPr>
      <w:r>
        <w:rPr>
          <w:sz w:val="21"/>
        </w:rPr>
        <w:t>Disaster recovery to a second AWS region; DR runbook and tabletop testing.</w:t>
      </w:r>
    </w:p>
    <w:p>
      <w:pPr>
        <w:pStyle w:val="ListBullet"/>
      </w:pPr>
      <w:r>
        <w:rPr>
          <w:sz w:val="21"/>
        </w:rPr>
        <w:t>Application re-platforming (the LMS remains Windows Server 2016 + DOODLE + MySQL).</w:t>
      </w:r>
    </w:p>
    <w:p>
      <w:pPr>
        <w:pStyle w:val="Heading3"/>
      </w:pPr>
      <w:r>
        <w:t>Out of MTS scope entirely — YAT ICT responsibility</w:t>
      </w:r>
    </w:p>
    <w:p>
      <w:pPr>
        <w:pStyle w:val="ListBullet"/>
      </w:pPr>
      <w:r>
        <w:rPr>
          <w:sz w:val="21"/>
        </w:rPr>
        <w:t>LMS application installation onto the EC2 instance(s) after handover.</w:t>
      </w:r>
    </w:p>
    <w:p>
      <w:pPr>
        <w:pStyle w:val="ListBullet"/>
      </w:pPr>
      <w:r>
        <w:rPr>
          <w:sz w:val="21"/>
        </w:rPr>
        <w:t>Database migration (extract from on-prem MySQL, load into RDS).</w:t>
      </w:r>
    </w:p>
    <w:p>
      <w:pPr>
        <w:pStyle w:val="ListBullet"/>
      </w:pPr>
      <w:r>
        <w:rPr>
          <w:sz w:val="21"/>
        </w:rPr>
        <w:t>Cutover — DNS switch, parallel running, decommissioning, user redirection.</w:t>
      </w:r>
    </w:p>
    <w:p>
      <w:pPr>
        <w:pStyle w:val="ListBullet"/>
      </w:pPr>
      <w:r>
        <w:rPr>
          <w:sz w:val="21"/>
        </w:rPr>
        <w:t>Organisational change management — CAB approvals, communications, training, post-cutover support.</w:t>
      </w:r>
    </w:p>
    <w:p>
      <w:pPr>
        <w:pStyle w:val="Heading1"/>
      </w:pPr>
      <w:r>
        <w:t>2. Design Inputs and Requirements</w:t>
      </w:r>
    </w:p>
    <w:p>
      <w:pPr>
        <w:pStyle w:val="Heading3"/>
      </w:pPr>
      <w:r>
        <w:t>2.1 Inputs</w:t>
      </w:r>
    </w:p>
    <w:p>
      <w:pPr>
        <w:pStyle w:val="ListBullet"/>
      </w:pPr>
      <w:r>
        <w:rPr>
          <w:sz w:val="21"/>
        </w:rPr>
        <w:t>LMS Application Specification — workload, SLAs, data footprint, integration points.</w:t>
      </w:r>
    </w:p>
    <w:p>
      <w:pPr>
        <w:pStyle w:val="ListBullet"/>
      </w:pPr>
      <w:r>
        <w:rPr>
          <w:sz w:val="21"/>
        </w:rPr>
        <w:t>LMS Cloud Migration Requirements — SLA, RPO/RTO targets.</w:t>
      </w:r>
    </w:p>
    <w:p>
      <w:pPr>
        <w:pStyle w:val="ListBullet"/>
      </w:pPr>
      <w:r>
        <w:rPr>
          <w:sz w:val="21"/>
        </w:rPr>
        <w:t>Engagement Role Brief — engagement scope, OS and application preservation.</w:t>
      </w:r>
    </w:p>
    <w:p>
      <w:pPr>
        <w:pStyle w:val="ListBullet"/>
      </w:pPr>
      <w:r>
        <w:rPr>
          <w:sz w:val="21"/>
        </w:rPr>
        <w:t>ICT Environment Overview and the On-Premises Network Diagram — the current state being migrated from.</w:t>
      </w:r>
    </w:p>
    <w:p>
      <w:pPr>
        <w:pStyle w:val="Heading3"/>
      </w:pPr>
      <w:r>
        <w:t>2.2 Requirements the design must meet</w:t>
      </w:r>
    </w:p>
    <w:tbl>
      <w:tblPr>
        <w:tblW w:type="auto" w:w="0"/>
        <w:jc w:val="center"/>
        <w:tblLook w:firstColumn="1" w:firstRow="1" w:lastColumn="0" w:lastRow="0" w:noHBand="0" w:noVBand="1" w:val="04A0"/>
      </w:tblPr>
      <w:tblGrid>
        <w:gridCol w:w="4706"/>
        <w:gridCol w:w="4706"/>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Requirement</w:t>
            </w:r>
          </w:p>
        </w:tc>
        <w:tc>
          <w:tcPr>
            <w:tcW w:type="dxa" w:w="6236"/>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Target / note</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Region / data residency</w:t>
            </w:r>
          </w:p>
        </w:tc>
        <w:tc>
          <w:tcPr>
            <w:tcW w:type="dxa" w:w="6236"/>
            <w:tcBorders>
              <w:top w:val="single" w:sz="4" w:space="0" w:color="E4DED3"/>
              <w:left w:val="single" w:sz="4" w:space="0" w:color="E4DED3"/>
              <w:bottom w:val="single" w:sz="4" w:space="0" w:color="E4DED3"/>
              <w:right w:val="single" w:sz="4" w:space="0" w:color="E4DED3"/>
            </w:tcBorders>
          </w:tcPr>
          <w:p>
            <w:r>
              <w:rPr>
                <w:sz w:val="18"/>
              </w:rPr>
              <w:t>ap-southeast-2 (Sydney); all student PII within Australia (Privacy Act, APP 8)</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Application stack</w:t>
            </w:r>
          </w:p>
        </w:tc>
        <w:tc>
          <w:tcPr>
            <w:tcW w:type="dxa" w:w="6236"/>
            <w:tcBorders>
              <w:top w:val="single" w:sz="4" w:space="0" w:color="E4DED3"/>
              <w:left w:val="single" w:sz="4" w:space="0" w:color="E4DED3"/>
              <w:bottom w:val="single" w:sz="4" w:space="0" w:color="E4DED3"/>
              <w:right w:val="single" w:sz="4" w:space="0" w:color="E4DED3"/>
            </w:tcBorders>
          </w:tcPr>
          <w:p>
            <w:r>
              <w:rPr>
                <w:sz w:val="18"/>
              </w:rPr>
              <w:t>Preserved — Windows Server 2016 · MySQL · DOODLE</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Concurrent users</w:t>
            </w:r>
          </w:p>
        </w:tc>
        <w:tc>
          <w:tcPr>
            <w:tcW w:type="dxa" w:w="6236"/>
            <w:tcBorders>
              <w:top w:val="single" w:sz="4" w:space="0" w:color="E4DED3"/>
              <w:left w:val="single" w:sz="4" w:space="0" w:color="E4DED3"/>
              <w:bottom w:val="single" w:sz="4" w:space="0" w:color="E4DED3"/>
              <w:right w:val="single" w:sz="4" w:space="0" w:color="E4DED3"/>
            </w:tcBorders>
          </w:tcPr>
          <w:p>
            <w:r>
              <w:rPr>
                <w:sz w:val="18"/>
              </w:rPr>
              <w:t>200–300 typical; 500–700 peak during assessment windows</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Data footprint</w:t>
            </w:r>
          </w:p>
        </w:tc>
        <w:tc>
          <w:tcPr>
            <w:tcW w:type="dxa" w:w="6236"/>
            <w:tcBorders>
              <w:top w:val="single" w:sz="4" w:space="0" w:color="E4DED3"/>
              <w:left w:val="single" w:sz="4" w:space="0" w:color="E4DED3"/>
              <w:bottom w:val="single" w:sz="4" w:space="0" w:color="E4DED3"/>
              <w:right w:val="single" w:sz="4" w:space="0" w:color="E4DED3"/>
            </w:tcBorders>
          </w:tcPr>
          <w:p>
            <w:r>
              <w:rPr>
                <w:sz w:val="18"/>
              </w:rPr>
              <w:t>~178 GB, growing ~25 GB/year</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Authentication</w:t>
            </w:r>
          </w:p>
        </w:tc>
        <w:tc>
          <w:tcPr>
            <w:tcW w:type="dxa" w:w="6236"/>
            <w:tcBorders>
              <w:top w:val="single" w:sz="4" w:space="0" w:color="E4DED3"/>
              <w:left w:val="single" w:sz="4" w:space="0" w:color="E4DED3"/>
              <w:bottom w:val="single" w:sz="4" w:space="0" w:color="E4DED3"/>
              <w:right w:val="single" w:sz="4" w:space="0" w:color="E4DED3"/>
            </w:tcBorders>
          </w:tcPr>
          <w:p>
            <w:r>
              <w:rPr>
                <w:sz w:val="18"/>
              </w:rPr>
              <w:t>Preserve AD-LDAP integration over a private network to campus AD</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High availability</w:t>
            </w:r>
          </w:p>
        </w:tc>
        <w:tc>
          <w:tcPr>
            <w:tcW w:type="dxa" w:w="6236"/>
            <w:tcBorders>
              <w:top w:val="single" w:sz="4" w:space="0" w:color="E4DED3"/>
              <w:left w:val="single" w:sz="4" w:space="0" w:color="E4DED3"/>
              <w:bottom w:val="single" w:sz="4" w:space="0" w:color="E4DED3"/>
              <w:right w:val="single" w:sz="4" w:space="0" w:color="E4DED3"/>
            </w:tcBorders>
          </w:tcPr>
          <w:p>
            <w:r>
              <w:rPr>
                <w:sz w:val="18"/>
              </w:rPr>
              <w:t>Out of baseline scope — the 99.9% target is deferred to the follow-on HA design</w:t>
            </w:r>
          </w:p>
        </w:tc>
      </w:tr>
    </w:tbl>
    <w:p/>
    <w:p>
      <w:pPr>
        <w:pStyle w:val="Heading1"/>
      </w:pPr>
      <w:r>
        <w:t>3. Review of Existing Architecture</w:t>
      </w:r>
    </w:p>
    <w:p>
      <w:pPr>
        <w:spacing w:after="120"/>
      </w:pPr>
      <w:r>
        <w:rPr>
          <w:b/>
          <w:color w:val="C5613B"/>
          <w:sz w:val="21"/>
        </w:rPr>
        <w:t>Not applicable — this is a greenfield cloud foundation; there is no existing cloud baseline to review. The on-premises current state is documented separately in the ICT Environment Overview.</w:t>
      </w:r>
    </w:p>
    <w:p>
      <w:pPr>
        <w:pStyle w:val="Heading1"/>
      </w:pPr>
      <w:r>
        <w:t>4. Architecture Design</w:t>
      </w:r>
    </w:p>
    <w:p>
      <w:pPr>
        <w:pStyle w:val="Heading3"/>
      </w:pPr>
      <w:r>
        <w:t>4.1 Assumptions and constraints</w:t>
      </w:r>
    </w:p>
    <w:tbl>
      <w:tblPr>
        <w:tblW w:type="auto" w:w="0"/>
        <w:jc w:val="center"/>
        <w:tblLook w:firstColumn="1" w:firstRow="1" w:lastColumn="0" w:lastRow="0" w:noHBand="0" w:noVBand="1" w:val="04A0"/>
      </w:tblPr>
      <w:tblGrid>
        <w:gridCol w:w="3137"/>
        <w:gridCol w:w="3137"/>
        <w:gridCol w:w="3137"/>
      </w:tblGrid>
      <w:tr>
        <w:tc>
          <w:tcPr>
            <w:tcW w:type="dxa" w:w="56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w:t>
            </w:r>
          </w:p>
        </w:tc>
        <w:tc>
          <w:tcPr>
            <w:tcW w:type="dxa" w:w="510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Assumption / constraint</w:t>
            </w:r>
          </w:p>
        </w:tc>
        <w:tc>
          <w:tcPr>
            <w:tcW w:type="dxa" w:w="340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Source</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A1</w:t>
            </w:r>
          </w:p>
        </w:tc>
        <w:tc>
          <w:tcPr>
            <w:tcW w:type="dxa" w:w="5102"/>
            <w:tcBorders>
              <w:top w:val="single" w:sz="4" w:space="0" w:color="E4DED3"/>
              <w:left w:val="single" w:sz="4" w:space="0" w:color="E4DED3"/>
              <w:bottom w:val="single" w:sz="4" w:space="0" w:color="E4DED3"/>
              <w:right w:val="single" w:sz="4" w:space="0" w:color="E4DED3"/>
            </w:tcBorders>
          </w:tcPr>
          <w:p>
            <w:r>
              <w:rPr>
                <w:sz w:val="18"/>
              </w:rPr>
              <w:t>Region must be ap-southeast-2 (Sydney) for data residency</w:t>
            </w:r>
          </w:p>
        </w:tc>
        <w:tc>
          <w:tcPr>
            <w:tcW w:type="dxa" w:w="3402"/>
            <w:tcBorders>
              <w:top w:val="single" w:sz="4" w:space="0" w:color="E4DED3"/>
              <w:left w:val="single" w:sz="4" w:space="0" w:color="E4DED3"/>
              <w:bottom w:val="single" w:sz="4" w:space="0" w:color="E4DED3"/>
              <w:right w:val="single" w:sz="4" w:space="0" w:color="E4DED3"/>
            </w:tcBorders>
          </w:tcPr>
          <w:p>
            <w:r>
              <w:rPr>
                <w:sz w:val="18"/>
              </w:rPr>
              <w:t>LMS App Spec; Privacy Policy</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A2</w:t>
            </w:r>
          </w:p>
        </w:tc>
        <w:tc>
          <w:tcPr>
            <w:tcW w:type="dxa" w:w="5102"/>
            <w:tcBorders>
              <w:top w:val="single" w:sz="4" w:space="0" w:color="E4DED3"/>
              <w:left w:val="single" w:sz="4" w:space="0" w:color="E4DED3"/>
              <w:bottom w:val="single" w:sz="4" w:space="0" w:color="E4DED3"/>
              <w:right w:val="single" w:sz="4" w:space="0" w:color="E4DED3"/>
            </w:tcBorders>
          </w:tcPr>
          <w:p>
            <w:r>
              <w:rPr>
                <w:sz w:val="18"/>
              </w:rPr>
              <w:t>Application stack preserved: Windows Server 2016, MySQL, DOODLE</w:t>
            </w:r>
          </w:p>
        </w:tc>
        <w:tc>
          <w:tcPr>
            <w:tcW w:type="dxa" w:w="3402"/>
            <w:tcBorders>
              <w:top w:val="single" w:sz="4" w:space="0" w:color="E4DED3"/>
              <w:left w:val="single" w:sz="4" w:space="0" w:color="E4DED3"/>
              <w:bottom w:val="single" w:sz="4" w:space="0" w:color="E4DED3"/>
              <w:right w:val="single" w:sz="4" w:space="0" w:color="E4DED3"/>
            </w:tcBorders>
          </w:tcPr>
          <w:p>
            <w:r>
              <w:rPr>
                <w:sz w:val="18"/>
              </w:rPr>
              <w:t>Engagement Role Brief</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A3</w:t>
            </w:r>
          </w:p>
        </w:tc>
        <w:tc>
          <w:tcPr>
            <w:tcW w:type="dxa" w:w="5102"/>
            <w:tcBorders>
              <w:top w:val="single" w:sz="4" w:space="0" w:color="E4DED3"/>
              <w:left w:val="single" w:sz="4" w:space="0" w:color="E4DED3"/>
              <w:bottom w:val="single" w:sz="4" w:space="0" w:color="E4DED3"/>
              <w:right w:val="single" w:sz="4" w:space="0" w:color="E4DED3"/>
            </w:tcBorders>
          </w:tcPr>
          <w:p>
            <w:r>
              <w:rPr>
                <w:sz w:val="18"/>
              </w:rPr>
              <w:t>Data footprint ~178 GB, +~25 GB/year (attachments + submissions dominate)</w:t>
            </w:r>
          </w:p>
        </w:tc>
        <w:tc>
          <w:tcPr>
            <w:tcW w:type="dxa" w:w="3402"/>
            <w:tcBorders>
              <w:top w:val="single" w:sz="4" w:space="0" w:color="E4DED3"/>
              <w:left w:val="single" w:sz="4" w:space="0" w:color="E4DED3"/>
              <w:bottom w:val="single" w:sz="4" w:space="0" w:color="E4DED3"/>
              <w:right w:val="single" w:sz="4" w:space="0" w:color="E4DED3"/>
            </w:tcBorders>
          </w:tcPr>
          <w:p>
            <w:r>
              <w:rPr>
                <w:sz w:val="18"/>
              </w:rPr>
              <w:t>LMS App Spec</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A4</w:t>
            </w:r>
          </w:p>
        </w:tc>
        <w:tc>
          <w:tcPr>
            <w:tcW w:type="dxa" w:w="5102"/>
            <w:tcBorders>
              <w:top w:val="single" w:sz="4" w:space="0" w:color="E4DED3"/>
              <w:left w:val="single" w:sz="4" w:space="0" w:color="E4DED3"/>
              <w:bottom w:val="single" w:sz="4" w:space="0" w:color="E4DED3"/>
              <w:right w:val="single" w:sz="4" w:space="0" w:color="E4DED3"/>
            </w:tcBorders>
          </w:tcPr>
          <w:p>
            <w:r>
              <w:rPr>
                <w:sz w:val="18"/>
              </w:rPr>
              <w:t>Concurrent users 200–300 typical, 500–700 peak</w:t>
            </w:r>
          </w:p>
        </w:tc>
        <w:tc>
          <w:tcPr>
            <w:tcW w:type="dxa" w:w="3402"/>
            <w:tcBorders>
              <w:top w:val="single" w:sz="4" w:space="0" w:color="E4DED3"/>
              <w:left w:val="single" w:sz="4" w:space="0" w:color="E4DED3"/>
              <w:bottom w:val="single" w:sz="4" w:space="0" w:color="E4DED3"/>
              <w:right w:val="single" w:sz="4" w:space="0" w:color="E4DED3"/>
            </w:tcBorders>
          </w:tcPr>
          <w:p>
            <w:r>
              <w:rPr>
                <w:sz w:val="18"/>
              </w:rPr>
              <w:t>LMS App Spec</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A5</w:t>
            </w:r>
          </w:p>
        </w:tc>
        <w:tc>
          <w:tcPr>
            <w:tcW w:type="dxa" w:w="5102"/>
            <w:tcBorders>
              <w:top w:val="single" w:sz="4" w:space="0" w:color="E4DED3"/>
              <w:left w:val="single" w:sz="4" w:space="0" w:color="E4DED3"/>
              <w:bottom w:val="single" w:sz="4" w:space="0" w:color="E4DED3"/>
              <w:right w:val="single" w:sz="4" w:space="0" w:color="E4DED3"/>
            </w:tcBorders>
          </w:tcPr>
          <w:p>
            <w:r>
              <w:rPr>
                <w:sz w:val="18"/>
              </w:rPr>
              <w:t>All student PII must remain within Australia</w:t>
            </w:r>
          </w:p>
        </w:tc>
        <w:tc>
          <w:tcPr>
            <w:tcW w:type="dxa" w:w="3402"/>
            <w:tcBorders>
              <w:top w:val="single" w:sz="4" w:space="0" w:color="E4DED3"/>
              <w:left w:val="single" w:sz="4" w:space="0" w:color="E4DED3"/>
              <w:bottom w:val="single" w:sz="4" w:space="0" w:color="E4DED3"/>
              <w:right w:val="single" w:sz="4" w:space="0" w:color="E4DED3"/>
            </w:tcBorders>
          </w:tcPr>
          <w:p>
            <w:r>
              <w:rPr>
                <w:sz w:val="18"/>
              </w:rPr>
              <w:t>Privacy Act 1988, APP 8</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A6</w:t>
            </w:r>
          </w:p>
        </w:tc>
        <w:tc>
          <w:tcPr>
            <w:tcW w:type="dxa" w:w="5102"/>
            <w:tcBorders>
              <w:top w:val="single" w:sz="4" w:space="0" w:color="E4DED3"/>
              <w:left w:val="single" w:sz="4" w:space="0" w:color="E4DED3"/>
              <w:bottom w:val="single" w:sz="4" w:space="0" w:color="E4DED3"/>
              <w:right w:val="single" w:sz="4" w:space="0" w:color="E4DED3"/>
            </w:tcBorders>
          </w:tcPr>
          <w:p>
            <w:r>
              <w:rPr>
                <w:sz w:val="18"/>
              </w:rPr>
              <w:t>Preserve AD-LDAP integration over private network to campus AD</w:t>
            </w:r>
          </w:p>
        </w:tc>
        <w:tc>
          <w:tcPr>
            <w:tcW w:type="dxa" w:w="3402"/>
            <w:tcBorders>
              <w:top w:val="single" w:sz="4" w:space="0" w:color="E4DED3"/>
              <w:left w:val="single" w:sz="4" w:space="0" w:color="E4DED3"/>
              <w:bottom w:val="single" w:sz="4" w:space="0" w:color="E4DED3"/>
              <w:right w:val="single" w:sz="4" w:space="0" w:color="E4DED3"/>
            </w:tcBorders>
          </w:tcPr>
          <w:p>
            <w:r>
              <w:rPr>
                <w:sz w:val="18"/>
              </w:rPr>
              <w:t>LMS App Spec</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A7</w:t>
            </w:r>
          </w:p>
        </w:tc>
        <w:tc>
          <w:tcPr>
            <w:tcW w:type="dxa" w:w="5102"/>
            <w:tcBorders>
              <w:top w:val="single" w:sz="4" w:space="0" w:color="E4DED3"/>
              <w:left w:val="single" w:sz="4" w:space="0" w:color="E4DED3"/>
              <w:bottom w:val="single" w:sz="4" w:space="0" w:color="E4DED3"/>
              <w:right w:val="single" w:sz="4" w:space="0" w:color="E4DED3"/>
            </w:tcBorders>
          </w:tcPr>
          <w:p>
            <w:r>
              <w:rPr>
                <w:sz w:val="18"/>
              </w:rPr>
              <w:t>Baseline is NOT high-availability; 99.9% deferred to the HA design</w:t>
            </w:r>
          </w:p>
        </w:tc>
        <w:tc>
          <w:tcPr>
            <w:tcW w:type="dxa" w:w="3402"/>
            <w:tcBorders>
              <w:top w:val="single" w:sz="4" w:space="0" w:color="E4DED3"/>
              <w:left w:val="single" w:sz="4" w:space="0" w:color="E4DED3"/>
              <w:bottom w:val="single" w:sz="4" w:space="0" w:color="E4DED3"/>
              <w:right w:val="single" w:sz="4" w:space="0" w:color="E4DED3"/>
            </w:tcBorders>
          </w:tcPr>
          <w:p>
            <w:r>
              <w:rPr>
                <w:sz w:val="18"/>
              </w:rPr>
              <w:t>Scoping decision</w:t>
            </w:r>
          </w:p>
        </w:tc>
      </w:tr>
    </w:tbl>
    <w:p/>
    <w:p>
      <w:pPr>
        <w:pStyle w:val="Heading3"/>
      </w:pPr>
      <w:r>
        <w:t>4.2 AWS account and region</w:t>
      </w:r>
    </w:p>
    <w:p>
      <w:r>
        <w:rPr>
          <w:sz w:val="21"/>
        </w:rPr>
        <w:t>An AWS account scoped to the migration engagement, provisioned by YAT and shared with MTS for the build. Region ap-southeast-2 (Sydney); no deployment outside Australian regions. Availability Zone ap-southeast-2a for the baseline; the follow-on HA design introduces a second AZ.</w:t>
      </w:r>
    </w:p>
    <w:p>
      <w:pPr>
        <w:pStyle w:val="Heading3"/>
      </w:pPr>
      <w:r>
        <w:t>4.3 Identity and Access Management (IAM)</w:t>
      </w:r>
    </w:p>
    <w:tbl>
      <w:tblPr>
        <w:tblW w:type="auto" w:w="0"/>
        <w:jc w:val="center"/>
        <w:tblLook w:firstColumn="1" w:firstRow="1" w:lastColumn="0" w:lastRow="0" w:noHBand="0" w:noVBand="1" w:val="04A0"/>
      </w:tblPr>
      <w:tblGrid>
        <w:gridCol w:w="3137"/>
        <w:gridCol w:w="3137"/>
        <w:gridCol w:w="3137"/>
      </w:tblGrid>
      <w:tr>
        <w:tc>
          <w:tcPr>
            <w:tcW w:type="dxa" w:w="198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Group</w:t>
            </w:r>
          </w:p>
        </w:tc>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Purpose</w:t>
            </w:r>
          </w:p>
        </w:tc>
        <w:tc>
          <w:tcPr>
            <w:tcW w:type="dxa" w:w="425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Indicative permissions</w:t>
            </w:r>
          </w:p>
        </w:tc>
      </w:tr>
      <w:tr>
        <w:tc>
          <w:tcPr>
            <w:tcW w:type="dxa" w:w="1984"/>
            <w:tcBorders>
              <w:top w:val="single" w:sz="4" w:space="0" w:color="E4DED3"/>
              <w:left w:val="single" w:sz="4" w:space="0" w:color="E4DED3"/>
              <w:bottom w:val="single" w:sz="4" w:space="0" w:color="E4DED3"/>
              <w:right w:val="single" w:sz="4" w:space="0" w:color="E4DED3"/>
            </w:tcBorders>
          </w:tcPr>
          <w:p>
            <w:r>
              <w:rPr>
                <w:b/>
                <w:sz w:val="18"/>
              </w:rPr>
              <w:t>YAT-ICT-Admins</w:t>
            </w:r>
          </w:p>
        </w:tc>
        <w:tc>
          <w:tcPr>
            <w:tcW w:type="dxa" w:w="2835"/>
            <w:tcBorders>
              <w:top w:val="single" w:sz="4" w:space="0" w:color="E4DED3"/>
              <w:left w:val="single" w:sz="4" w:space="0" w:color="E4DED3"/>
              <w:bottom w:val="single" w:sz="4" w:space="0" w:color="E4DED3"/>
              <w:right w:val="single" w:sz="4" w:space="0" w:color="E4DED3"/>
            </w:tcBorders>
          </w:tcPr>
          <w:p>
            <w:r>
              <w:rPr>
                <w:sz w:val="18"/>
              </w:rPr>
              <w:t>YAT ICT day-to-day ops post-handover</w:t>
            </w:r>
          </w:p>
        </w:tc>
        <w:tc>
          <w:tcPr>
            <w:tcW w:type="dxa" w:w="4252"/>
            <w:tcBorders>
              <w:top w:val="single" w:sz="4" w:space="0" w:color="E4DED3"/>
              <w:left w:val="single" w:sz="4" w:space="0" w:color="E4DED3"/>
              <w:bottom w:val="single" w:sz="4" w:space="0" w:color="E4DED3"/>
              <w:right w:val="single" w:sz="4" w:space="0" w:color="E4DED3"/>
            </w:tcBorders>
          </w:tcPr>
          <w:p>
            <w:r>
              <w:rPr>
                <w:sz w:val="18"/>
              </w:rPr>
              <w:t>Read-only on infra; full CloudWatch/RDS/EC2 console; no IAM changes</w:t>
            </w:r>
          </w:p>
        </w:tc>
      </w:tr>
      <w:tr>
        <w:tc>
          <w:tcPr>
            <w:tcW w:type="dxa" w:w="1984"/>
            <w:tcBorders>
              <w:top w:val="single" w:sz="4" w:space="0" w:color="E4DED3"/>
              <w:left w:val="single" w:sz="4" w:space="0" w:color="E4DED3"/>
              <w:bottom w:val="single" w:sz="4" w:space="0" w:color="E4DED3"/>
              <w:right w:val="single" w:sz="4" w:space="0" w:color="E4DED3"/>
            </w:tcBorders>
          </w:tcPr>
          <w:p>
            <w:r>
              <w:rPr>
                <w:b/>
                <w:sz w:val="18"/>
              </w:rPr>
              <w:t>MTS-Consultants</w:t>
            </w:r>
          </w:p>
        </w:tc>
        <w:tc>
          <w:tcPr>
            <w:tcW w:type="dxa" w:w="2835"/>
            <w:tcBorders>
              <w:top w:val="single" w:sz="4" w:space="0" w:color="E4DED3"/>
              <w:left w:val="single" w:sz="4" w:space="0" w:color="E4DED3"/>
              <w:bottom w:val="single" w:sz="4" w:space="0" w:color="E4DED3"/>
              <w:right w:val="single" w:sz="4" w:space="0" w:color="E4DED3"/>
            </w:tcBorders>
          </w:tcPr>
          <w:p>
            <w:r>
              <w:rPr>
                <w:sz w:val="18"/>
              </w:rPr>
              <w:t>MTS during build + support</w:t>
            </w:r>
          </w:p>
        </w:tc>
        <w:tc>
          <w:tcPr>
            <w:tcW w:type="dxa" w:w="4252"/>
            <w:tcBorders>
              <w:top w:val="single" w:sz="4" w:space="0" w:color="E4DED3"/>
              <w:left w:val="single" w:sz="4" w:space="0" w:color="E4DED3"/>
              <w:bottom w:val="single" w:sz="4" w:space="0" w:color="E4DED3"/>
              <w:right w:val="single" w:sz="4" w:space="0" w:color="E4DED3"/>
            </w:tcBorders>
          </w:tcPr>
          <w:p>
            <w:r>
              <w:rPr>
                <w:sz w:val="18"/>
              </w:rPr>
              <w:t>Full admin during build; reduced post-handover</w:t>
            </w:r>
          </w:p>
        </w:tc>
      </w:tr>
      <w:tr>
        <w:tc>
          <w:tcPr>
            <w:tcW w:type="dxa" w:w="1984"/>
            <w:tcBorders>
              <w:top w:val="single" w:sz="4" w:space="0" w:color="E4DED3"/>
              <w:left w:val="single" w:sz="4" w:space="0" w:color="E4DED3"/>
              <w:bottom w:val="single" w:sz="4" w:space="0" w:color="E4DED3"/>
              <w:right w:val="single" w:sz="4" w:space="0" w:color="E4DED3"/>
            </w:tcBorders>
          </w:tcPr>
          <w:p>
            <w:r>
              <w:rPr>
                <w:b/>
                <w:sz w:val="18"/>
              </w:rPr>
              <w:t>Application-Service</w:t>
            </w:r>
          </w:p>
        </w:tc>
        <w:tc>
          <w:tcPr>
            <w:tcW w:type="dxa" w:w="2835"/>
            <w:tcBorders>
              <w:top w:val="single" w:sz="4" w:space="0" w:color="E4DED3"/>
              <w:left w:val="single" w:sz="4" w:space="0" w:color="E4DED3"/>
              <w:bottom w:val="single" w:sz="4" w:space="0" w:color="E4DED3"/>
              <w:right w:val="single" w:sz="4" w:space="0" w:color="E4DED3"/>
            </w:tcBorders>
          </w:tcPr>
          <w:p>
            <w:r>
              <w:rPr>
                <w:sz w:val="18"/>
              </w:rPr>
              <w:t>EC2 instance role for the LMS</w:t>
            </w:r>
          </w:p>
        </w:tc>
        <w:tc>
          <w:tcPr>
            <w:tcW w:type="dxa" w:w="4252"/>
            <w:tcBorders>
              <w:top w:val="single" w:sz="4" w:space="0" w:color="E4DED3"/>
              <w:left w:val="single" w:sz="4" w:space="0" w:color="E4DED3"/>
              <w:bottom w:val="single" w:sz="4" w:space="0" w:color="E4DED3"/>
              <w:right w:val="single" w:sz="4" w:space="0" w:color="E4DED3"/>
            </w:tcBorders>
          </w:tcPr>
          <w:p>
            <w:r>
              <w:rPr>
                <w:sz w:val="18"/>
              </w:rPr>
              <w:t>RDS read/write; S3 read/write (attachments); CloudWatch logs</w:t>
            </w:r>
          </w:p>
        </w:tc>
      </w:tr>
      <w:tr>
        <w:tc>
          <w:tcPr>
            <w:tcW w:type="dxa" w:w="1984"/>
            <w:tcBorders>
              <w:top w:val="single" w:sz="4" w:space="0" w:color="E4DED3"/>
              <w:left w:val="single" w:sz="4" w:space="0" w:color="E4DED3"/>
              <w:bottom w:val="single" w:sz="4" w:space="0" w:color="E4DED3"/>
              <w:right w:val="single" w:sz="4" w:space="0" w:color="E4DED3"/>
            </w:tcBorders>
          </w:tcPr>
          <w:p>
            <w:r>
              <w:rPr>
                <w:b/>
                <w:sz w:val="18"/>
              </w:rPr>
              <w:t>Read-Only-Auditors</w:t>
            </w:r>
          </w:p>
        </w:tc>
        <w:tc>
          <w:tcPr>
            <w:tcW w:type="dxa" w:w="2835"/>
            <w:tcBorders>
              <w:top w:val="single" w:sz="4" w:space="0" w:color="E4DED3"/>
              <w:left w:val="single" w:sz="4" w:space="0" w:color="E4DED3"/>
              <w:bottom w:val="single" w:sz="4" w:space="0" w:color="E4DED3"/>
              <w:right w:val="single" w:sz="4" w:space="0" w:color="E4DED3"/>
            </w:tcBorders>
          </w:tcPr>
          <w:p>
            <w:r>
              <w:rPr>
                <w:sz w:val="18"/>
              </w:rPr>
              <w:t>Compliance / external auditors</w:t>
            </w:r>
          </w:p>
        </w:tc>
        <w:tc>
          <w:tcPr>
            <w:tcW w:type="dxa" w:w="4252"/>
            <w:tcBorders>
              <w:top w:val="single" w:sz="4" w:space="0" w:color="E4DED3"/>
              <w:left w:val="single" w:sz="4" w:space="0" w:color="E4DED3"/>
              <w:bottom w:val="single" w:sz="4" w:space="0" w:color="E4DED3"/>
              <w:right w:val="single" w:sz="4" w:space="0" w:color="E4DED3"/>
            </w:tcBorders>
          </w:tcPr>
          <w:p>
            <w:r>
              <w:rPr>
                <w:sz w:val="18"/>
              </w:rPr>
              <w:t>Read-only on logs, metrics, configs</w:t>
            </w:r>
          </w:p>
        </w:tc>
      </w:tr>
    </w:tbl>
    <w:p/>
    <w:p>
      <w:pPr>
        <w:pStyle w:val="ListBullet"/>
      </w:pPr>
      <w:r>
        <w:rPr>
          <w:sz w:val="21"/>
        </w:rPr>
        <w:t>MFA required for all YAT-ICT-Admins and MTS-Consultants users (Essential Eight; User Access Policy).</w:t>
      </w:r>
    </w:p>
    <w:p>
      <w:pPr>
        <w:pStyle w:val="ListBullet"/>
      </w:pPr>
      <w:r>
        <w:rPr>
          <w:sz w:val="21"/>
        </w:rPr>
        <w:t>No long-lived access keys for humans; programmatic access via IAM roles only; EC2 access via instance profile.</w:t>
      </w:r>
    </w:p>
    <w:p>
      <w:pPr>
        <w:pStyle w:val="ListBullet"/>
      </w:pPr>
      <w:r>
        <w:rPr>
          <w:sz w:val="21"/>
        </w:rPr>
        <w:t>Configuration decision left to the implementer: the MTS-Consultants permission boundary during build vs after handover.</w:t>
      </w:r>
    </w:p>
    <w:p>
      <w:pPr>
        <w:pStyle w:val="Heading3"/>
      </w:pPr>
      <w:r>
        <w:t>4.4 Network topology</w:t>
      </w:r>
    </w:p>
    <w:p>
      <w:r>
        <w:rPr>
          <w:sz w:val="21"/>
        </w:rPr>
        <w:t>VPC 10.0.0.0/16 (room to expand), with DNS hostnames/resolution and VPC flow logs enabled. Single-AZ subnets in ap-southeast-2a:</w:t>
      </w:r>
    </w:p>
    <w:tbl>
      <w:tblPr>
        <w:tblW w:type="auto" w:w="0"/>
        <w:jc w:val="center"/>
        <w:tblLook w:firstColumn="1" w:firstRow="1" w:lastColumn="0" w:lastRow="0" w:noHBand="0" w:noVBand="1" w:val="04A0"/>
      </w:tblPr>
      <w:tblGrid>
        <w:gridCol w:w="2353"/>
        <w:gridCol w:w="2353"/>
        <w:gridCol w:w="2353"/>
        <w:gridCol w:w="2353"/>
      </w:tblGrid>
      <w:tr>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Subnet</w:t>
            </w:r>
          </w:p>
        </w:tc>
        <w:tc>
          <w:tcPr>
            <w:tcW w:type="dxa" w:w="198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CIDR</w:t>
            </w:r>
          </w:p>
        </w:tc>
        <w:tc>
          <w:tcPr>
            <w:tcW w:type="dxa" w:w="311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Tier</w:t>
            </w:r>
          </w:p>
        </w:tc>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Internet-facing?</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public-web-a</w:t>
            </w:r>
          </w:p>
        </w:tc>
        <w:tc>
          <w:tcPr>
            <w:tcW w:type="dxa" w:w="1984"/>
            <w:tcBorders>
              <w:top w:val="single" w:sz="4" w:space="0" w:color="E4DED3"/>
              <w:left w:val="single" w:sz="4" w:space="0" w:color="E4DED3"/>
              <w:bottom w:val="single" w:sz="4" w:space="0" w:color="E4DED3"/>
              <w:right w:val="single" w:sz="4" w:space="0" w:color="E4DED3"/>
            </w:tcBorders>
          </w:tcPr>
          <w:p>
            <w:r>
              <w:rPr>
                <w:sz w:val="18"/>
              </w:rPr>
              <w:t>10.0.1.0/24</w:t>
            </w:r>
          </w:p>
        </w:tc>
        <w:tc>
          <w:tcPr>
            <w:tcW w:type="dxa" w:w="3118"/>
            <w:tcBorders>
              <w:top w:val="single" w:sz="4" w:space="0" w:color="E4DED3"/>
              <w:left w:val="single" w:sz="4" w:space="0" w:color="E4DED3"/>
              <w:bottom w:val="single" w:sz="4" w:space="0" w:color="E4DED3"/>
              <w:right w:val="single" w:sz="4" w:space="0" w:color="E4DED3"/>
            </w:tcBorders>
          </w:tcPr>
          <w:p>
            <w:r>
              <w:rPr>
                <w:sz w:val="18"/>
              </w:rPr>
              <w:t>Web / public load balancer</w:t>
            </w:r>
          </w:p>
        </w:tc>
        <w:tc>
          <w:tcPr>
            <w:tcW w:type="dxa" w:w="1701"/>
            <w:tcBorders>
              <w:top w:val="single" w:sz="4" w:space="0" w:color="E4DED3"/>
              <w:left w:val="single" w:sz="4" w:space="0" w:color="E4DED3"/>
              <w:bottom w:val="single" w:sz="4" w:space="0" w:color="E4DED3"/>
              <w:right w:val="single" w:sz="4" w:space="0" w:color="E4DED3"/>
            </w:tcBorders>
          </w:tcPr>
          <w:p>
            <w:r>
              <w:rPr>
                <w:sz w:val="18"/>
              </w:rPr>
              <w:t>Yes</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private-app-a</w:t>
            </w:r>
          </w:p>
        </w:tc>
        <w:tc>
          <w:tcPr>
            <w:tcW w:type="dxa" w:w="1984"/>
            <w:tcBorders>
              <w:top w:val="single" w:sz="4" w:space="0" w:color="E4DED3"/>
              <w:left w:val="single" w:sz="4" w:space="0" w:color="E4DED3"/>
              <w:bottom w:val="single" w:sz="4" w:space="0" w:color="E4DED3"/>
              <w:right w:val="single" w:sz="4" w:space="0" w:color="E4DED3"/>
            </w:tcBorders>
          </w:tcPr>
          <w:p>
            <w:r>
              <w:rPr>
                <w:sz w:val="18"/>
              </w:rPr>
              <w:t>10.0.11.0/24</w:t>
            </w:r>
          </w:p>
        </w:tc>
        <w:tc>
          <w:tcPr>
            <w:tcW w:type="dxa" w:w="3118"/>
            <w:tcBorders>
              <w:top w:val="single" w:sz="4" w:space="0" w:color="E4DED3"/>
              <w:left w:val="single" w:sz="4" w:space="0" w:color="E4DED3"/>
              <w:bottom w:val="single" w:sz="4" w:space="0" w:color="E4DED3"/>
              <w:right w:val="single" w:sz="4" w:space="0" w:color="E4DED3"/>
            </w:tcBorders>
          </w:tcPr>
          <w:p>
            <w:r>
              <w:rPr>
                <w:sz w:val="18"/>
              </w:rPr>
              <w:t>Application / LMS EC2</w:t>
            </w:r>
          </w:p>
        </w:tc>
        <w:tc>
          <w:tcPr>
            <w:tcW w:type="dxa" w:w="1701"/>
            <w:tcBorders>
              <w:top w:val="single" w:sz="4" w:space="0" w:color="E4DED3"/>
              <w:left w:val="single" w:sz="4" w:space="0" w:color="E4DED3"/>
              <w:bottom w:val="single" w:sz="4" w:space="0" w:color="E4DED3"/>
              <w:right w:val="single" w:sz="4" w:space="0" w:color="E4DED3"/>
            </w:tcBorders>
          </w:tcPr>
          <w:p>
            <w:r>
              <w:rPr>
                <w:sz w:val="18"/>
              </w:rPr>
              <w:t>No</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private-data-a</w:t>
            </w:r>
          </w:p>
        </w:tc>
        <w:tc>
          <w:tcPr>
            <w:tcW w:type="dxa" w:w="1984"/>
            <w:tcBorders>
              <w:top w:val="single" w:sz="4" w:space="0" w:color="E4DED3"/>
              <w:left w:val="single" w:sz="4" w:space="0" w:color="E4DED3"/>
              <w:bottom w:val="single" w:sz="4" w:space="0" w:color="E4DED3"/>
              <w:right w:val="single" w:sz="4" w:space="0" w:color="E4DED3"/>
            </w:tcBorders>
          </w:tcPr>
          <w:p>
            <w:r>
              <w:rPr>
                <w:sz w:val="18"/>
              </w:rPr>
              <w:t>10.0.21.0/24</w:t>
            </w:r>
          </w:p>
        </w:tc>
        <w:tc>
          <w:tcPr>
            <w:tcW w:type="dxa" w:w="3118"/>
            <w:tcBorders>
              <w:top w:val="single" w:sz="4" w:space="0" w:color="E4DED3"/>
              <w:left w:val="single" w:sz="4" w:space="0" w:color="E4DED3"/>
              <w:bottom w:val="single" w:sz="4" w:space="0" w:color="E4DED3"/>
              <w:right w:val="single" w:sz="4" w:space="0" w:color="E4DED3"/>
            </w:tcBorders>
          </w:tcPr>
          <w:p>
            <w:r>
              <w:rPr>
                <w:sz w:val="18"/>
              </w:rPr>
              <w:t>Database (RDS)</w:t>
            </w:r>
          </w:p>
        </w:tc>
        <w:tc>
          <w:tcPr>
            <w:tcW w:type="dxa" w:w="1701"/>
            <w:tcBorders>
              <w:top w:val="single" w:sz="4" w:space="0" w:color="E4DED3"/>
              <w:left w:val="single" w:sz="4" w:space="0" w:color="E4DED3"/>
              <w:bottom w:val="single" w:sz="4" w:space="0" w:color="E4DED3"/>
              <w:right w:val="single" w:sz="4" w:space="0" w:color="E4DED3"/>
            </w:tcBorders>
          </w:tcPr>
          <w:p>
            <w:r>
              <w:rPr>
                <w:sz w:val="18"/>
              </w:rPr>
              <w:t>No</w:t>
            </w:r>
          </w:p>
        </w:tc>
      </w:tr>
    </w:tbl>
    <w:p/>
    <w:p>
      <w:pPr>
        <w:pStyle w:val="ListBullet"/>
      </w:pPr>
      <w:r>
        <w:rPr>
          <w:sz w:val="21"/>
        </w:rPr>
        <w:t>Internet Gateway for public-subnet traffic; NAT Gateway in public-web-a for private-app outbound (Windows Update etc.).</w:t>
      </w:r>
    </w:p>
    <w:p>
      <w:pPr>
        <w:pStyle w:val="ListBullet"/>
      </w:pPr>
      <w:r>
        <w:rPr>
          <w:sz w:val="21"/>
        </w:rPr>
        <w:t>Route tables: public → IGW; private-app → NAT; private-data → no internet route.</w:t>
      </w:r>
    </w:p>
    <w:p>
      <w:pPr>
        <w:pStyle w:val="ListBullet"/>
      </w:pPr>
      <w:r>
        <w:rPr>
          <w:sz w:val="21"/>
        </w:rPr>
        <w:t>Connectivity to campus AD: Site-to-Site VPN (baseline choice); Direct Connect deferred unless latency requires it.</w:t>
      </w:r>
    </w:p>
    <w:p>
      <w:pPr>
        <w:pStyle w:val="ListBullet"/>
      </w:pPr>
      <w:r>
        <w:rPr>
          <w:sz w:val="21"/>
        </w:rPr>
        <w:t>The follow-on HA design adds the corresponding -b subnets in ap-southeast-2b.</w:t>
      </w:r>
    </w:p>
    <w:tbl>
      <w:tblPr>
        <w:tblW w:type="auto" w:w="0"/>
        <w:tblLook w:firstColumn="1" w:firstRow="1" w:lastColumn="0" w:lastRow="0" w:noHBand="0" w:noVBand="1" w:val="04A0"/>
      </w:tblPr>
      <w:tblGrid>
        <w:gridCol w:w="9412"/>
      </w:tblGrid>
      <w:tr>
        <w:trPr>
          <w:trHeight w:val="5386" w:hRule="exact"/>
        </w:trPr>
        <w:tc>
          <w:tcPr>
            <w:tcW w:type="dxa" w:w="9411"/>
            <w:tcBorders>
              <w:top w:val="single" w:sz="4" w:space="0" w:color="E4DED3"/>
              <w:left w:val="single" w:sz="4" w:space="0" w:color="E4DED3"/>
              <w:bottom w:val="single" w:sz="4" w:space="0" w:color="E4DED3"/>
              <w:right w:val="single" w:sz="4" w:space="0" w:color="E4DED3"/>
            </w:tcBorders>
            <w:shd w:val="clear" w:color="auto" w:fill="F8F4ED"/>
            <w:vAlign w:val="center"/>
          </w:tcPr>
          <w:p>
            <w:pPr>
              <w:jc w:val="center"/>
            </w:pPr>
            <w:r>
              <w:rPr>
                <w:b/>
                <w:color w:val="C5613B"/>
                <w:sz w:val="22"/>
              </w:rPr>
              <w:t>[ NETWORK TOPOLOGY DIAGRAM — PASTE HERE ]</w:t>
            </w:r>
          </w:p>
          <w:p>
            <w:pPr>
              <w:jc w:val="center"/>
            </w:pPr>
            <w:r>
              <w:rPr>
                <w:i/>
                <w:color w:val="6B6660"/>
                <w:sz w:val="18"/>
              </w:rPr>
              <w:t>Source diagram: network-at3-start-non-hardened.drawio</w:t>
            </w:r>
          </w:p>
        </w:tc>
      </w:tr>
    </w:tbl>
    <w:p>
      <w:pPr>
        <w:jc w:val="center"/>
      </w:pPr>
      <w:r>
        <w:rPr>
          <w:i/>
          <w:color w:val="6B6660"/>
          <w:sz w:val="18"/>
        </w:rPr>
        <w:t>Figure 4.4 — LMS baseline network topology (single-AZ).</w:t>
      </w:r>
    </w:p>
    <w:p>
      <w:pPr>
        <w:pStyle w:val="Heading3"/>
      </w:pPr>
      <w:r>
        <w:t>4.5 Compute (EC2 + Auto Scaling)</w:t>
      </w:r>
    </w:p>
    <w:p>
      <w:pPr>
        <w:pStyle w:val="ListBullet"/>
      </w:pPr>
      <w:r>
        <w:rPr>
          <w:sz w:val="21"/>
        </w:rPr>
        <w:t>EC2: general-purpose x86 (e.g. m6i.large — final type a C1 implementer decision); Windows Server 2016 AMI; placed in private-app-a (no public IP).</w:t>
      </w:r>
    </w:p>
    <w:p>
      <w:pPr>
        <w:pStyle w:val="ListBullet"/>
      </w:pPr>
      <w:r>
        <w:rPr>
          <w:sz w:val="21"/>
        </w:rPr>
        <w:t>EBS: gp3 root 100 GB + a gp3 data volume sized by the implementer (footprint + 12-month growth + 50% headroom).</w:t>
      </w:r>
    </w:p>
    <w:p>
      <w:pPr>
        <w:pStyle w:val="ListBullet"/>
      </w:pPr>
      <w:r>
        <w:rPr>
          <w:sz w:val="21"/>
        </w:rPr>
        <w:t>Auto Scaling Group: min 1 / desired 1 / max 2 (baseline); target-tracking on CPU at 70%; ELB+EC2 health checks; 300 s cooldown.</w:t>
      </w:r>
    </w:p>
    <w:p>
      <w:pPr>
        <w:pStyle w:val="ListBullet"/>
      </w:pPr>
      <w:r>
        <w:rPr>
          <w:sz w:val="21"/>
        </w:rPr>
        <w:t>The follow-on HA design expands the ASG (min 2, multi-AZ) and tunes scaling for assessment-window peaks.</w:t>
      </w:r>
    </w:p>
    <w:p>
      <w:pPr>
        <w:pStyle w:val="Heading3"/>
      </w:pPr>
      <w:r>
        <w:t>4.6 Load balancing (ALB)</w:t>
      </w:r>
    </w:p>
    <w:p>
      <w:pPr>
        <w:pStyle w:val="ListBullet"/>
      </w:pPr>
      <w:r>
        <w:rPr>
          <w:sz w:val="21"/>
        </w:rPr>
        <w:t>Internet-facing ALB in public-web-a; HTTPS:443 listener forwarding to the LMS target group.</w:t>
      </w:r>
    </w:p>
    <w:p>
      <w:pPr>
        <w:pStyle w:val="ListBullet"/>
      </w:pPr>
      <w:r>
        <w:rPr>
          <w:sz w:val="21"/>
        </w:rPr>
        <w:t>Target group = the ASG instances; HTTP health check on the LMS health endpoint (30 s; 2 unhealthy → out of service).</w:t>
      </w:r>
    </w:p>
    <w:p>
      <w:pPr>
        <w:pStyle w:val="ListBullet"/>
      </w:pPr>
      <w:r>
        <w:rPr>
          <w:sz w:val="21"/>
        </w:rPr>
        <w:t>TLS via an ACM-issued certificate for the LMS DNS name (DNS strategy a C8 implementer decision).</w:t>
      </w:r>
    </w:p>
    <w:p>
      <w:pPr>
        <w:pStyle w:val="Heading3"/>
      </w:pPr>
      <w:r>
        <w:t>4.7 Database (RDS)</w:t>
      </w:r>
    </w:p>
    <w:p>
      <w:pPr>
        <w:pStyle w:val="ListBullet"/>
      </w:pPr>
      <w:r>
        <w:rPr>
          <w:sz w:val="21"/>
        </w:rPr>
        <w:t>Amazon RDS for MySQL (preserves the existing data/schema); engine version confirmed against DOODLE at build time.</w:t>
      </w:r>
    </w:p>
    <w:p>
      <w:pPr>
        <w:pStyle w:val="ListBullet"/>
      </w:pPr>
      <w:r>
        <w:rPr>
          <w:sz w:val="21"/>
        </w:rPr>
        <w:t>General-purpose instance class (e.g. db.m6i.large — a C2 implementer decision); gp3 storage sized to footprint + growth.</w:t>
      </w:r>
    </w:p>
    <w:p>
      <w:pPr>
        <w:pStyle w:val="ListBullet"/>
      </w:pPr>
      <w:r>
        <w:rPr>
          <w:sz w:val="21"/>
        </w:rPr>
        <w:t>Multi-AZ DISABLED for the baseline (enabled in the HA design); storage encryption enabled (KMS).</w:t>
      </w:r>
    </w:p>
    <w:p>
      <w:pPr>
        <w:pStyle w:val="ListBullet"/>
      </w:pPr>
      <w:r>
        <w:rPr>
          <w:sz w:val="21"/>
        </w:rPr>
        <w:t>Placed in private-data-a; not publicly accessible; 7-day automated backups (window 22:00–04:00 AEST); maintenance Sun 02:00–06:00 AEST.</w:t>
      </w:r>
    </w:p>
    <w:p>
      <w:pPr>
        <w:pStyle w:val="ListBullet"/>
      </w:pPr>
      <w:r>
        <w:rPr>
          <w:sz w:val="21"/>
        </w:rPr>
        <w:t>Schema and data migration are YAT ICT's responsibility, not MTS's — MTS provisions an empty instance.</w:t>
      </w:r>
    </w:p>
    <w:p>
      <w:pPr>
        <w:pStyle w:val="Heading3"/>
      </w:pPr>
      <w:r>
        <w:t>4.8 Storage</w:t>
      </w:r>
    </w:p>
    <w:tbl>
      <w:tblPr>
        <w:tblW w:type="auto" w:w="0"/>
        <w:jc w:val="center"/>
        <w:tblLook w:firstColumn="1" w:firstRow="1" w:lastColumn="0" w:lastRow="0" w:noHBand="0" w:noVBand="1" w:val="04A0"/>
      </w:tblPr>
      <w:tblGrid>
        <w:gridCol w:w="3137"/>
        <w:gridCol w:w="3137"/>
        <w:gridCol w:w="3137"/>
      </w:tblGrid>
      <w:tr>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Resource</w:t>
            </w:r>
          </w:p>
        </w:tc>
        <w:tc>
          <w:tcPr>
            <w:tcW w:type="dxa" w:w="255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Type</w:t>
            </w:r>
          </w:p>
        </w:tc>
        <w:tc>
          <w:tcPr>
            <w:tcW w:type="dxa" w:w="425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Purpose</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EC2 root volume</w:t>
            </w:r>
          </w:p>
        </w:tc>
        <w:tc>
          <w:tcPr>
            <w:tcW w:type="dxa" w:w="2551"/>
            <w:tcBorders>
              <w:top w:val="single" w:sz="4" w:space="0" w:color="E4DED3"/>
              <w:left w:val="single" w:sz="4" w:space="0" w:color="E4DED3"/>
              <w:bottom w:val="single" w:sz="4" w:space="0" w:color="E4DED3"/>
              <w:right w:val="single" w:sz="4" w:space="0" w:color="E4DED3"/>
            </w:tcBorders>
          </w:tcPr>
          <w:p>
            <w:r>
              <w:rPr>
                <w:sz w:val="18"/>
              </w:rPr>
              <w:t>EBS gp3 100 GB</w:t>
            </w:r>
          </w:p>
        </w:tc>
        <w:tc>
          <w:tcPr>
            <w:tcW w:type="dxa" w:w="4252"/>
            <w:tcBorders>
              <w:top w:val="single" w:sz="4" w:space="0" w:color="E4DED3"/>
              <w:left w:val="single" w:sz="4" w:space="0" w:color="E4DED3"/>
              <w:bottom w:val="single" w:sz="4" w:space="0" w:color="E4DED3"/>
              <w:right w:val="single" w:sz="4" w:space="0" w:color="E4DED3"/>
            </w:tcBorders>
          </w:tcPr>
          <w:p>
            <w:r>
              <w:rPr>
                <w:sz w:val="18"/>
              </w:rPr>
              <w:t>OS and LMS application install</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EC2 data volume</w:t>
            </w:r>
          </w:p>
        </w:tc>
        <w:tc>
          <w:tcPr>
            <w:tcW w:type="dxa" w:w="2551"/>
            <w:tcBorders>
              <w:top w:val="single" w:sz="4" w:space="0" w:color="E4DED3"/>
              <w:left w:val="single" w:sz="4" w:space="0" w:color="E4DED3"/>
              <w:bottom w:val="single" w:sz="4" w:space="0" w:color="E4DED3"/>
              <w:right w:val="single" w:sz="4" w:space="0" w:color="E4DED3"/>
            </w:tcBorders>
          </w:tcPr>
          <w:p>
            <w:r>
              <w:rPr>
                <w:sz w:val="18"/>
              </w:rPr>
              <w:t>EBS gp3 (sized by implementer)</w:t>
            </w:r>
          </w:p>
        </w:tc>
        <w:tc>
          <w:tcPr>
            <w:tcW w:type="dxa" w:w="4252"/>
            <w:tcBorders>
              <w:top w:val="single" w:sz="4" w:space="0" w:color="E4DED3"/>
              <w:left w:val="single" w:sz="4" w:space="0" w:color="E4DED3"/>
              <w:bottom w:val="single" w:sz="4" w:space="0" w:color="E4DED3"/>
              <w:right w:val="single" w:sz="4" w:space="0" w:color="E4DED3"/>
            </w:tcBorders>
          </w:tcPr>
          <w:p>
            <w:r>
              <w:rPr>
                <w:sz w:val="18"/>
              </w:rPr>
              <w:t>LMS application data, attachments staging</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Attachments bucket</w:t>
            </w:r>
          </w:p>
        </w:tc>
        <w:tc>
          <w:tcPr>
            <w:tcW w:type="dxa" w:w="2551"/>
            <w:tcBorders>
              <w:top w:val="single" w:sz="4" w:space="0" w:color="E4DED3"/>
              <w:left w:val="single" w:sz="4" w:space="0" w:color="E4DED3"/>
              <w:bottom w:val="single" w:sz="4" w:space="0" w:color="E4DED3"/>
              <w:right w:val="single" w:sz="4" w:space="0" w:color="E4DED3"/>
            </w:tcBorders>
          </w:tcPr>
          <w:p>
            <w:r>
              <w:rPr>
                <w:sz w:val="18"/>
              </w:rPr>
              <w:t>S3</w:t>
            </w:r>
          </w:p>
        </w:tc>
        <w:tc>
          <w:tcPr>
            <w:tcW w:type="dxa" w:w="4252"/>
            <w:tcBorders>
              <w:top w:val="single" w:sz="4" w:space="0" w:color="E4DED3"/>
              <w:left w:val="single" w:sz="4" w:space="0" w:color="E4DED3"/>
              <w:bottom w:val="single" w:sz="4" w:space="0" w:color="E4DED3"/>
              <w:right w:val="single" w:sz="4" w:space="0" w:color="E4DED3"/>
            </w:tcBorders>
          </w:tcPr>
          <w:p>
            <w:r>
              <w:rPr>
                <w:sz w:val="18"/>
              </w:rPr>
              <w:t>Course attachments + submissions; lifecycle to Glacier Deep Archive after 24 months</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Backups bucket</w:t>
            </w:r>
          </w:p>
        </w:tc>
        <w:tc>
          <w:tcPr>
            <w:tcW w:type="dxa" w:w="2551"/>
            <w:tcBorders>
              <w:top w:val="single" w:sz="4" w:space="0" w:color="E4DED3"/>
              <w:left w:val="single" w:sz="4" w:space="0" w:color="E4DED3"/>
              <w:bottom w:val="single" w:sz="4" w:space="0" w:color="E4DED3"/>
              <w:right w:val="single" w:sz="4" w:space="0" w:color="E4DED3"/>
            </w:tcBorders>
          </w:tcPr>
          <w:p>
            <w:r>
              <w:rPr>
                <w:sz w:val="18"/>
              </w:rPr>
              <w:t>S3</w:t>
            </w:r>
          </w:p>
        </w:tc>
        <w:tc>
          <w:tcPr>
            <w:tcW w:type="dxa" w:w="4252"/>
            <w:tcBorders>
              <w:top w:val="single" w:sz="4" w:space="0" w:color="E4DED3"/>
              <w:left w:val="single" w:sz="4" w:space="0" w:color="E4DED3"/>
              <w:bottom w:val="single" w:sz="4" w:space="0" w:color="E4DED3"/>
              <w:right w:val="single" w:sz="4" w:space="0" w:color="E4DED3"/>
            </w:tcBorders>
          </w:tcPr>
          <w:p>
            <w:r>
              <w:rPr>
                <w:sz w:val="18"/>
              </w:rPr>
              <w:t>Off-instance mysqldump exports, file snapshots</w:t>
            </w:r>
          </w:p>
        </w:tc>
      </w:tr>
    </w:tbl>
    <w:p/>
    <w:p>
      <w:pPr>
        <w:pStyle w:val="ListBullet"/>
      </w:pPr>
      <w:r>
        <w:rPr>
          <w:sz w:val="21"/>
        </w:rPr>
        <w:t>Both buckets: block all public access; SSE-S3 encryption; versioning enabled; access logging to a log bucket.</w:t>
      </w:r>
    </w:p>
    <w:p>
      <w:pPr>
        <w:pStyle w:val="Heading3"/>
      </w:pPr>
      <w:r>
        <w:t>4.9 Security</w:t>
      </w:r>
    </w:p>
    <w:tbl>
      <w:tblPr>
        <w:tblW w:type="auto" w:w="0"/>
        <w:jc w:val="center"/>
        <w:tblLook w:firstColumn="1" w:firstRow="1" w:lastColumn="0" w:lastRow="0" w:noHBand="0" w:noVBand="1" w:val="04A0"/>
      </w:tblPr>
      <w:tblGrid>
        <w:gridCol w:w="3137"/>
        <w:gridCol w:w="3137"/>
        <w:gridCol w:w="3137"/>
      </w:tblGrid>
      <w:tr>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Security group</w:t>
            </w:r>
          </w:p>
        </w:tc>
        <w:tc>
          <w:tcPr>
            <w:tcW w:type="dxa" w:w="425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Inbound</w:t>
            </w:r>
          </w:p>
        </w:tc>
        <w:tc>
          <w:tcPr>
            <w:tcW w:type="dxa" w:w="311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Outbound</w:t>
            </w:r>
          </w:p>
        </w:tc>
      </w:tr>
      <w:tr>
        <w:tc>
          <w:tcPr>
            <w:tcW w:type="dxa" w:w="1701"/>
            <w:tcBorders>
              <w:top w:val="single" w:sz="4" w:space="0" w:color="E4DED3"/>
              <w:left w:val="single" w:sz="4" w:space="0" w:color="E4DED3"/>
              <w:bottom w:val="single" w:sz="4" w:space="0" w:color="E4DED3"/>
              <w:right w:val="single" w:sz="4" w:space="0" w:color="E4DED3"/>
            </w:tcBorders>
          </w:tcPr>
          <w:p>
            <w:r>
              <w:rPr>
                <w:b/>
                <w:sz w:val="18"/>
              </w:rPr>
              <w:t>sg-alb</w:t>
            </w:r>
          </w:p>
        </w:tc>
        <w:tc>
          <w:tcPr>
            <w:tcW w:type="dxa" w:w="4252"/>
            <w:tcBorders>
              <w:top w:val="single" w:sz="4" w:space="0" w:color="E4DED3"/>
              <w:left w:val="single" w:sz="4" w:space="0" w:color="E4DED3"/>
              <w:bottom w:val="single" w:sz="4" w:space="0" w:color="E4DED3"/>
              <w:right w:val="single" w:sz="4" w:space="0" w:color="E4DED3"/>
            </w:tcBorders>
          </w:tcPr>
          <w:p>
            <w:r>
              <w:rPr>
                <w:sz w:val="18"/>
              </w:rPr>
              <w:t>HTTPS:443 from 0.0.0.0/0</w:t>
            </w:r>
          </w:p>
        </w:tc>
        <w:tc>
          <w:tcPr>
            <w:tcW w:type="dxa" w:w="3118"/>
            <w:tcBorders>
              <w:top w:val="single" w:sz="4" w:space="0" w:color="E4DED3"/>
              <w:left w:val="single" w:sz="4" w:space="0" w:color="E4DED3"/>
              <w:bottom w:val="single" w:sz="4" w:space="0" w:color="E4DED3"/>
              <w:right w:val="single" w:sz="4" w:space="0" w:color="E4DED3"/>
            </w:tcBorders>
          </w:tcPr>
          <w:p>
            <w:r>
              <w:rPr>
                <w:sz w:val="18"/>
              </w:rPr>
              <w:t>HTTP/HTTPS to sg-app</w:t>
            </w:r>
          </w:p>
        </w:tc>
      </w:tr>
      <w:tr>
        <w:tc>
          <w:tcPr>
            <w:tcW w:type="dxa" w:w="1701"/>
            <w:tcBorders>
              <w:top w:val="single" w:sz="4" w:space="0" w:color="E4DED3"/>
              <w:left w:val="single" w:sz="4" w:space="0" w:color="E4DED3"/>
              <w:bottom w:val="single" w:sz="4" w:space="0" w:color="E4DED3"/>
              <w:right w:val="single" w:sz="4" w:space="0" w:color="E4DED3"/>
            </w:tcBorders>
          </w:tcPr>
          <w:p>
            <w:r>
              <w:rPr>
                <w:b/>
                <w:sz w:val="18"/>
              </w:rPr>
              <w:t>sg-app</w:t>
            </w:r>
          </w:p>
        </w:tc>
        <w:tc>
          <w:tcPr>
            <w:tcW w:type="dxa" w:w="4252"/>
            <w:tcBorders>
              <w:top w:val="single" w:sz="4" w:space="0" w:color="E4DED3"/>
              <w:left w:val="single" w:sz="4" w:space="0" w:color="E4DED3"/>
              <w:bottom w:val="single" w:sz="4" w:space="0" w:color="E4DED3"/>
              <w:right w:val="single" w:sz="4" w:space="0" w:color="E4DED3"/>
            </w:tcBorders>
          </w:tcPr>
          <w:p>
            <w:r>
              <w:rPr>
                <w:sz w:val="18"/>
              </w:rPr>
              <w:t>from sg-alb; RDP:3389 from MTS bastion (design left to implementer)</w:t>
            </w:r>
          </w:p>
        </w:tc>
        <w:tc>
          <w:tcPr>
            <w:tcW w:type="dxa" w:w="3118"/>
            <w:tcBorders>
              <w:top w:val="single" w:sz="4" w:space="0" w:color="E4DED3"/>
              <w:left w:val="single" w:sz="4" w:space="0" w:color="E4DED3"/>
              <w:bottom w:val="single" w:sz="4" w:space="0" w:color="E4DED3"/>
              <w:right w:val="single" w:sz="4" w:space="0" w:color="E4DED3"/>
            </w:tcBorders>
          </w:tcPr>
          <w:p>
            <w:r>
              <w:rPr>
                <w:sz w:val="18"/>
              </w:rPr>
              <w:t>MySQL:3306 to sg-db; HTTPS via NAT; LDAP/LDAPS to campus AD</w:t>
            </w:r>
          </w:p>
        </w:tc>
      </w:tr>
      <w:tr>
        <w:tc>
          <w:tcPr>
            <w:tcW w:type="dxa" w:w="1701"/>
            <w:tcBorders>
              <w:top w:val="single" w:sz="4" w:space="0" w:color="E4DED3"/>
              <w:left w:val="single" w:sz="4" w:space="0" w:color="E4DED3"/>
              <w:bottom w:val="single" w:sz="4" w:space="0" w:color="E4DED3"/>
              <w:right w:val="single" w:sz="4" w:space="0" w:color="E4DED3"/>
            </w:tcBorders>
          </w:tcPr>
          <w:p>
            <w:r>
              <w:rPr>
                <w:b/>
                <w:sz w:val="18"/>
              </w:rPr>
              <w:t>sg-db</w:t>
            </w:r>
          </w:p>
        </w:tc>
        <w:tc>
          <w:tcPr>
            <w:tcW w:type="dxa" w:w="4252"/>
            <w:tcBorders>
              <w:top w:val="single" w:sz="4" w:space="0" w:color="E4DED3"/>
              <w:left w:val="single" w:sz="4" w:space="0" w:color="E4DED3"/>
              <w:bottom w:val="single" w:sz="4" w:space="0" w:color="E4DED3"/>
              <w:right w:val="single" w:sz="4" w:space="0" w:color="E4DED3"/>
            </w:tcBorders>
          </w:tcPr>
          <w:p>
            <w:r>
              <w:rPr>
                <w:sz w:val="18"/>
              </w:rPr>
              <w:t>MySQL:3306 from sg-app only</w:t>
            </w:r>
          </w:p>
        </w:tc>
        <w:tc>
          <w:tcPr>
            <w:tcW w:type="dxa" w:w="3118"/>
            <w:tcBorders>
              <w:top w:val="single" w:sz="4" w:space="0" w:color="E4DED3"/>
              <w:left w:val="single" w:sz="4" w:space="0" w:color="E4DED3"/>
              <w:bottom w:val="single" w:sz="4" w:space="0" w:color="E4DED3"/>
              <w:right w:val="single" w:sz="4" w:space="0" w:color="E4DED3"/>
            </w:tcBorders>
          </w:tcPr>
          <w:p>
            <w:r>
              <w:rPr>
                <w:sz w:val="18"/>
              </w:rPr>
              <w:t>none</w:t>
            </w:r>
          </w:p>
        </w:tc>
      </w:tr>
    </w:tbl>
    <w:p/>
    <w:p>
      <w:pPr>
        <w:pStyle w:val="ListBullet"/>
      </w:pPr>
      <w:r>
        <w:rPr>
          <w:sz w:val="21"/>
        </w:rPr>
        <w:t>Encryption in transit: HTTPS ALB→EC2; TLS EC2→RDS; AWS calls over TLS via VPC endpoints where available.</w:t>
      </w:r>
    </w:p>
    <w:p>
      <w:pPr>
        <w:pStyle w:val="ListBullet"/>
      </w:pPr>
      <w:r>
        <w:rPr>
          <w:sz w:val="21"/>
        </w:rPr>
        <w:t>Encryption at rest: EBS, RDS, and S3 (SSE-S3) all enabled.</w:t>
      </w:r>
    </w:p>
    <w:p>
      <w:pPr>
        <w:pStyle w:val="ListBullet"/>
      </w:pPr>
      <w:r>
        <w:rPr>
          <w:sz w:val="21"/>
        </w:rPr>
        <w:t>Operates under the AWS Shared Responsibility Model — AWS secures the cloud; YAT/MTS secure the OS, application, IAM, data and access in the cloud.</w:t>
      </w:r>
    </w:p>
    <w:p>
      <w:pPr>
        <w:pStyle w:val="Heading3"/>
      </w:pPr>
      <w:r>
        <w:t>4.10 Monitoring (baseline)</w:t>
      </w:r>
    </w:p>
    <w:p>
      <w:r>
        <w:rPr>
          <w:sz w:val="21"/>
        </w:rPr>
        <w:t>Standard CloudWatch metrics for EC2, RDS, ALB and Auto Scaling. Baseline alarms (HA-tuned alarms come in the follow-on HA design):</w:t>
      </w:r>
    </w:p>
    <w:tbl>
      <w:tblPr>
        <w:tblW w:type="auto" w:w="0"/>
        <w:jc w:val="center"/>
        <w:tblLook w:firstColumn="1" w:firstRow="1" w:lastColumn="0" w:lastRow="0" w:noHBand="0" w:noVBand="1" w:val="04A0"/>
      </w:tblPr>
      <w:tblGrid>
        <w:gridCol w:w="4706"/>
        <w:gridCol w:w="4706"/>
      </w:tblGrid>
      <w:tr>
        <w:tc>
          <w:tcPr>
            <w:tcW w:type="dxa" w:w="45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Alarm</w:t>
            </w:r>
          </w:p>
        </w:tc>
        <w:tc>
          <w:tcPr>
            <w:tcW w:type="dxa" w:w="45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Threshold</w:t>
            </w:r>
          </w:p>
        </w:tc>
      </w:tr>
      <w:tr>
        <w:tc>
          <w:tcPr>
            <w:tcW w:type="dxa" w:w="4535"/>
            <w:tcBorders>
              <w:top w:val="single" w:sz="4" w:space="0" w:color="E4DED3"/>
              <w:left w:val="single" w:sz="4" w:space="0" w:color="E4DED3"/>
              <w:bottom w:val="single" w:sz="4" w:space="0" w:color="E4DED3"/>
              <w:right w:val="single" w:sz="4" w:space="0" w:color="E4DED3"/>
            </w:tcBorders>
          </w:tcPr>
          <w:p>
            <w:r>
              <w:rPr>
                <w:b/>
                <w:sz w:val="18"/>
              </w:rPr>
              <w:t>EC2 CPU high</w:t>
            </w:r>
          </w:p>
        </w:tc>
        <w:tc>
          <w:tcPr>
            <w:tcW w:type="dxa" w:w="4535"/>
            <w:tcBorders>
              <w:top w:val="single" w:sz="4" w:space="0" w:color="E4DED3"/>
              <w:left w:val="single" w:sz="4" w:space="0" w:color="E4DED3"/>
              <w:bottom w:val="single" w:sz="4" w:space="0" w:color="E4DED3"/>
              <w:right w:val="single" w:sz="4" w:space="0" w:color="E4DED3"/>
            </w:tcBorders>
          </w:tcPr>
          <w:p>
            <w:r>
              <w:rPr>
                <w:sz w:val="18"/>
              </w:rPr>
              <w:t>≥ 80% over 10 min</w:t>
            </w:r>
          </w:p>
        </w:tc>
      </w:tr>
      <w:tr>
        <w:tc>
          <w:tcPr>
            <w:tcW w:type="dxa" w:w="4535"/>
            <w:tcBorders>
              <w:top w:val="single" w:sz="4" w:space="0" w:color="E4DED3"/>
              <w:left w:val="single" w:sz="4" w:space="0" w:color="E4DED3"/>
              <w:bottom w:val="single" w:sz="4" w:space="0" w:color="E4DED3"/>
              <w:right w:val="single" w:sz="4" w:space="0" w:color="E4DED3"/>
            </w:tcBorders>
          </w:tcPr>
          <w:p>
            <w:r>
              <w:rPr>
                <w:b/>
                <w:sz w:val="18"/>
              </w:rPr>
              <w:t>RDS CPU high</w:t>
            </w:r>
          </w:p>
        </w:tc>
        <w:tc>
          <w:tcPr>
            <w:tcW w:type="dxa" w:w="4535"/>
            <w:tcBorders>
              <w:top w:val="single" w:sz="4" w:space="0" w:color="E4DED3"/>
              <w:left w:val="single" w:sz="4" w:space="0" w:color="E4DED3"/>
              <w:bottom w:val="single" w:sz="4" w:space="0" w:color="E4DED3"/>
              <w:right w:val="single" w:sz="4" w:space="0" w:color="E4DED3"/>
            </w:tcBorders>
          </w:tcPr>
          <w:p>
            <w:r>
              <w:rPr>
                <w:sz w:val="18"/>
              </w:rPr>
              <w:t>≥ 80% over 10 min</w:t>
            </w:r>
          </w:p>
        </w:tc>
      </w:tr>
      <w:tr>
        <w:tc>
          <w:tcPr>
            <w:tcW w:type="dxa" w:w="4535"/>
            <w:tcBorders>
              <w:top w:val="single" w:sz="4" w:space="0" w:color="E4DED3"/>
              <w:left w:val="single" w:sz="4" w:space="0" w:color="E4DED3"/>
              <w:bottom w:val="single" w:sz="4" w:space="0" w:color="E4DED3"/>
              <w:right w:val="single" w:sz="4" w:space="0" w:color="E4DED3"/>
            </w:tcBorders>
          </w:tcPr>
          <w:p>
            <w:r>
              <w:rPr>
                <w:b/>
                <w:sz w:val="18"/>
              </w:rPr>
              <w:t>RDS free storage low</w:t>
            </w:r>
          </w:p>
        </w:tc>
        <w:tc>
          <w:tcPr>
            <w:tcW w:type="dxa" w:w="4535"/>
            <w:tcBorders>
              <w:top w:val="single" w:sz="4" w:space="0" w:color="E4DED3"/>
              <w:left w:val="single" w:sz="4" w:space="0" w:color="E4DED3"/>
              <w:bottom w:val="single" w:sz="4" w:space="0" w:color="E4DED3"/>
              <w:right w:val="single" w:sz="4" w:space="0" w:color="E4DED3"/>
            </w:tcBorders>
          </w:tcPr>
          <w:p>
            <w:pPr>
              <w:jc w:val="right"/>
            </w:pPr>
            <w:r>
              <w:rPr>
                <w:sz w:val="18"/>
              </w:rPr>
              <w:t>&lt; 15%</w:t>
            </w:r>
          </w:p>
        </w:tc>
      </w:tr>
      <w:tr>
        <w:tc>
          <w:tcPr>
            <w:tcW w:type="dxa" w:w="4535"/>
            <w:tcBorders>
              <w:top w:val="single" w:sz="4" w:space="0" w:color="E4DED3"/>
              <w:left w:val="single" w:sz="4" w:space="0" w:color="E4DED3"/>
              <w:bottom w:val="single" w:sz="4" w:space="0" w:color="E4DED3"/>
              <w:right w:val="single" w:sz="4" w:space="0" w:color="E4DED3"/>
            </w:tcBorders>
          </w:tcPr>
          <w:p>
            <w:r>
              <w:rPr>
                <w:b/>
                <w:sz w:val="18"/>
              </w:rPr>
              <w:t>ALB 5XX</w:t>
            </w:r>
          </w:p>
        </w:tc>
        <w:tc>
          <w:tcPr>
            <w:tcW w:type="dxa" w:w="4535"/>
            <w:tcBorders>
              <w:top w:val="single" w:sz="4" w:space="0" w:color="E4DED3"/>
              <w:left w:val="single" w:sz="4" w:space="0" w:color="E4DED3"/>
              <w:bottom w:val="single" w:sz="4" w:space="0" w:color="E4DED3"/>
              <w:right w:val="single" w:sz="4" w:space="0" w:color="E4DED3"/>
            </w:tcBorders>
          </w:tcPr>
          <w:p>
            <w:r>
              <w:rPr>
                <w:sz w:val="18"/>
              </w:rPr>
              <w:t>&gt; 10 / min</w:t>
            </w:r>
          </w:p>
        </w:tc>
      </w:tr>
      <w:tr>
        <w:tc>
          <w:tcPr>
            <w:tcW w:type="dxa" w:w="4535"/>
            <w:tcBorders>
              <w:top w:val="single" w:sz="4" w:space="0" w:color="E4DED3"/>
              <w:left w:val="single" w:sz="4" w:space="0" w:color="E4DED3"/>
              <w:bottom w:val="single" w:sz="4" w:space="0" w:color="E4DED3"/>
              <w:right w:val="single" w:sz="4" w:space="0" w:color="E4DED3"/>
            </w:tcBorders>
          </w:tcPr>
          <w:p>
            <w:r>
              <w:rPr>
                <w:b/>
                <w:sz w:val="18"/>
              </w:rPr>
              <w:t>RDS connections high</w:t>
            </w:r>
          </w:p>
        </w:tc>
        <w:tc>
          <w:tcPr>
            <w:tcW w:type="dxa" w:w="4535"/>
            <w:tcBorders>
              <w:top w:val="single" w:sz="4" w:space="0" w:color="E4DED3"/>
              <w:left w:val="single" w:sz="4" w:space="0" w:color="E4DED3"/>
              <w:bottom w:val="single" w:sz="4" w:space="0" w:color="E4DED3"/>
              <w:right w:val="single" w:sz="4" w:space="0" w:color="E4DED3"/>
            </w:tcBorders>
          </w:tcPr>
          <w:p>
            <w:r>
              <w:rPr>
                <w:sz w:val="18"/>
              </w:rPr>
              <w:t>&gt; 80% of max_connections</w:t>
            </w:r>
          </w:p>
        </w:tc>
      </w:tr>
    </w:tbl>
    <w:p/>
    <w:p>
      <w:pPr>
        <w:pStyle w:val="ListBullet"/>
      </w:pPr>
      <w:r>
        <w:rPr>
          <w:sz w:val="21"/>
        </w:rPr>
        <w:t>Logging: VPC flow logs and RDS logs → CloudWatch Logs (90-day retention); ALB access logs → S3; EC2 OS logs via the CloudWatch Agent.</w:t>
      </w:r>
    </w:p>
    <w:p>
      <w:pPr>
        <w:pStyle w:val="Heading3"/>
      </w:pPr>
      <w:r>
        <w:t>4.11 Naming and tagging conventions</w:t>
      </w:r>
    </w:p>
    <w:p>
      <w:r>
        <w:rPr>
          <w:sz w:val="21"/>
        </w:rPr>
        <w:t>Naming pattern yat-lms-&lt;resource-type&gt;-&lt;env&gt;-&lt;az-or-purpose&gt; (e.g. yat-lms-alb-prod). Mandatory tags:</w:t>
      </w:r>
    </w:p>
    <w:tbl>
      <w:tblPr>
        <w:tblW w:type="auto" w:w="0"/>
        <w:jc w:val="center"/>
        <w:tblLook w:firstColumn="1" w:firstRow="1" w:lastColumn="0" w:lastRow="0" w:noHBand="0" w:noVBand="1" w:val="04A0"/>
      </w:tblPr>
      <w:tblGrid>
        <w:gridCol w:w="4706"/>
        <w:gridCol w:w="4706"/>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Tag</w:t>
            </w:r>
          </w:p>
        </w:tc>
        <w:tc>
          <w:tcPr>
            <w:tcW w:type="dxa" w:w="6236"/>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Value</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Project</w:t>
            </w:r>
          </w:p>
        </w:tc>
        <w:tc>
          <w:tcPr>
            <w:tcW w:type="dxa" w:w="6236"/>
            <w:tcBorders>
              <w:top w:val="single" w:sz="4" w:space="0" w:color="E4DED3"/>
              <w:left w:val="single" w:sz="4" w:space="0" w:color="E4DED3"/>
              <w:bottom w:val="single" w:sz="4" w:space="0" w:color="E4DED3"/>
              <w:right w:val="single" w:sz="4" w:space="0" w:color="E4DED3"/>
            </w:tcBorders>
          </w:tcPr>
          <w:p>
            <w:r>
              <w:rPr>
                <w:sz w:val="18"/>
              </w:rPr>
              <w:t>YAT-LMS-Migration</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Environment</w:t>
            </w:r>
          </w:p>
        </w:tc>
        <w:tc>
          <w:tcPr>
            <w:tcW w:type="dxa" w:w="6236"/>
            <w:tcBorders>
              <w:top w:val="single" w:sz="4" w:space="0" w:color="E4DED3"/>
              <w:left w:val="single" w:sz="4" w:space="0" w:color="E4DED3"/>
              <w:bottom w:val="single" w:sz="4" w:space="0" w:color="E4DED3"/>
              <w:right w:val="single" w:sz="4" w:space="0" w:color="E4DED3"/>
            </w:tcBorders>
          </w:tcPr>
          <w:p>
            <w:r>
              <w:rPr>
                <w:sz w:val="18"/>
              </w:rPr>
              <w:t>Production</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Owner</w:t>
            </w:r>
          </w:p>
        </w:tc>
        <w:tc>
          <w:tcPr>
            <w:tcW w:type="dxa" w:w="6236"/>
            <w:tcBorders>
              <w:top w:val="single" w:sz="4" w:space="0" w:color="E4DED3"/>
              <w:left w:val="single" w:sz="4" w:space="0" w:color="E4DED3"/>
              <w:bottom w:val="single" w:sz="4" w:space="0" w:color="E4DED3"/>
              <w:right w:val="single" w:sz="4" w:space="0" w:color="E4DED3"/>
            </w:tcBorders>
          </w:tcPr>
          <w:p>
            <w:r>
              <w:rPr>
                <w:sz w:val="18"/>
              </w:rPr>
              <w:t>YAT-ICT</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ManagedBy</w:t>
            </w:r>
          </w:p>
        </w:tc>
        <w:tc>
          <w:tcPr>
            <w:tcW w:type="dxa" w:w="6236"/>
            <w:tcBorders>
              <w:top w:val="single" w:sz="4" w:space="0" w:color="E4DED3"/>
              <w:left w:val="single" w:sz="4" w:space="0" w:color="E4DED3"/>
              <w:bottom w:val="single" w:sz="4" w:space="0" w:color="E4DED3"/>
              <w:right w:val="single" w:sz="4" w:space="0" w:color="E4DED3"/>
            </w:tcBorders>
          </w:tcPr>
          <w:p>
            <w:r>
              <w:rPr>
                <w:sz w:val="18"/>
              </w:rPr>
              <w:t>MTS-Migration during build → YAT-ICT post-handover</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CostCentre</w:t>
            </w:r>
          </w:p>
        </w:tc>
        <w:tc>
          <w:tcPr>
            <w:tcW w:type="dxa" w:w="6236"/>
            <w:tcBorders>
              <w:top w:val="single" w:sz="4" w:space="0" w:color="E4DED3"/>
              <w:left w:val="single" w:sz="4" w:space="0" w:color="E4DED3"/>
              <w:bottom w:val="single" w:sz="4" w:space="0" w:color="E4DED3"/>
              <w:right w:val="single" w:sz="4" w:space="0" w:color="E4DED3"/>
            </w:tcBorders>
          </w:tcPr>
          <w:p>
            <w:r>
              <w:rPr>
                <w:sz w:val="18"/>
              </w:rPr>
              <w:t>YAT-LMS</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DataClassification</w:t>
            </w:r>
          </w:p>
        </w:tc>
        <w:tc>
          <w:tcPr>
            <w:tcW w:type="dxa" w:w="6236"/>
            <w:tcBorders>
              <w:top w:val="single" w:sz="4" w:space="0" w:color="E4DED3"/>
              <w:left w:val="single" w:sz="4" w:space="0" w:color="E4DED3"/>
              <w:bottom w:val="single" w:sz="4" w:space="0" w:color="E4DED3"/>
              <w:right w:val="single" w:sz="4" w:space="0" w:color="E4DED3"/>
            </w:tcBorders>
          </w:tcPr>
          <w:p>
            <w:r>
              <w:rPr>
                <w:sz w:val="18"/>
              </w:rPr>
              <w:t>Confidential (PII) or Internal</w:t>
            </w:r>
          </w:p>
        </w:tc>
      </w:tr>
    </w:tbl>
    <w:p/>
    <w:p>
      <w:pPr>
        <w:pStyle w:val="Heading3"/>
      </w:pPr>
      <w:r>
        <w:t>4.12 Backup</w:t>
      </w:r>
    </w:p>
    <w:tbl>
      <w:tblPr>
        <w:tblW w:type="auto" w:w="0"/>
        <w:jc w:val="center"/>
        <w:tblLook w:firstColumn="1" w:firstRow="1" w:lastColumn="0" w:lastRow="0" w:noHBand="0" w:noVBand="1" w:val="04A0"/>
      </w:tblPr>
      <w:tblGrid>
        <w:gridCol w:w="3137"/>
        <w:gridCol w:w="3137"/>
        <w:gridCol w:w="3137"/>
      </w:tblGrid>
      <w:tr>
        <w:tc>
          <w:tcPr>
            <w:tcW w:type="dxa" w:w="255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Resource</w:t>
            </w:r>
          </w:p>
        </w:tc>
        <w:tc>
          <w:tcPr>
            <w:tcW w:type="dxa" w:w="425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Mechanism</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Retention</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RDS database</w:t>
            </w:r>
          </w:p>
        </w:tc>
        <w:tc>
          <w:tcPr>
            <w:tcW w:type="dxa" w:w="4252"/>
            <w:tcBorders>
              <w:top w:val="single" w:sz="4" w:space="0" w:color="E4DED3"/>
              <w:left w:val="single" w:sz="4" w:space="0" w:color="E4DED3"/>
              <w:bottom w:val="single" w:sz="4" w:space="0" w:color="E4DED3"/>
              <w:right w:val="single" w:sz="4" w:space="0" w:color="E4DED3"/>
            </w:tcBorders>
          </w:tcPr>
          <w:p>
            <w:r>
              <w:rPr>
                <w:sz w:val="18"/>
              </w:rPr>
              <w:t>Automated daily backups + transaction logs</w:t>
            </w:r>
          </w:p>
        </w:tc>
        <w:tc>
          <w:tcPr>
            <w:tcW w:type="dxa" w:w="2268"/>
            <w:tcBorders>
              <w:top w:val="single" w:sz="4" w:space="0" w:color="E4DED3"/>
              <w:left w:val="single" w:sz="4" w:space="0" w:color="E4DED3"/>
              <w:bottom w:val="single" w:sz="4" w:space="0" w:color="E4DED3"/>
              <w:right w:val="single" w:sz="4" w:space="0" w:color="E4DED3"/>
            </w:tcBorders>
          </w:tcPr>
          <w:p>
            <w:r>
              <w:rPr>
                <w:sz w:val="18"/>
              </w:rPr>
              <w:t>7 days</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EC2 EBS volumes</w:t>
            </w:r>
          </w:p>
        </w:tc>
        <w:tc>
          <w:tcPr>
            <w:tcW w:type="dxa" w:w="4252"/>
            <w:tcBorders>
              <w:top w:val="single" w:sz="4" w:space="0" w:color="E4DED3"/>
              <w:left w:val="single" w:sz="4" w:space="0" w:color="E4DED3"/>
              <w:bottom w:val="single" w:sz="4" w:space="0" w:color="E4DED3"/>
              <w:right w:val="single" w:sz="4" w:space="0" w:color="E4DED3"/>
            </w:tcBorders>
          </w:tcPr>
          <w:p>
            <w:r>
              <w:rPr>
                <w:sz w:val="18"/>
              </w:rPr>
              <w:t>Daily AMI snapshot (Data Lifecycle Manager)</w:t>
            </w:r>
          </w:p>
        </w:tc>
        <w:tc>
          <w:tcPr>
            <w:tcW w:type="dxa" w:w="2268"/>
            <w:tcBorders>
              <w:top w:val="single" w:sz="4" w:space="0" w:color="E4DED3"/>
              <w:left w:val="single" w:sz="4" w:space="0" w:color="E4DED3"/>
              <w:bottom w:val="single" w:sz="4" w:space="0" w:color="E4DED3"/>
              <w:right w:val="single" w:sz="4" w:space="0" w:color="E4DED3"/>
            </w:tcBorders>
          </w:tcPr>
          <w:p>
            <w:r>
              <w:rPr>
                <w:sz w:val="18"/>
              </w:rPr>
              <w:t>14 days</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LMS attachments (S3)</w:t>
            </w:r>
          </w:p>
        </w:tc>
        <w:tc>
          <w:tcPr>
            <w:tcW w:type="dxa" w:w="4252"/>
            <w:tcBorders>
              <w:top w:val="single" w:sz="4" w:space="0" w:color="E4DED3"/>
              <w:left w:val="single" w:sz="4" w:space="0" w:color="E4DED3"/>
              <w:bottom w:val="single" w:sz="4" w:space="0" w:color="E4DED3"/>
              <w:right w:val="single" w:sz="4" w:space="0" w:color="E4DED3"/>
            </w:tcBorders>
          </w:tcPr>
          <w:p>
            <w:r>
              <w:rPr>
                <w:sz w:val="18"/>
              </w:rPr>
              <w:t>Versioning + lifecycle to Glacier Deep Archive</w:t>
            </w:r>
          </w:p>
        </w:tc>
        <w:tc>
          <w:tcPr>
            <w:tcW w:type="dxa" w:w="2268"/>
            <w:tcBorders>
              <w:top w:val="single" w:sz="4" w:space="0" w:color="E4DED3"/>
              <w:left w:val="single" w:sz="4" w:space="0" w:color="E4DED3"/>
              <w:bottom w:val="single" w:sz="4" w:space="0" w:color="E4DED3"/>
              <w:right w:val="single" w:sz="4" w:space="0" w:color="E4DED3"/>
            </w:tcBorders>
          </w:tcPr>
          <w:p>
            <w:r>
              <w:rPr>
                <w:sz w:val="18"/>
              </w:rPr>
              <w:t>Versioned; archive after 24 months</w:t>
            </w:r>
          </w:p>
        </w:tc>
      </w:tr>
    </w:tbl>
    <w:p/>
    <w:p>
      <w:pPr>
        <w:pStyle w:val="ListBullet"/>
      </w:pPr>
      <w:r>
        <w:rPr>
          <w:sz w:val="21"/>
        </w:rPr>
        <w:t>Cross-Region backup copies are out of scope for the baseline — addressed in the follow-on HA design.</w:t>
      </w:r>
    </w:p>
    <w:p>
      <w:pPr>
        <w:pStyle w:val="Heading3"/>
      </w:pPr>
      <w:r>
        <w:t>4.13 Recovery objectives — baseline state</w:t>
      </w:r>
    </w:p>
    <w:p>
      <w:r>
        <w:rPr>
          <w:sz w:val="21"/>
        </w:rPr>
        <w:t>The baseline's recovery posture is backup-based: RPO is up to the last automated backup (daily) and RTO is restore-based (single-AZ restore). The HA targets (99.9% availability, RPO ≤ 1 h, RTO ≤ 4 h) are deliberately not met by this baseline and are the objective of the follow-on HA design.</w:t>
      </w:r>
    </w:p>
    <w:p>
      <w:pPr>
        <w:pStyle w:val="Heading3"/>
      </w:pPr>
      <w:r>
        <w:t>4.14 Components requiring vertical scaling</w:t>
      </w:r>
    </w:p>
    <w:p>
      <w:r>
        <w:rPr>
          <w:sz w:val="21"/>
        </w:rPr>
        <w:t>RDS instance-class changes require a modify-and-apply (a brief interruption, taken in the maintenance window); EBS volumes support online resize with no downtime.</w:t>
      </w:r>
    </w:p>
    <w:p>
      <w:pPr>
        <w:pStyle w:val="Heading3"/>
      </w:pPr>
      <w:r>
        <w:t>4.15 Single points of failure removed</w:t>
      </w:r>
    </w:p>
    <w:p>
      <w:pPr>
        <w:spacing w:after="120"/>
      </w:pPr>
      <w:r>
        <w:rPr>
          <w:b/>
          <w:color w:val="C5613B"/>
          <w:sz w:val="21"/>
        </w:rPr>
        <w:t>Not applicable — this baseline is single-AZ by design; the single RDS instance and the single AZ are known single points of failure, deliberately deferred to the follow-on HA design.</w:t>
      </w:r>
    </w:p>
    <w:p>
      <w:pPr>
        <w:pStyle w:val="Heading3"/>
      </w:pPr>
      <w:r>
        <w:t>4.16 Configuration decisions left to the implementer</w:t>
      </w:r>
    </w:p>
    <w:p>
      <w:r>
        <w:rPr>
          <w:sz w:val="21"/>
        </w:rPr>
        <w:t>The design is opinionated where it matters and silent where the implementer must show judgement. Each decision below is to be made and evidenced in the Deployment Report.</w:t>
      </w:r>
    </w:p>
    <w:tbl>
      <w:tblPr>
        <w:tblW w:type="auto" w:w="0"/>
        <w:jc w:val="center"/>
        <w:tblLook w:firstColumn="1" w:firstRow="1" w:lastColumn="0" w:lastRow="0" w:noHBand="0" w:noVBand="1" w:val="04A0"/>
      </w:tblPr>
      <w:tblGrid>
        <w:gridCol w:w="3137"/>
        <w:gridCol w:w="3137"/>
        <w:gridCol w:w="3137"/>
      </w:tblGrid>
      <w:tr>
        <w:tc>
          <w:tcPr>
            <w:tcW w:type="dxa" w:w="56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w:t>
            </w:r>
          </w:p>
        </w:tc>
        <w:tc>
          <w:tcPr>
            <w:tcW w:type="dxa" w:w="3969"/>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Decision</w:t>
            </w:r>
          </w:p>
        </w:tc>
        <w:tc>
          <w:tcPr>
            <w:tcW w:type="dxa" w:w="45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Why left open</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C1</w:t>
            </w:r>
          </w:p>
        </w:tc>
        <w:tc>
          <w:tcPr>
            <w:tcW w:type="dxa" w:w="3969"/>
            <w:tcBorders>
              <w:top w:val="single" w:sz="4" w:space="0" w:color="E4DED3"/>
              <w:left w:val="single" w:sz="4" w:space="0" w:color="E4DED3"/>
              <w:bottom w:val="single" w:sz="4" w:space="0" w:color="E4DED3"/>
              <w:right w:val="single" w:sz="4" w:space="0" w:color="E4DED3"/>
            </w:tcBorders>
          </w:tcPr>
          <w:p>
            <w:r>
              <w:rPr>
                <w:sz w:val="18"/>
              </w:rPr>
              <w:t>EC2 instance type (general-purpose family)</w:t>
            </w:r>
          </w:p>
        </w:tc>
        <w:tc>
          <w:tcPr>
            <w:tcW w:type="dxa" w:w="4535"/>
            <w:tcBorders>
              <w:top w:val="single" w:sz="4" w:space="0" w:color="E4DED3"/>
              <w:left w:val="single" w:sz="4" w:space="0" w:color="E4DED3"/>
              <w:bottom w:val="single" w:sz="4" w:space="0" w:color="E4DED3"/>
              <w:right w:val="single" w:sz="4" w:space="0" w:color="E4DED3"/>
            </w:tcBorders>
          </w:tcPr>
          <w:p>
            <w:r>
              <w:rPr>
                <w:sz w:val="18"/>
              </w:rPr>
              <w:t>Size against the LMS workload</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C2</w:t>
            </w:r>
          </w:p>
        </w:tc>
        <w:tc>
          <w:tcPr>
            <w:tcW w:type="dxa" w:w="3969"/>
            <w:tcBorders>
              <w:top w:val="single" w:sz="4" w:space="0" w:color="E4DED3"/>
              <w:left w:val="single" w:sz="4" w:space="0" w:color="E4DED3"/>
              <w:bottom w:val="single" w:sz="4" w:space="0" w:color="E4DED3"/>
              <w:right w:val="single" w:sz="4" w:space="0" w:color="E4DED3"/>
            </w:tcBorders>
          </w:tcPr>
          <w:p>
            <w:r>
              <w:rPr>
                <w:sz w:val="18"/>
              </w:rPr>
              <w:t>RDS instance class (general-purpose family)</w:t>
            </w:r>
          </w:p>
        </w:tc>
        <w:tc>
          <w:tcPr>
            <w:tcW w:type="dxa" w:w="4535"/>
            <w:tcBorders>
              <w:top w:val="single" w:sz="4" w:space="0" w:color="E4DED3"/>
              <w:left w:val="single" w:sz="4" w:space="0" w:color="E4DED3"/>
              <w:bottom w:val="single" w:sz="4" w:space="0" w:color="E4DED3"/>
              <w:right w:val="single" w:sz="4" w:space="0" w:color="E4DED3"/>
            </w:tcBorders>
          </w:tcPr>
          <w:p>
            <w:r>
              <w:rPr>
                <w:sz w:val="18"/>
              </w:rPr>
              <w:t>Size against the workload</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C3</w:t>
            </w:r>
          </w:p>
        </w:tc>
        <w:tc>
          <w:tcPr>
            <w:tcW w:type="dxa" w:w="3969"/>
            <w:tcBorders>
              <w:top w:val="single" w:sz="4" w:space="0" w:color="E4DED3"/>
              <w:left w:val="single" w:sz="4" w:space="0" w:color="E4DED3"/>
              <w:bottom w:val="single" w:sz="4" w:space="0" w:color="E4DED3"/>
              <w:right w:val="single" w:sz="4" w:space="0" w:color="E4DED3"/>
            </w:tcBorders>
          </w:tcPr>
          <w:p>
            <w:r>
              <w:rPr>
                <w:sz w:val="18"/>
              </w:rPr>
              <w:t>EBS data volume + RDS storage size</w:t>
            </w:r>
          </w:p>
        </w:tc>
        <w:tc>
          <w:tcPr>
            <w:tcW w:type="dxa" w:w="4535"/>
            <w:tcBorders>
              <w:top w:val="single" w:sz="4" w:space="0" w:color="E4DED3"/>
              <w:left w:val="single" w:sz="4" w:space="0" w:color="E4DED3"/>
              <w:bottom w:val="single" w:sz="4" w:space="0" w:color="E4DED3"/>
              <w:right w:val="single" w:sz="4" w:space="0" w:color="E4DED3"/>
            </w:tcBorders>
          </w:tcPr>
          <w:p>
            <w:r>
              <w:rPr>
                <w:sz w:val="18"/>
              </w:rPr>
              <w:t>Compute from data footprint + growth</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C4</w:t>
            </w:r>
          </w:p>
        </w:tc>
        <w:tc>
          <w:tcPr>
            <w:tcW w:type="dxa" w:w="3969"/>
            <w:tcBorders>
              <w:top w:val="single" w:sz="4" w:space="0" w:color="E4DED3"/>
              <w:left w:val="single" w:sz="4" w:space="0" w:color="E4DED3"/>
              <w:bottom w:val="single" w:sz="4" w:space="0" w:color="E4DED3"/>
              <w:right w:val="single" w:sz="4" w:space="0" w:color="E4DED3"/>
            </w:tcBorders>
          </w:tcPr>
          <w:p>
            <w:r>
              <w:rPr>
                <w:sz w:val="18"/>
              </w:rPr>
              <w:t>ASG scaling threshold</w:t>
            </w:r>
          </w:p>
        </w:tc>
        <w:tc>
          <w:tcPr>
            <w:tcW w:type="dxa" w:w="4535"/>
            <w:tcBorders>
              <w:top w:val="single" w:sz="4" w:space="0" w:color="E4DED3"/>
              <w:left w:val="single" w:sz="4" w:space="0" w:color="E4DED3"/>
              <w:bottom w:val="single" w:sz="4" w:space="0" w:color="E4DED3"/>
              <w:right w:val="single" w:sz="4" w:space="0" w:color="E4DED3"/>
            </w:tcBorders>
          </w:tcPr>
          <w:p>
            <w:r>
              <w:rPr>
                <w:sz w:val="18"/>
              </w:rPr>
              <w:t>Rationalise against the expected CPU profile</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C5</w:t>
            </w:r>
          </w:p>
        </w:tc>
        <w:tc>
          <w:tcPr>
            <w:tcW w:type="dxa" w:w="3969"/>
            <w:tcBorders>
              <w:top w:val="single" w:sz="4" w:space="0" w:color="E4DED3"/>
              <w:left w:val="single" w:sz="4" w:space="0" w:color="E4DED3"/>
              <w:bottom w:val="single" w:sz="4" w:space="0" w:color="E4DED3"/>
              <w:right w:val="single" w:sz="4" w:space="0" w:color="E4DED3"/>
            </w:tcBorders>
          </w:tcPr>
          <w:p>
            <w:r>
              <w:rPr>
                <w:sz w:val="18"/>
              </w:rPr>
              <w:t>MTS-Consultants permission boundary</w:t>
            </w:r>
          </w:p>
        </w:tc>
        <w:tc>
          <w:tcPr>
            <w:tcW w:type="dxa" w:w="4535"/>
            <w:tcBorders>
              <w:top w:val="single" w:sz="4" w:space="0" w:color="E4DED3"/>
              <w:left w:val="single" w:sz="4" w:space="0" w:color="E4DED3"/>
              <w:bottom w:val="single" w:sz="4" w:space="0" w:color="E4DED3"/>
              <w:right w:val="single" w:sz="4" w:space="0" w:color="E4DED3"/>
            </w:tcBorders>
          </w:tcPr>
          <w:p>
            <w:r>
              <w:rPr>
                <w:sz w:val="18"/>
              </w:rPr>
              <w:t>Adapt to the lab access scope</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C6</w:t>
            </w:r>
          </w:p>
        </w:tc>
        <w:tc>
          <w:tcPr>
            <w:tcW w:type="dxa" w:w="3969"/>
            <w:tcBorders>
              <w:top w:val="single" w:sz="4" w:space="0" w:color="E4DED3"/>
              <w:left w:val="single" w:sz="4" w:space="0" w:color="E4DED3"/>
              <w:bottom w:val="single" w:sz="4" w:space="0" w:color="E4DED3"/>
              <w:right w:val="single" w:sz="4" w:space="0" w:color="E4DED3"/>
            </w:tcBorders>
          </w:tcPr>
          <w:p>
            <w:r>
              <w:rPr>
                <w:sz w:val="18"/>
              </w:rPr>
              <w:t>Bastion / jump-host design for RDP</w:t>
            </w:r>
          </w:p>
        </w:tc>
        <w:tc>
          <w:tcPr>
            <w:tcW w:type="dxa" w:w="4535"/>
            <w:tcBorders>
              <w:top w:val="single" w:sz="4" w:space="0" w:color="E4DED3"/>
              <w:left w:val="single" w:sz="4" w:space="0" w:color="E4DED3"/>
              <w:bottom w:val="single" w:sz="4" w:space="0" w:color="E4DED3"/>
              <w:right w:val="single" w:sz="4" w:space="0" w:color="E4DED3"/>
            </w:tcBorders>
          </w:tcPr>
          <w:p>
            <w:r>
              <w:rPr>
                <w:sz w:val="18"/>
              </w:rPr>
              <w:t>Left to the implementer</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C7</w:t>
            </w:r>
          </w:p>
        </w:tc>
        <w:tc>
          <w:tcPr>
            <w:tcW w:type="dxa" w:w="3969"/>
            <w:tcBorders>
              <w:top w:val="single" w:sz="4" w:space="0" w:color="E4DED3"/>
              <w:left w:val="single" w:sz="4" w:space="0" w:color="E4DED3"/>
              <w:bottom w:val="single" w:sz="4" w:space="0" w:color="E4DED3"/>
              <w:right w:val="single" w:sz="4" w:space="0" w:color="E4DED3"/>
            </w:tcBorders>
          </w:tcPr>
          <w:p>
            <w:r>
              <w:rPr>
                <w:sz w:val="18"/>
              </w:rPr>
              <w:t>MySQL engine version</w:t>
            </w:r>
          </w:p>
        </w:tc>
        <w:tc>
          <w:tcPr>
            <w:tcW w:type="dxa" w:w="4535"/>
            <w:tcBorders>
              <w:top w:val="single" w:sz="4" w:space="0" w:color="E4DED3"/>
              <w:left w:val="single" w:sz="4" w:space="0" w:color="E4DED3"/>
              <w:bottom w:val="single" w:sz="4" w:space="0" w:color="E4DED3"/>
              <w:right w:val="single" w:sz="4" w:space="0" w:color="E4DED3"/>
            </w:tcBorders>
          </w:tcPr>
          <w:p>
            <w:r>
              <w:rPr>
                <w:sz w:val="18"/>
              </w:rPr>
              <w:t>Confirm against the DOODLE compatibility matrix</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C8</w:t>
            </w:r>
          </w:p>
        </w:tc>
        <w:tc>
          <w:tcPr>
            <w:tcW w:type="dxa" w:w="3969"/>
            <w:tcBorders>
              <w:top w:val="single" w:sz="4" w:space="0" w:color="E4DED3"/>
              <w:left w:val="single" w:sz="4" w:space="0" w:color="E4DED3"/>
              <w:bottom w:val="single" w:sz="4" w:space="0" w:color="E4DED3"/>
              <w:right w:val="single" w:sz="4" w:space="0" w:color="E4DED3"/>
            </w:tcBorders>
          </w:tcPr>
          <w:p>
            <w:r>
              <w:rPr>
                <w:sz w:val="18"/>
              </w:rPr>
              <w:t>DNS strategy + ACM certificate domain</w:t>
            </w:r>
          </w:p>
        </w:tc>
        <w:tc>
          <w:tcPr>
            <w:tcW w:type="dxa" w:w="4535"/>
            <w:tcBorders>
              <w:top w:val="single" w:sz="4" w:space="0" w:color="E4DED3"/>
              <w:left w:val="single" w:sz="4" w:space="0" w:color="E4DED3"/>
              <w:bottom w:val="single" w:sz="4" w:space="0" w:color="E4DED3"/>
              <w:right w:val="single" w:sz="4" w:space="0" w:color="E4DED3"/>
            </w:tcBorders>
          </w:tcPr>
          <w:p>
            <w:r>
              <w:rPr>
                <w:sz w:val="18"/>
              </w:rPr>
              <w:t>Confirm the LMS hostname with YAT ICT</w:t>
            </w:r>
          </w:p>
        </w:tc>
      </w:tr>
    </w:tbl>
    <w:p/>
    <w:p>
      <w:pPr>
        <w:pStyle w:val="Heading1"/>
      </w:pPr>
      <w:r>
        <w:t>5. Implementation Sequencing</w:t>
      </w:r>
    </w:p>
    <w:p>
      <w:pPr>
        <w:spacing w:after="120"/>
      </w:pPr>
      <w:r>
        <w:rPr>
          <w:b/>
          <w:color w:val="C5613B"/>
          <w:sz w:val="21"/>
        </w:rPr>
        <w:t>Not applicable — this is a greenfield build in a new account, not a change to a running system; build order is at the implementer's discretion and there is no live service to sequence around or roll back.</w:t>
      </w:r>
    </w:p>
    <w:p>
      <w:pPr>
        <w:pStyle w:val="Heading1"/>
      </w:pPr>
      <w:r>
        <w:t>6. Simulation and Verification Plan</w:t>
      </w:r>
    </w:p>
    <w:p>
      <w:pPr>
        <w:spacing w:after="120"/>
      </w:pPr>
      <w:r>
        <w:rPr>
          <w:b/>
          <w:color w:val="C5613B"/>
          <w:sz w:val="21"/>
        </w:rPr>
        <w:t>Not applicable — failure/resize simulation and availability verification are the subject of the follow-on HA design and its deployment report; the baseline build is verified functionally per the Deployment Report's testing section.</w:t>
      </w:r>
    </w:p>
    <w:p>
      <w:pPr>
        <w:pStyle w:val="Heading1"/>
      </w:pPr>
      <w:r>
        <w:t>7. Out of Scope</w:t>
      </w:r>
    </w:p>
    <w:p>
      <w:r>
        <w:rPr>
          <w:sz w:val="21"/>
        </w:rPr>
        <w:t>Stated explicitly so the implementer knows what not to build (these are the deliberate inputs to the follow-on HA design):</w:t>
      </w:r>
    </w:p>
    <w:p>
      <w:pPr>
        <w:pStyle w:val="ListBullet"/>
      </w:pPr>
      <w:r>
        <w:rPr>
          <w:sz w:val="21"/>
        </w:rPr>
        <w:t>Multi-AZ database; cross-AZ subnets (private-app-b, private-data-b); ASG capacity ≥ 2 across AZs.</w:t>
      </w:r>
    </w:p>
    <w:p>
      <w:pPr>
        <w:pStyle w:val="ListBullet"/>
      </w:pPr>
      <w:r>
        <w:rPr>
          <w:sz w:val="21"/>
        </w:rPr>
        <w:t>HA-tuned monitoring (cross-AZ latency, RDS replica lag); cross-Region backup copies and DR runbook.</w:t>
      </w:r>
    </w:p>
    <w:p>
      <w:pPr>
        <w:pStyle w:val="ListBullet"/>
      </w:pPr>
      <w:r>
        <w:rPr>
          <w:sz w:val="21"/>
        </w:rPr>
        <w:t>Failure-simulation testing; automated availability reporting against the 99.9% target.</w:t>
      </w:r>
    </w:p>
    <w:p>
      <w:pPr>
        <w:pStyle w:val="ListBullet"/>
      </w:pPr>
      <w:r>
        <w:rPr>
          <w:sz w:val="21"/>
        </w:rPr>
        <w:t>And, out of MTS scope entirely: LMS application install, data migration, cutover, and change management (YAT ICT).</w:t>
      </w:r>
    </w:p>
    <w:p>
      <w:pPr>
        <w:pStyle w:val="Heading1"/>
      </w:pPr>
      <w:r>
        <w:t>8. References</w:t>
      </w:r>
    </w:p>
    <w:p>
      <w:pPr>
        <w:pStyle w:val="ListBullet"/>
      </w:pPr>
      <w:r>
        <w:rPr>
          <w:sz w:val="21"/>
        </w:rPr>
        <w:t>LMS Application Specification; LMS Cloud Migration Requirements; Engagement Role Brief.</w:t>
      </w:r>
    </w:p>
    <w:p>
      <w:pPr>
        <w:pStyle w:val="ListBullet"/>
      </w:pPr>
      <w:r>
        <w:rPr>
          <w:sz w:val="21"/>
        </w:rPr>
        <w:t>ICT Environment Overview; On-Premises Network Diagram.</w:t>
      </w:r>
    </w:p>
    <w:p>
      <w:pPr>
        <w:pStyle w:val="ListBullet"/>
      </w:pPr>
      <w:r>
        <w:rPr>
          <w:sz w:val="21"/>
        </w:rPr>
        <w:t>Privacy Policy; User Access Policy; Security and Incident Response; Industry Standards Reference (AWS Well-Architected, ACSC Essential Eight).</w:t>
      </w:r>
    </w:p>
    <w:p>
      <w:pPr>
        <w:pStyle w:val="Heading1"/>
      </w:pPr>
      <w:r>
        <w:t>Document control</w:t>
      </w:r>
    </w:p>
    <w:tbl>
      <w:tblPr>
        <w:tblW w:type="auto" w:w="0"/>
        <w:jc w:val="center"/>
        <w:tblLook w:firstColumn="1" w:firstRow="1" w:lastColumn="0" w:lastRow="0" w:noHBand="0" w:noVBand="1" w:val="04A0"/>
      </w:tblPr>
      <w:tblGrid>
        <w:gridCol w:w="4706"/>
        <w:gridCol w:w="4706"/>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Field</w:t>
            </w:r>
          </w:p>
        </w:tc>
        <w:tc>
          <w:tcPr>
            <w:tcW w:type="dxa" w:w="6236"/>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Value</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Document version</w:t>
            </w:r>
          </w:p>
        </w:tc>
        <w:tc>
          <w:tcPr>
            <w:tcW w:type="dxa" w:w="6236"/>
            <w:tcBorders>
              <w:top w:val="single" w:sz="4" w:space="0" w:color="E4DED3"/>
              <w:left w:val="single" w:sz="4" w:space="0" w:color="E4DED3"/>
              <w:bottom w:val="single" w:sz="4" w:space="0" w:color="E4DED3"/>
              <w:right w:val="single" w:sz="4" w:space="0" w:color="E4DED3"/>
            </w:tcBorders>
          </w:tcPr>
          <w:p>
            <w:r>
              <w:rPr>
                <w:sz w:val="18"/>
              </w:rPr>
              <w:t>v1.0 — Approved for implementation</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Authored by</w:t>
            </w:r>
          </w:p>
        </w:tc>
        <w:tc>
          <w:tcPr>
            <w:tcW w:type="dxa" w:w="6236"/>
            <w:tcBorders>
              <w:top w:val="single" w:sz="4" w:space="0" w:color="E4DED3"/>
              <w:left w:val="single" w:sz="4" w:space="0" w:color="E4DED3"/>
              <w:bottom w:val="single" w:sz="4" w:space="0" w:color="E4DED3"/>
              <w:right w:val="single" w:sz="4" w:space="0" w:color="E4DED3"/>
            </w:tcBorders>
          </w:tcPr>
          <w:p>
            <w:r>
              <w:rPr>
                <w:sz w:val="18"/>
              </w:rPr>
              <w:t>MTS Senior Architecture Team, in consultation with YAT ICT</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Approved by</w:t>
            </w:r>
          </w:p>
        </w:tc>
        <w:tc>
          <w:tcPr>
            <w:tcW w:type="dxa" w:w="6236"/>
            <w:tcBorders>
              <w:top w:val="single" w:sz="4" w:space="0" w:color="E4DED3"/>
              <w:left w:val="single" w:sz="4" w:space="0" w:color="E4DED3"/>
              <w:bottom w:val="single" w:sz="4" w:space="0" w:color="E4DED3"/>
              <w:right w:val="single" w:sz="4" w:space="0" w:color="E4DED3"/>
            </w:tcBorders>
          </w:tcPr>
          <w:p>
            <w:r>
              <w:rPr>
                <w:sz w:val="18"/>
              </w:rPr>
              <w:t>Pat Lin (MTS Senior Consultant) · Sam Walker (YAT ICT Manager)</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Implemented by</w:t>
            </w:r>
          </w:p>
        </w:tc>
        <w:tc>
          <w:tcPr>
            <w:tcW w:type="dxa" w:w="6236"/>
            <w:tcBorders>
              <w:top w:val="single" w:sz="4" w:space="0" w:color="E4DED3"/>
              <w:left w:val="single" w:sz="4" w:space="0" w:color="E4DED3"/>
              <w:bottom w:val="single" w:sz="4" w:space="0" w:color="E4DED3"/>
              <w:right w:val="single" w:sz="4" w:space="0" w:color="E4DED3"/>
            </w:tcBorders>
          </w:tcPr>
          <w:p>
            <w:r>
              <w:rPr>
                <w:sz w:val="18"/>
              </w:rPr>
              <w:t>the AT2 Deployment Report (foundation build)</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Successor document</w:t>
            </w:r>
          </w:p>
        </w:tc>
        <w:tc>
          <w:tcPr>
            <w:tcW w:type="dxa" w:w="6236"/>
            <w:tcBorders>
              <w:top w:val="single" w:sz="4" w:space="0" w:color="E4DED3"/>
              <w:left w:val="single" w:sz="4" w:space="0" w:color="E4DED3"/>
              <w:bottom w:val="single" w:sz="4" w:space="0" w:color="E4DED3"/>
              <w:right w:val="single" w:sz="4" w:space="0" w:color="E4DED3"/>
            </w:tcBorders>
          </w:tcPr>
          <w:p>
            <w:r>
              <w:rPr>
                <w:sz w:val="18"/>
              </w:rPr>
              <w:t>YAT LMS Cloud Architecture — HA Design (follow-on phase)</w:t>
            </w:r>
          </w:p>
        </w:tc>
      </w:tr>
    </w:tbl>
    <w:p/>
    <w:sectPr w:rsidR="00FC693F" w:rsidRPr="0006063C" w:rsidSect="00034616">
      <w:headerReference w:type="default" r:id="rId13"/>
      <w:footerReference w:type="default" r:id="rId14"/>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ource Sans 3" w:hAnsi="Source Sans 3" w:eastAsia="Source Sans 3"/>
      <w:color w:val="1F23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ans 3" w:hAnsi="Source Sans 3" w:eastAsia="Source Sans 3"/>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ans 3" w:hAnsi="Source Sans 3" w:eastAsia="Source Sans 3"/>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ans 3" w:hAnsi="Source Sans 3" w:eastAsia="Source Sans 3"/>
      <w:b/>
      <w:bCs/>
      <w:color w:val="1F232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ans 3" w:hAnsi="Source Sans 3" w:eastAsia="Source Sans 3"/>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