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ource Sans 3" w:hAnsi="Source Sans 3"/>
          <w:b/>
          <w:color w:val="1F5A5C"/>
          <w:sz w:val="68"/>
        </w:rPr>
        <w:t>YAT</w:t>
      </w:r>
      <w:r>
        <w:rPr>
          <w:b/>
          <w:color w:val="C5613B"/>
          <w:sz w:val="32"/>
        </w:rPr>
        <w:t xml:space="preserve">  COLLEGE</w:t>
      </w:r>
    </w:p>
    <w:p>
      <w:r>
        <w:rPr>
          <w:color w:val="6B6660"/>
          <w:sz w:val="18"/>
        </w:rPr>
        <w:t>YAT College  ·  175 Cremorne St, Cremorne VIC 3121</w:t>
      </w:r>
    </w:p>
    <w:p>
      <w:pPr>
        <w:pBdr>
          <w:bottom w:val="single" w:sz="12" w:space="4" w:color="1F5A5C"/>
        </w:pBdr>
      </w:pPr>
    </w:p>
    <w:p/>
    <w:p/>
    <w:p/>
    <w:p>
      <w:pPr>
        <w:pStyle w:val="Title"/>
      </w:pPr>
      <w:r>
        <w:t>Solution Design</w:t>
      </w:r>
    </w:p>
    <w:p>
      <w:r>
        <w:rPr>
          <w:b/>
          <w:color w:val="C5613B"/>
          <w:sz w:val="30"/>
        </w:rPr>
        <w:t>LMS Replacement — GrayBoard to DOODLE (on-premises)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Engagement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20"/>
              </w:rPr>
              <w:t>YAT LMS Replacement Project — Phase 1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Document type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20"/>
              </w:rPr>
              <w:t>Technical design (Solution Design)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20"/>
              </w:rPr>
              <w:t>v1.0 — Approved for implementation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Authored by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20"/>
              </w:rPr>
              <w:t>AccentLoitte Consulting, in consultation with YAT ICT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20"/>
              </w:rPr>
              <w:t>Jamie O'Donnell (AccentLoitte) · Sam Walker (YAT ICT Manager)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20"/>
              </w:rPr>
              <w:t>June 2022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Implemented by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20"/>
              </w:rPr>
              <w:t>the LMS Replacement Deployment Report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20"/>
              </w:rPr>
              <w:t>Commercial-in-confidence</w:t>
            </w:r>
          </w:p>
        </w:tc>
      </w:tr>
    </w:tbl>
    <w:p>
      <w:pPr>
        <w:sectPr>
          <w:headerReference w:type="default" r:id="rId9"/>
          <w:footerReference w:type="default" r:id="rId10"/>
          <w:pgSz w:w="11906" w:h="16838"/>
          <w:pgMar w:top="1474" w:right="1247" w:bottom="1247" w:left="1247" w:header="567" w:footer="567" w:gutter="0"/>
          <w:cols w:space="720"/>
          <w:docGrid w:linePitch="360"/>
        </w:sectPr>
      </w:pP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</w:r>
      <w:r>
        <w:rPr>
          <w:color w:val="6B6660"/>
        </w:rPr>
        <w:t>Right-click and choose “Update Field” to build the table of contents.</w:t>
      </w:r>
      <w:r>
        <w:fldChar w:fldCharType="end"/>
      </w:r>
    </w:p>
    <w:p>
      <w:pPr>
        <w:sectPr>
          <w:headerReference w:type="default" r:id="rId11"/>
          <w:footerReference w:type="default" r:id="rId12"/>
          <w:pgSz w:w="11906" w:h="16838"/>
          <w:pgMar w:top="1474" w:right="1247" w:bottom="1247" w:left="1247" w:header="567" w:footer="567" w:gutter="0"/>
          <w:cols w:space="720"/>
          <w:docGrid w:linePitch="360"/>
        </w:sectPr>
      </w:pPr>
    </w:p>
    <w:p>
      <w:pPr>
        <w:pStyle w:val="Heading1"/>
      </w:pPr>
      <w:r>
        <w:t>1. Purpose and Scope</w:t>
      </w:r>
    </w:p>
    <w:p>
      <w:r>
        <w:rPr>
          <w:sz w:val="21"/>
        </w:rPr>
        <w:t>This document specifies the solution for replacing YAT's end-of-life GrayBoard LMS with the DOODLE platform, deployed on-premises at the Cremorne campus. It translates the board-approved recommendation from the LMS Replacement Business Case into an implementable design covering the infrastructure, the DOODLE installation approach, the migration of student records from GrayBoard, and the cutover.</w:t>
      </w:r>
    </w:p>
    <w:p>
      <w:pPr>
        <w:pStyle w:val="Heading3"/>
      </w:pPr>
      <w:r>
        <w:t>In scope of this design</w:t>
      </w:r>
    </w:p>
    <w:p>
      <w:pPr>
        <w:pStyle w:val="ListBullet"/>
      </w:pPr>
      <w:r>
        <w:rPr>
          <w:sz w:val="21"/>
        </w:rPr>
        <w:t>On-premises infrastructure for DOODLE at the Cremorne campus (server, storage, network placement, backup).</w:t>
      </w:r>
    </w:p>
    <w:p>
      <w:pPr>
        <w:pStyle w:val="ListBullet"/>
      </w:pPr>
      <w:r>
        <w:rPr>
          <w:sz w:val="21"/>
        </w:rPr>
        <w:t>DOODLE installation and base configuration; integration with Active Directory, Office 365 and AVETMISS reporting.</w:t>
      </w:r>
    </w:p>
    <w:p>
      <w:pPr>
        <w:pStyle w:val="ListBullet"/>
      </w:pPr>
      <w:r>
        <w:rPr>
          <w:sz w:val="21"/>
        </w:rPr>
        <w:t>Migration of all student records from the legacy GrayBoard LMS, with reconciliation.</w:t>
      </w:r>
    </w:p>
    <w:p>
      <w:pPr>
        <w:pStyle w:val="ListBullet"/>
      </w:pPr>
      <w:r>
        <w:rPr>
          <w:sz w:val="21"/>
        </w:rPr>
        <w:t>The cutover plan, scheduled into the December–January teaching break.</w:t>
      </w:r>
    </w:p>
    <w:p>
      <w:pPr>
        <w:pStyle w:val="Heading3"/>
      </w:pPr>
      <w:r>
        <w:t>Out of scope of this design</w:t>
      </w:r>
    </w:p>
    <w:p>
      <w:pPr>
        <w:pStyle w:val="ListBullet"/>
      </w:pPr>
      <w:r>
        <w:rPr>
          <w:sz w:val="21"/>
        </w:rPr>
        <w:t>Cloud hosting — noted as a future consideration, not part of this engagement.</w:t>
      </w:r>
    </w:p>
    <w:p>
      <w:pPr>
        <w:pStyle w:val="ListBullet"/>
      </w:pPr>
      <w:r>
        <w:rPr>
          <w:sz w:val="21"/>
        </w:rPr>
        <w:t>Application-layer high availability / clustering.</w:t>
      </w:r>
    </w:p>
    <w:p>
      <w:pPr>
        <w:pStyle w:val="ListBullet"/>
      </w:pPr>
      <w:r>
        <w:rPr>
          <w:sz w:val="21"/>
        </w:rPr>
        <w:t>Ongoing operational support after acceptance (separately contracted).</w:t>
      </w:r>
    </w:p>
    <w:p>
      <w:pPr>
        <w:pStyle w:val="Heading1"/>
      </w:pPr>
      <w:r>
        <w:t>2. Design Inputs and Requirements</w:t>
      </w:r>
    </w:p>
    <w:p>
      <w:pPr>
        <w:pStyle w:val="Heading3"/>
      </w:pPr>
      <w:r>
        <w:t>2.1 Inputs</w:t>
      </w:r>
    </w:p>
    <w:p>
      <w:pPr>
        <w:pStyle w:val="ListBullet"/>
      </w:pPr>
      <w:r>
        <w:rPr>
          <w:sz w:val="21"/>
        </w:rPr>
        <w:t>LMS Replacement Requirements — the functional and non-functional targets.</w:t>
      </w:r>
    </w:p>
    <w:p>
      <w:pPr>
        <w:pStyle w:val="ListBullet"/>
      </w:pPr>
      <w:r>
        <w:rPr>
          <w:sz w:val="21"/>
        </w:rPr>
        <w:t>Engagement Role Brief — scope, phases, on-premises deployment direction.</w:t>
      </w:r>
    </w:p>
    <w:p>
      <w:pPr>
        <w:pStyle w:val="ListBullet"/>
      </w:pPr>
      <w:r>
        <w:rPr>
          <w:sz w:val="21"/>
        </w:rPr>
        <w:t>ICT Environment Overview — the current campus environment the LMS sits within.</w:t>
      </w:r>
    </w:p>
    <w:p>
      <w:pPr>
        <w:pStyle w:val="Heading3"/>
      </w:pPr>
      <w:r>
        <w:t>2.2 Requirements the design must meet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6520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Target / note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Replacement platform</w:t>
            </w:r>
          </w:p>
        </w:tc>
        <w:tc>
          <w:tcPr>
            <w:tcW w:type="dxa" w:w="6520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A current, vendor-supported LMS — DOODLE (selected via market evaluation)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Deployment</w:t>
            </w:r>
          </w:p>
        </w:tc>
        <w:tc>
          <w:tcPr>
            <w:tcW w:type="dxa" w:w="6520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On-premises at the Cremorne campus; Windows Server 2016 hosting standard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Record preservation</w:t>
            </w:r>
          </w:p>
        </w:tc>
        <w:tc>
          <w:tcPr>
            <w:tcW w:type="dxa" w:w="6520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All GrayBoard student records migrated with full integrity (counts reconcile)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Availability</w:t>
            </w:r>
          </w:p>
        </w:tc>
        <w:tc>
          <w:tcPr>
            <w:tcW w:type="dxa" w:w="6520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≥ 99% (a meaningful step up from the degrading GrayBoard)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Accessibility</w:t>
            </w:r>
          </w:p>
        </w:tc>
        <w:tc>
          <w:tcPr>
            <w:tcW w:type="dxa" w:w="6520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WCAG 2.1 Level AA (Disability Discrimination Act 1992)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Integrations</w:t>
            </w:r>
          </w:p>
        </w:tc>
        <w:tc>
          <w:tcPr>
            <w:tcW w:type="dxa" w:w="6520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Active Directory SSO · Office 365 SMTP · AVETMISS/ASQA export · LDAP user groups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6520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Match or exceed GrayBoard, including ~3× concurrent load at end-of-term peaks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Vendor support</w:t>
            </w:r>
          </w:p>
        </w:tc>
        <w:tc>
          <w:tcPr>
            <w:tcW w:type="dxa" w:w="6520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Severity-1 response ≤ 4 h (teaching hours) / ≤ 8 h (outside)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Cutover</w:t>
            </w:r>
          </w:p>
        </w:tc>
        <w:tc>
          <w:tcPr>
            <w:tcW w:type="dxa" w:w="6520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During the December–January teaching break; training delivered before cutover</w:t>
            </w:r>
          </w:p>
        </w:tc>
      </w:tr>
    </w:tbl>
    <w:p/>
    <w:p>
      <w:pPr>
        <w:pStyle w:val="Heading1"/>
      </w:pPr>
      <w:r>
        <w:t>3. Review of Existing Architecture</w:t>
      </w:r>
    </w:p>
    <w:p>
      <w:pPr>
        <w:spacing w:after="120"/>
      </w:pPr>
      <w:r>
        <w:rPr>
          <w:b/>
          <w:color w:val="C5613B"/>
          <w:sz w:val="21"/>
        </w:rPr>
        <w:t>Not applicable — this is a replacement, not a hardening of an existing system — GrayBoard is decommissioned, not extended. The assessment of the legacy GrayBoard platform is in the LMS Replacement Business Case.</w:t>
      </w:r>
    </w:p>
    <w:p>
      <w:pPr>
        <w:pStyle w:val="Heading1"/>
      </w:pPr>
      <w:r>
        <w:t>4. Architecture Design</w:t>
      </w:r>
    </w:p>
    <w:p>
      <w:pPr>
        <w:pStyle w:val="Heading3"/>
      </w:pPr>
      <w:r>
        <w:t>4.1 Assumptions and constraints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567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102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Assumption / constraint</w:t>
            </w:r>
          </w:p>
        </w:tc>
        <w:tc>
          <w:tcPr>
            <w:tcW w:type="dxa" w:w="3402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56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A1</w:t>
            </w:r>
          </w:p>
        </w:tc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Deployed on-premises at the Cremorne campus (current operating model)</w:t>
            </w:r>
          </w:p>
        </w:tc>
        <w:tc>
          <w:tcPr>
            <w:tcW w:type="dxa" w:w="34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Role Brief</w:t>
            </w:r>
          </w:p>
        </w:tc>
      </w:tr>
      <w:tr>
        <w:tc>
          <w:tcPr>
            <w:tcW w:type="dxa" w:w="56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A2</w:t>
            </w:r>
          </w:p>
        </w:tc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Windows Server 2016 application-hosting standard</w:t>
            </w:r>
          </w:p>
        </w:tc>
        <w:tc>
          <w:tcPr>
            <w:tcW w:type="dxa" w:w="34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Replacement Requirements</w:t>
            </w:r>
          </w:p>
        </w:tc>
      </w:tr>
      <w:tr>
        <w:tc>
          <w:tcPr>
            <w:tcW w:type="dxa" w:w="56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A3</w:t>
            </w:r>
          </w:p>
        </w:tc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All GrayBoard student records must be preserved with integrity</w:t>
            </w:r>
          </w:p>
        </w:tc>
        <w:tc>
          <w:tcPr>
            <w:tcW w:type="dxa" w:w="34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Standards for RTOs 2015</w:t>
            </w:r>
          </w:p>
        </w:tc>
      </w:tr>
      <w:tr>
        <w:tc>
          <w:tcPr>
            <w:tcW w:type="dxa" w:w="56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A4</w:t>
            </w:r>
          </w:p>
        </w:tc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Authentication via Active Directory; preserve LDAP group structures</w:t>
            </w:r>
          </w:p>
        </w:tc>
        <w:tc>
          <w:tcPr>
            <w:tcW w:type="dxa" w:w="34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Replacement Requirements</w:t>
            </w:r>
          </w:p>
        </w:tc>
      </w:tr>
      <w:tr>
        <w:tc>
          <w:tcPr>
            <w:tcW w:type="dxa" w:w="56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A5</w:t>
            </w:r>
          </w:p>
        </w:tc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Cutover confined to the December–January teaching break</w:t>
            </w:r>
          </w:p>
        </w:tc>
        <w:tc>
          <w:tcPr>
            <w:tcW w:type="dxa" w:w="34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Replacement Requirements</w:t>
            </w:r>
          </w:p>
        </w:tc>
      </w:tr>
    </w:tbl>
    <w:p/>
    <w:p>
      <w:pPr>
        <w:pStyle w:val="Heading3"/>
      </w:pPr>
      <w:r>
        <w:t>4.2 Deployment environment</w:t>
      </w:r>
    </w:p>
    <w:p>
      <w:r>
        <w:rPr>
          <w:sz w:val="21"/>
        </w:rPr>
        <w:t>The DOODLE server is deployed in the YAT Cremorne campus computer room — physically secured, air-conditioned, UPS-protected — consistent with the existing ICT environment. It sits in the staff network zone, with student-zone access to the LMS application governed by Active Directory permissions.</w:t>
      </w:r>
    </w:p>
    <w:p>
      <w:pPr>
        <w:pStyle w:val="Heading3"/>
      </w:pPr>
      <w:r>
        <w:t>4.3 Identity and access</w:t>
      </w:r>
    </w:p>
    <w:p>
      <w:pPr>
        <w:pStyle w:val="ListBullet"/>
      </w:pPr>
      <w:r>
        <w:rPr>
          <w:sz w:val="21"/>
        </w:rPr>
        <w:t>DOODLE authenticates against Active Directory via LDAP bind — single sign-on for staff and students.</w:t>
      </w:r>
    </w:p>
    <w:p>
      <w:pPr>
        <w:pStyle w:val="ListBullet"/>
      </w:pPr>
      <w:r>
        <w:rPr>
          <w:sz w:val="21"/>
        </w:rPr>
        <w:t>Existing LDAP user-group structures are preserved (per the User Access Policy in force).</w:t>
      </w:r>
    </w:p>
    <w:p>
      <w:pPr>
        <w:pStyle w:val="ListBullet"/>
      </w:pPr>
      <w:r>
        <w:rPr>
          <w:sz w:val="21"/>
        </w:rPr>
        <w:t>MFA for staff with grading or course-management roles, per the User Access Policy.</w:t>
      </w:r>
    </w:p>
    <w:p>
      <w:pPr>
        <w:pStyle w:val="Heading3"/>
      </w:pPr>
      <w:r>
        <w:t>4.4 Network</w:t>
      </w:r>
    </w:p>
    <w:p>
      <w:pPr>
        <w:pStyle w:val="ListBullet"/>
      </w:pPr>
      <w:r>
        <w:rPr>
          <w:sz w:val="21"/>
        </w:rPr>
        <w:t>The server uses the redundant campus network (dual NICs) with no single point of failure at the network layer.</w:t>
      </w:r>
    </w:p>
    <w:p>
      <w:pPr>
        <w:pStyle w:val="ListBullet"/>
      </w:pPr>
      <w:r>
        <w:rPr>
          <w:sz w:val="21"/>
        </w:rPr>
        <w:t>Students reach the LMS across the zone boundary under AD permissions; staff reach it from the staff zone.</w:t>
      </w:r>
    </w:p>
    <w:p>
      <w:pPr>
        <w:pStyle w:val="ListBullet"/>
      </w:pPr>
      <w:r>
        <w:rPr>
          <w:sz w:val="21"/>
        </w:rPr>
        <w:t>Office 365 SMTP relay for LMS notifications; outbound access for vendor updates via the campus firewall.</w:t>
      </w:r>
    </w:p>
    <w:p>
      <w:pPr>
        <w:pStyle w:val="Heading3"/>
      </w:pPr>
      <w:r>
        <w:t>4.5 Compute (server)</w:t>
      </w:r>
    </w:p>
    <w:p>
      <w:pPr>
        <w:pStyle w:val="ListBullet"/>
      </w:pPr>
      <w:r>
        <w:rPr>
          <w:sz w:val="21"/>
        </w:rPr>
        <w:t>A new mid-range enterprise server (dual PSU, RAID-protected disks), running Windows Server 2016, hosts DOODLE and its MySQL database.</w:t>
      </w:r>
    </w:p>
    <w:p>
      <w:pPr>
        <w:pStyle w:val="ListBullet"/>
      </w:pPr>
      <w:r>
        <w:rPr>
          <w:sz w:val="21"/>
        </w:rPr>
        <w:t>Sized to match or exceed GrayBoard's performance, including the ~3× concurrent load during end-of-term assessment windows.</w:t>
      </w:r>
    </w:p>
    <w:p>
      <w:pPr>
        <w:pStyle w:val="Heading3"/>
      </w:pPr>
      <w:r>
        <w:t>4.6 Load balancing</w:t>
      </w:r>
    </w:p>
    <w:p>
      <w:pPr>
        <w:spacing w:after="120"/>
      </w:pPr>
      <w:r>
        <w:rPr>
          <w:b/>
          <w:color w:val="C5613B"/>
          <w:sz w:val="21"/>
        </w:rPr>
        <w:t>Not applicable — single-server on-premises deployment — no load balancer in scope (this is not a horizontally-scaled or highly-available design).</w:t>
      </w:r>
    </w:p>
    <w:p>
      <w:pPr>
        <w:pStyle w:val="Heading3"/>
      </w:pPr>
      <w:r>
        <w:t>4.7 Database</w:t>
      </w:r>
    </w:p>
    <w:p>
      <w:pPr>
        <w:pStyle w:val="ListBullet"/>
      </w:pPr>
      <w:r>
        <w:rPr>
          <w:sz w:val="21"/>
        </w:rPr>
        <w:t>MySQL on the application server (DOODLE's supported database); engine version confirmed against DOODLE's compatibility matrix.</w:t>
      </w:r>
    </w:p>
    <w:p>
      <w:pPr>
        <w:pStyle w:val="ListBullet"/>
      </w:pPr>
      <w:r>
        <w:rPr>
          <w:sz w:val="21"/>
        </w:rPr>
        <w:t>Populated by migrating the student records from the legacy GrayBoard LMS (see §5), with post-migration reconciliation.</w:t>
      </w:r>
    </w:p>
    <w:p>
      <w:pPr>
        <w:pStyle w:val="Heading3"/>
      </w:pPr>
      <w:r>
        <w:t>4.8 Storage</w:t>
      </w:r>
    </w:p>
    <w:p>
      <w:pPr>
        <w:pStyle w:val="ListBullet"/>
      </w:pPr>
      <w:r>
        <w:rPr>
          <w:sz w:val="21"/>
        </w:rPr>
        <w:t>RAID-protected local disk for the OS, the DOODLE application, and the MySQL database.</w:t>
      </w:r>
    </w:p>
    <w:p>
      <w:pPr>
        <w:pStyle w:val="ListBullet"/>
      </w:pPr>
      <w:r>
        <w:rPr>
          <w:sz w:val="21"/>
        </w:rPr>
        <w:t>The campus NAS (RAID-5) holds course attachments, student submissions, and backup copies.</w:t>
      </w:r>
    </w:p>
    <w:p>
      <w:pPr>
        <w:pStyle w:val="Heading3"/>
      </w:pPr>
      <w:r>
        <w:t>4.9 Security</w:t>
      </w:r>
    </w:p>
    <w:p>
      <w:pPr>
        <w:pStyle w:val="ListBullet"/>
      </w:pPr>
      <w:r>
        <w:rPr>
          <w:sz w:val="21"/>
        </w:rPr>
        <w:t>Active Directory permissions and the two-zone separation control access; antivirus/EDR on the server.</w:t>
      </w:r>
    </w:p>
    <w:p>
      <w:pPr>
        <w:pStyle w:val="ListBullet"/>
      </w:pPr>
      <w:r>
        <w:rPr>
          <w:sz w:val="21"/>
        </w:rPr>
        <w:t>HTTPS for LMS application traffic; TLS for the MySQL connection.</w:t>
      </w:r>
    </w:p>
    <w:p>
      <w:pPr>
        <w:pStyle w:val="ListBullet"/>
      </w:pPr>
      <w:r>
        <w:rPr>
          <w:sz w:val="21"/>
        </w:rPr>
        <w:t>WCAG 2.1 Level AA conformance at the application layer (a DOODLE selection criterion).</w:t>
      </w:r>
    </w:p>
    <w:p>
      <w:pPr>
        <w:pStyle w:val="Heading3"/>
      </w:pPr>
      <w:r>
        <w:t>4.10 Monitoring</w:t>
      </w:r>
    </w:p>
    <w:p>
      <w:r>
        <w:rPr>
          <w:sz w:val="21"/>
        </w:rPr>
        <w:t>The existing YAT system-management and monitoring server tracks the DOODLE server's health and runs the nightly backups; availability is tracked against the ≥ 99% target.</w:t>
      </w:r>
    </w:p>
    <w:p>
      <w:pPr>
        <w:pStyle w:val="Heading3"/>
      </w:pPr>
      <w:r>
        <w:t>4.11 Naming and asset conventions</w:t>
      </w:r>
    </w:p>
    <w:p>
      <w:r>
        <w:rPr>
          <w:sz w:val="21"/>
        </w:rPr>
        <w:t>The server and related assets are recorded in the YAT ICT asset register under the standard naming and ownership conventions.</w:t>
      </w:r>
    </w:p>
    <w:p>
      <w:pPr>
        <w:pStyle w:val="Heading3"/>
      </w:pPr>
      <w:r>
        <w:t>4.12 Backup</w:t>
      </w:r>
    </w:p>
    <w:p>
      <w:pPr>
        <w:pStyle w:val="ListBullet"/>
      </w:pPr>
      <w:r>
        <w:rPr>
          <w:sz w:val="21"/>
        </w:rPr>
        <w:t>Nightly backup of the DOODLE database and application data to the system-management server, with offsite tape rotation — aligned to the existing Backup and Retention Policy.</w:t>
      </w:r>
    </w:p>
    <w:p>
      <w:pPr>
        <w:pStyle w:val="ListBullet"/>
      </w:pPr>
      <w:r>
        <w:rPr>
          <w:sz w:val="21"/>
        </w:rPr>
        <w:t>GrayBoard is retained (read-only) until acceptance, as the migration rollback position (see §5).</w:t>
      </w:r>
    </w:p>
    <w:p>
      <w:pPr>
        <w:pStyle w:val="Heading3"/>
      </w:pPr>
      <w:r>
        <w:t>4.13 Recovery objectives</w:t>
      </w:r>
    </w:p>
    <w:p>
      <w:r>
        <w:rPr>
          <w:sz w:val="21"/>
        </w:rPr>
        <w:t>Recovery is backup-based: nightly backups give an RPO of up to one day, with restore from the system-management server or offsite tape. The design targets ≥ 99% availability — a step up from the degrading GrayBoard.</w:t>
      </w:r>
    </w:p>
    <w:p>
      <w:pPr>
        <w:pStyle w:val="Heading3"/>
      </w:pPr>
      <w:r>
        <w:t>4.14 Components requiring vertical scaling</w:t>
      </w:r>
    </w:p>
    <w:p>
      <w:r>
        <w:rPr>
          <w:sz w:val="21"/>
        </w:rPr>
        <w:t>The server is provisioned with headroom for growth; storage on the NAS is expandable. A future capacity increase is a server resource upgrade in a maintenance window.</w:t>
      </w:r>
    </w:p>
    <w:p>
      <w:pPr>
        <w:pStyle w:val="Heading3"/>
      </w:pPr>
      <w:r>
        <w:t>4.15 Single points of failure removed</w:t>
      </w:r>
    </w:p>
    <w:p>
      <w:pPr>
        <w:spacing w:after="120"/>
      </w:pPr>
      <w:r>
        <w:rPr>
          <w:b/>
          <w:color w:val="C5613B"/>
          <w:sz w:val="21"/>
        </w:rPr>
        <w:t>Not applicable — this is a supported single-server replacement, not a high-availability design; resilience beyond the existing campus posture (redundant network, RAID, UPS) is out of scope — cloud HA is noted as a future consideration.</w:t>
      </w:r>
    </w:p>
    <w:p>
      <w:pPr>
        <w:pStyle w:val="Heading3"/>
      </w:pPr>
      <w:r>
        <w:t>4.16 Configuration decisions left to the implementer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567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969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453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Why left open</w:t>
            </w:r>
          </w:p>
        </w:tc>
      </w:tr>
      <w:tr>
        <w:tc>
          <w:tcPr>
            <w:tcW w:type="dxa" w:w="56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C1</w:t>
            </w:r>
          </w:p>
        </w:tc>
        <w:tc>
          <w:tcPr>
            <w:tcW w:type="dxa" w:w="3969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Server specification (CPU / RAM / disk)</w:t>
            </w:r>
          </w:p>
        </w:tc>
        <w:tc>
          <w:tcPr>
            <w:tcW w:type="dxa" w:w="45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Size against the GrayBoard performance baseline + peak load</w:t>
            </w:r>
          </w:p>
        </w:tc>
      </w:tr>
      <w:tr>
        <w:tc>
          <w:tcPr>
            <w:tcW w:type="dxa" w:w="56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C2</w:t>
            </w:r>
          </w:p>
        </w:tc>
        <w:tc>
          <w:tcPr>
            <w:tcW w:type="dxa" w:w="3969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MySQL engine version</w:t>
            </w:r>
          </w:p>
        </w:tc>
        <w:tc>
          <w:tcPr>
            <w:tcW w:type="dxa" w:w="45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Confirm against the DOODLE compatibility matrix</w:t>
            </w:r>
          </w:p>
        </w:tc>
      </w:tr>
      <w:tr>
        <w:tc>
          <w:tcPr>
            <w:tcW w:type="dxa" w:w="56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C3</w:t>
            </w:r>
          </w:p>
        </w:tc>
        <w:tc>
          <w:tcPr>
            <w:tcW w:type="dxa" w:w="3969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Storage sizing (local + NAS)</w:t>
            </w:r>
          </w:p>
        </w:tc>
        <w:tc>
          <w:tcPr>
            <w:tcW w:type="dxa" w:w="45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Compute from the migrated data footprint + growth</w:t>
            </w:r>
          </w:p>
        </w:tc>
      </w:tr>
      <w:tr>
        <w:tc>
          <w:tcPr>
            <w:tcW w:type="dxa" w:w="56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C4</w:t>
            </w:r>
          </w:p>
        </w:tc>
        <w:tc>
          <w:tcPr>
            <w:tcW w:type="dxa" w:w="3969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Backup schedule specifics</w:t>
            </w:r>
          </w:p>
        </w:tc>
        <w:tc>
          <w:tcPr>
            <w:tcW w:type="dxa" w:w="45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Align with the existing backup windows (per the Backup and Retention Policy)</w:t>
            </w:r>
          </w:p>
        </w:tc>
      </w:tr>
    </w:tbl>
    <w:p/>
    <w:p>
      <w:pPr>
        <w:pStyle w:val="Heading1"/>
      </w:pPr>
      <w:r>
        <w:t>5. Implementation Sequencing</w:t>
      </w:r>
    </w:p>
    <w:p>
      <w:r>
        <w:rPr>
          <w:sz w:val="21"/>
        </w:rPr>
        <w:t>The replacement is a change to a live service — GrayBoard is in use until cutover — so the sequence and rollback matter. The work is confined to the December–January teaching break, with GrayBoard retained read-only as the rollback position until acceptance.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45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94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170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198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  <w:tc>
          <w:tcPr>
            <w:tcW w:type="dxa" w:w="198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Rollback</w:t>
            </w:r>
          </w:p>
        </w:tc>
      </w:tr>
      <w:tr>
        <w:tc>
          <w:tcPr>
            <w:tcW w:type="dxa" w:w="45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1</w:t>
            </w:r>
          </w:p>
        </w:tc>
        <w:tc>
          <w:tcPr>
            <w:tcW w:type="dxa" w:w="294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Provision and harden the server; install Windows Server 2016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None (parallel)</w:t>
            </w:r>
          </w:p>
        </w:tc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Server build checklist</w:t>
            </w:r>
          </w:p>
        </w:tc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5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2</w:t>
            </w:r>
          </w:p>
        </w:tc>
        <w:tc>
          <w:tcPr>
            <w:tcW w:type="dxa" w:w="294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Install and configure DOODLE; wire AD / O365 / AVETMISS integrations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None (parallel)</w:t>
            </w:r>
          </w:p>
        </w:tc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Integration tests</w:t>
            </w:r>
          </w:p>
        </w:tc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5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3</w:t>
            </w:r>
          </w:p>
        </w:tc>
        <w:tc>
          <w:tcPr>
            <w:tcW w:type="dxa" w:w="294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Migrate GrayBoard student records; reconcile counts + sample fidelity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None (parallel)</w:t>
            </w:r>
          </w:p>
        </w:tc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Record reconciliation</w:t>
            </w:r>
          </w:p>
        </w:tc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Re-run migration</w:t>
            </w:r>
          </w:p>
        </w:tc>
      </w:tr>
      <w:tr>
        <w:tc>
          <w:tcPr>
            <w:tcW w:type="dxa" w:w="45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4</w:t>
            </w:r>
          </w:p>
        </w:tc>
        <w:tc>
          <w:tcPr>
            <w:tcW w:type="dxa" w:w="294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Parallel-run DOODLE alongside GrayBoard; deliver staff training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Acceptance testing; trained staff</w:t>
            </w:r>
          </w:p>
        </w:tc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Continue on GrayBoard</w:t>
            </w:r>
          </w:p>
        </w:tc>
      </w:tr>
      <w:tr>
        <w:tc>
          <w:tcPr>
            <w:tcW w:type="dxa" w:w="45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5</w:t>
            </w:r>
          </w:p>
        </w:tc>
        <w:tc>
          <w:tcPr>
            <w:tcW w:type="dxa" w:w="294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Cutover to DOODLE (Dec–Jan break); redirect users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Planned downtime in break</w:t>
            </w:r>
          </w:p>
        </w:tc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Smoke + acceptance</w:t>
            </w:r>
          </w:p>
        </w:tc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Revert to GrayBoard</w:t>
            </w:r>
          </w:p>
        </w:tc>
      </w:tr>
      <w:tr>
        <w:tc>
          <w:tcPr>
            <w:tcW w:type="dxa" w:w="45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6</w:t>
            </w:r>
          </w:p>
        </w:tc>
        <w:tc>
          <w:tcPr>
            <w:tcW w:type="dxa" w:w="294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Decommission GrayBoard after acceptance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Sign-off received</w:t>
            </w:r>
          </w:p>
        </w:tc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n/a</w:t>
            </w:r>
          </w:p>
        </w:tc>
      </w:tr>
    </w:tbl>
    <w:p/>
    <w:p>
      <w:pPr>
        <w:pStyle w:val="Heading1"/>
      </w:pPr>
      <w:r>
        <w:t>6. Simulation and Verification Plan</w:t>
      </w:r>
    </w:p>
    <w:p>
      <w:pPr>
        <w:spacing w:after="120"/>
      </w:pPr>
      <w:r>
        <w:rPr>
          <w:b/>
          <w:color w:val="C5613B"/>
          <w:sz w:val="21"/>
        </w:rPr>
        <w:t>Not applicable — no high-availability failure/resize simulation applies to this single-server on-premises design; verification (record reconciliation, performance baseline, accessibility audit) is documented in the Deployment Report's testing section.</w:t>
      </w:r>
    </w:p>
    <w:p>
      <w:pPr>
        <w:pStyle w:val="Heading1"/>
      </w:pPr>
      <w:r>
        <w:t>7. Out of Scope</w:t>
      </w:r>
    </w:p>
    <w:p>
      <w:pPr>
        <w:pStyle w:val="ListBullet"/>
      </w:pPr>
      <w:r>
        <w:rPr>
          <w:sz w:val="21"/>
        </w:rPr>
        <w:t>Cloud hosting — a future consideration, not this engagement.</w:t>
      </w:r>
    </w:p>
    <w:p>
      <w:pPr>
        <w:pStyle w:val="ListBullet"/>
      </w:pPr>
      <w:r>
        <w:rPr>
          <w:sz w:val="21"/>
        </w:rPr>
        <w:t>Application-layer high availability / clustering.</w:t>
      </w:r>
    </w:p>
    <w:p>
      <w:pPr>
        <w:pStyle w:val="ListBullet"/>
      </w:pPr>
      <w:r>
        <w:rPr>
          <w:sz w:val="21"/>
        </w:rPr>
        <w:t>Ongoing operational support after acceptance of the Closure Pack (separately contracted).</w:t>
      </w:r>
    </w:p>
    <w:p>
      <w:pPr>
        <w:pStyle w:val="Heading1"/>
      </w:pPr>
      <w:r>
        <w:t>8. References</w:t>
      </w:r>
    </w:p>
    <w:p>
      <w:pPr>
        <w:pStyle w:val="ListBullet"/>
      </w:pPr>
      <w:r>
        <w:rPr>
          <w:sz w:val="21"/>
        </w:rPr>
        <w:t>LMS Replacement Requirements; Engagement Role Brief; ICT Environment Overview.</w:t>
      </w:r>
    </w:p>
    <w:p>
      <w:pPr>
        <w:pStyle w:val="ListBullet"/>
      </w:pPr>
      <w:r>
        <w:rPr>
          <w:sz w:val="21"/>
        </w:rPr>
        <w:t>Privacy / Data Handling Policy; User Access Policy; Backup and Retention Policy.</w:t>
      </w:r>
    </w:p>
    <w:p>
      <w:pPr>
        <w:pStyle w:val="ListBullet"/>
      </w:pPr>
      <w:r>
        <w:rPr>
          <w:sz w:val="21"/>
        </w:rPr>
        <w:t>Standards for RTOs 2015 (record retention); Disability Discrimination Act 1992 (WCAG 2.1 AA).</w:t>
      </w:r>
    </w:p>
    <w:p>
      <w:pPr>
        <w:pStyle w:val="Heading1"/>
      </w:pPr>
      <w: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3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236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Document version</w:t>
            </w:r>
          </w:p>
        </w:tc>
        <w:tc>
          <w:tcPr>
            <w:tcW w:type="dxa" w:w="6236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v1.0 — Approved for implementation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Authored by</w:t>
            </w:r>
          </w:p>
        </w:tc>
        <w:tc>
          <w:tcPr>
            <w:tcW w:type="dxa" w:w="6236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AccentLoitte Consulting, in consultation with YAT ICT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Approved by</w:t>
            </w:r>
          </w:p>
        </w:tc>
        <w:tc>
          <w:tcPr>
            <w:tcW w:type="dxa" w:w="6236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Jamie O'Donnell (AccentLoitte) · Sam Walker (YAT ICT Manager)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Implemented by</w:t>
            </w:r>
          </w:p>
        </w:tc>
        <w:tc>
          <w:tcPr>
            <w:tcW w:type="dxa" w:w="6236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the LMS Replacement Deployment Report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Successor document</w:t>
            </w:r>
          </w:p>
        </w:tc>
        <w:tc>
          <w:tcPr>
            <w:tcW w:type="dxa" w:w="6236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LMS Replacement Deployment Report (Phase 2–3)</w:t>
            </w:r>
          </w:p>
        </w:tc>
      </w:tr>
    </w:tbl>
    <w:p/>
    <w:sectPr w:rsidR="00FC693F" w:rsidRPr="0006063C" w:rsidSect="00034616">
      <w:headerReference w:type="default" r:id="rId13"/>
      <w:footerReference w:type="default" r:id="rId14"/>
      <w:pgSz w:w="11906" w:h="16838"/>
      <w:pgMar w:top="1474" w:right="1247" w:bottom="1247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bottom w:val="single" w:sz="6" w:space="4" w:color="1F5A5C"/>
      </w:pBdr>
      <w:tabs>
        <w:tab w:pos="9354" w:val="right"/>
      </w:tabs>
    </w:pPr>
    <w:r/>
    <w:r>
      <w:rPr>
        <w:b/>
        <w:color w:val="1F5A5C"/>
        <w:sz w:val="17"/>
      </w:rPr>
      <w:t>YAT College</w:t>
    </w:r>
    <w:r>
      <w:tab/>
    </w:r>
    <w:r>
      <w:rPr>
        <w:color w:val="6B6660"/>
        <w:sz w:val="17"/>
      </w:rPr>
      <w:t xml:space="preserve">Page </w:t>
    </w:r>
    <w:r>
      <w:fldChar w:fldCharType="begin"/>
      <w:instrText xml:space="preserve">PAGE</w:instrText>
      <w:fldChar w:fldCharType="separate"/>
    </w:r>
    <w:r>
      <w:fldChar w:fldCharType="end"/>
    </w:r>
    <w:r>
      <w:rPr>
        <w:color w:val="6B6660"/>
        <w:sz w:val="17"/>
      </w:rPr>
      <w:t xml:space="preserve"> of </w:t>
    </w:r>
    <w:r>
      <w:fldChar w:fldCharType="begin"/>
      <w:instrText xml:space="preserve">NUMPAGES</w:instrText>
      <w:fldChar w:fldCharType="separate"/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bottom w:val="single" w:sz="6" w:space="4" w:color="1F5A5C"/>
      </w:pBdr>
      <w:tabs>
        <w:tab w:pos="9354" w:val="right"/>
      </w:tabs>
    </w:pPr>
    <w:r/>
    <w:r>
      <w:rPr>
        <w:b/>
        <w:color w:val="1F5A5C"/>
        <w:sz w:val="17"/>
      </w:rPr>
      <w:t>YAT College</w:t>
    </w:r>
    <w:r>
      <w:tab/>
    </w:r>
    <w:r>
      <w:rPr>
        <w:color w:val="6B6660"/>
        <w:sz w:val="17"/>
      </w:rPr>
      <w:t xml:space="preserve">Page </w:t>
    </w:r>
    <w:r>
      <w:fldChar w:fldCharType="begin"/>
      <w:instrText xml:space="preserve">PAGE</w:instrText>
      <w:fldChar w:fldCharType="separate"/>
    </w:r>
    <w:r>
      <w:fldChar w:fldCharType="end"/>
    </w:r>
    <w:r>
      <w:rPr>
        <w:color w:val="6B6660"/>
        <w:sz w:val="17"/>
      </w:rPr>
      <w:t xml:space="preserve"> of </w:t>
    </w:r>
    <w:r>
      <w:fldChar w:fldCharType="begin"/>
      <w:instrText xml:space="preserve">NUMPAGES</w:instrText>
      <w:fldChar w:fldCharType="separate"/>
    </w:r>
    <w: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bottom w:val="single" w:sz="6" w:space="4" w:color="1F5A5C"/>
      </w:pBdr>
      <w:tabs>
        <w:tab w:pos="9354" w:val="right"/>
      </w:tabs>
    </w:pPr>
    <w:r/>
    <w:r>
      <w:rPr>
        <w:b/>
        <w:color w:val="1F5A5C"/>
        <w:sz w:val="17"/>
      </w:rPr>
      <w:t>YAT College</w:t>
    </w:r>
    <w:r>
      <w:tab/>
    </w:r>
    <w:r>
      <w:rPr>
        <w:color w:val="6B6660"/>
        <w:sz w:val="17"/>
      </w:rPr>
      <w:t xml:space="preserve">Page </w:t>
    </w:r>
    <w:r>
      <w:fldChar w:fldCharType="begin"/>
      <w:instrText xml:space="preserve">PAGE</w:instrText>
      <w:fldChar w:fldCharType="separate"/>
    </w:r>
    <w:r>
      <w:fldChar w:fldCharType="end"/>
    </w:r>
    <w:r>
      <w:rPr>
        <w:color w:val="6B6660"/>
        <w:sz w:val="17"/>
      </w:rPr>
      <w:t xml:space="preserve"> of </w:t>
    </w:r>
    <w:r>
      <w:fldChar w:fldCharType="begin"/>
      <w:instrText xml:space="preserve">NUMPAGES</w:instrText>
      <w:fldChar w:fldCharType="separate"/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hd w:val="clear" w:color="auto" w:fill="C99932"/>
    </w:pPr>
    <w:r>
      <w:rPr>
        <w:b/>
        <w:color w:val="1F2329"/>
        <w:sz w:val="17"/>
      </w:rPr>
      <w:t>This is a fictional organisation used as a case study in an educational context.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hd w:val="clear" w:color="auto" w:fill="C99932"/>
    </w:pPr>
    <w:r>
      <w:rPr>
        <w:b/>
        <w:color w:val="1F2329"/>
        <w:sz w:val="17"/>
      </w:rPr>
      <w:t>This is a fictional organisation used as a case study in an educational context.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hd w:val="clear" w:color="auto" w:fill="C99932"/>
    </w:pPr>
    <w:r>
      <w:rPr>
        <w:b/>
        <w:color w:val="1F2329"/>
        <w:sz w:val="17"/>
      </w:rPr>
      <w:t>This is a fictional organisation used as a case study in an educational context.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ource Sans 3" w:hAnsi="Source Sans 3" w:eastAsia="Source Sans 3"/>
      <w:color w:val="1F23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ource Sans 3" w:hAnsi="Source Sans 3" w:eastAsia="Source Sans 3"/>
      <w:b/>
      <w:bCs/>
      <w:color w:val="1F5A5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ource Sans 3" w:hAnsi="Source Sans 3" w:eastAsia="Source Sans 3"/>
      <w:b/>
      <w:bCs/>
      <w:color w:val="1F5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ource Sans 3" w:hAnsi="Source Sans 3" w:eastAsia="Source Sans 3"/>
      <w:b/>
      <w:bCs/>
      <w:color w:val="1F232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ource Sans 3" w:hAnsi="Source Sans 3" w:eastAsia="Source Sans 3"/>
      <w:b/>
      <w:color w:val="1F5A5C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