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r>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r>
              <w:t>ICTCLD501 Develop cloud disaster recovery plans</w:t>
            </w:r>
          </w:p>
          <w:p>
            <w:pPr/>
            <w:r>
              <w:t>ICTCLD503 Implement web-scale cloud infrastructure</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r>
              <w:t>AT1 – Cloud Expansion: Design &amp; DR Plan</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t>1 of 2</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pPr>
            <w:r>
              <w:t>Students are assessed on the cloud design and disaster-recovery planning for the YAT LMS global expansion. Working as an MP Tech Solutions (MTS) consultant, the student produces a Solution Design (Part A) and a Disaster Recovery Plan (Part B) for the expanded LMS, then presents both to YAT ICT management for approval (Part C). This is the design-and-planning phase of the engagement; the approved design and plan are implemented in AT2.</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pPr>
            <w:r>
              <w:t>In this project the student takes on the role of an MTS consultant engaged by YAT College to design the changes that prepare the LMS for its India-campus expansion and to plan its disaster recovery. The project has three parts:</w:t>
            </w:r>
          </w:p>
          <w:p>
            <w:pPr>
              <w:pStyle w:val="Assessortext"/>
            </w:pPr>
            <w:r>
              <w:t>• Part A — Solution Design: a written design covering the web-scale architecture (serving a global user base) and an audit-log microservice. Produced in the YAT Solution Design template.</w:t>
            </w:r>
          </w:p>
          <w:p>
            <w:pPr>
              <w:pStyle w:val="Assessortext"/>
            </w:pPr>
            <w:r>
              <w:t>• Part B — Disaster Recovery Plan: a written DR plan for the designed system — risk and impact analysis, recovery objectives (RTO/RPO), recovery strategy, the recovery runbook, and validation. Produced in the YAT Disaster Recovery Plan template.</w:t>
            </w:r>
          </w:p>
          <w:p>
            <w:pPr>
              <w:pStyle w:val="Assessortext"/>
            </w:pPr>
            <w:r>
              <w:t>• Part C — Presentation: the student presents the Solution Design and DR Plan to YAT ICT management (role-played by the assessor) for approval, responds to questions, and obtains sign-off.</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rsidRPr="008A0AD8">
              <w:t>Insert the timeframe or time allowed for the assessment task.</w:t>
            </w:r>
          </w:p>
          <w:p w14:paraId="2E2D2AA3" w14:textId="599ADC08" w:rsidR="003C34A3" w:rsidRPr="002F7C81" w:rsidRDefault="003C34A3" w:rsidP="00C022D4">
            <w:pPr>
              <w:pStyle w:val="Assessortext"/>
            </w:pPr>
            <w:r w:rsidRPr="008A0AD8">
              <w:t xml:space="preserve">e.g. </w:t>
            </w:r>
            <w:r w:rsidR="00E81213" w:rsidRPr="008A0AD8">
              <w:t>‘</w:t>
            </w:r>
            <w:r w:rsidR="002C33AB" w:rsidRPr="008A0AD8">
              <w:t>8 weeks</w:t>
            </w:r>
            <w:r w:rsidR="00E81213" w:rsidRPr="008A0AD8">
              <w:t>’</w:t>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rsidRPr="008A0AD8">
              <w:t>Insert the location of where the assessment task will take place.</w:t>
            </w:r>
          </w:p>
          <w:p w14:paraId="0C59871E" w14:textId="5A24EA31" w:rsidR="003C34A3" w:rsidRPr="002F7C81" w:rsidRDefault="003C34A3" w:rsidP="00C022D4">
            <w:pPr>
              <w:pStyle w:val="Assessortext"/>
            </w:pPr>
            <w:r w:rsidRPr="008A0AD8">
              <w:t xml:space="preserve">e.g. </w:t>
            </w:r>
            <w:r w:rsidR="00E81213" w:rsidRPr="008A0AD8">
              <w:t>‘</w:t>
            </w:r>
            <w:r w:rsidR="002C33AB" w:rsidRPr="008A0AD8">
              <w:t>This assessment task will be conducted in the Bendigo TAFE carpentry workshop.</w:t>
            </w:r>
            <w:r w:rsidR="00E81213" w:rsidRPr="008A0AD8">
              <w:t>’</w:t>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pPr>
            <w:r>
              <w:t>Teacher/assessor supplied resources / Access to:</w:t>
            </w:r>
          </w:p>
          <w:p>
            <w:pPr>
              <w:pStyle w:val="Assessortext"/>
            </w:pPr>
            <w:r>
              <w:t>• The YAT scenario site / intranet — the LMS Global Expansion project (engagement brief, requirements, ICT manager consultation notes, data residency &amp; sovereignty requirements), the ICT documents (cloud application specification, baseline solution design), and the deprecated on-prem DR plan.</w:t>
            </w:r>
          </w:p>
          <w:p>
            <w:pPr>
              <w:pStyle w:val="Assessortext"/>
            </w:pPr>
            <w:r>
              <w:t>• The YAT Solution Design template and YAT Disaster Recovery Plan template (intranet Templates section).</w:t>
            </w:r>
          </w:p>
          <w:p>
            <w:pPr>
              <w:pStyle w:val="Assessortext"/>
            </w:pPr>
            <w:r>
              <w:t>• AWS Academy Cloud Foundations [104469] + AWS Academy Cloud Architecting [172221] — authorised lab environments (referenced for the design; the build itself is AT2).</w:t>
            </w:r>
          </w:p>
          <w:p>
            <w:pPr>
              <w:pStyle w:val="Assessortext"/>
            </w:pPr>
            <w:r>
              <w:t>• The YAT Document Archive — examples of previous MTS solution designs and DR plans.</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r>
              <w:t>To receive a Satisfactory outcome for this assessment task, the student must complete every criterion in the marking guide below to a satisfactory standard. All three parts (A, B and C) must be satisfactory. Where a criterion is not yet satisfactory, the student is given feedback and a further attempt per the Second attempt provisions.</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pPr>
            <w:r w:rsidRPr="0029391E">
              <w:t>Insert a statement explaining how and when the student will receive their assessment outcome. e.g. ‘Your result and written feedback will be provided to you via MyLearning within 10 working days of the assessment due date.’</w:t>
            </w:r>
          </w:p>
          <w:p w14:paraId="316AA10F" w14:textId="77777777" w:rsidR="00416D85" w:rsidRPr="0029391E" w:rsidRDefault="00416D85" w:rsidP="00C022D4">
            <w:r w:rsidRPr="0029391E">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bl>
    <w:p w14:paraId="56F88704" w14:textId="77777777" w:rsidR="00FE5400" w:rsidRPr="00C677AA" w:rsidRDefault="00FE5400" w:rsidP="00FE5400">
      <w:pPr>
        <w:pStyle w:val="NoSpacing"/>
        <w:rPr>
          <w:color w:val="4F81BD" w:themeColor="accent1"/>
        </w:rPr>
      </w:pPr>
    </w:p>
    <w:p w14:paraId="73478A3D" w14:textId="77777777" w:rsidR="00C022D4" w:rsidRPr="00C022D4" w:rsidRDefault="00C022D4" w:rsidP="000333FE">
      <w:pPr>
        <w:pStyle w:val="Assessortext"/>
      </w:pPr>
      <w:r w:rsidRPr="00C022D4">
        <w:t>List the criteria the student will be assessed against for the project assessment.</w:t>
      </w:r>
      <w:r w:rsidRPr="00C022D4">
        <w:br/>
      </w: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tc>
          <w:tcPr>
            <w:tcW w:type="dxa" w:w="8797"/>
          </w:tcPr>
          <w:p>
            <w:r>
              <w:rPr>
                <w:b/>
              </w:rPr>
              <w:t>Part A — Solution Design</w:t>
            </w:r>
          </w:p>
        </w:tc>
        <w:tc>
          <w:tcPr>
            <w:tcW w:type="dxa" w:w="1943"/>
          </w:tcPr>
          <w:p>
            <w:r/>
          </w:p>
        </w:tc>
      </w:tr>
      <w:tr>
        <w:tc>
          <w:tcPr>
            <w:tcW w:type="dxa" w:w="8797"/>
          </w:tcPr>
          <w:p>
            <w:r>
              <w:t>A1 — Purpose and scope: states the two design changes (scale for a global user base; add the audit-log microservice) and what is in and out of scope.</w:t>
            </w:r>
          </w:p>
        </w:tc>
        <w:tc>
          <w:tcPr>
            <w:tcW w:type="dxa" w:w="1943"/>
          </w:tcPr>
          <w:p>
            <w:r>
              <w:t>Yes        No</w:t>
            </w:r>
          </w:p>
        </w:tc>
      </w:tr>
      <w:tr>
        <w:tc>
          <w:tcPr>
            <w:tcW w:type="dxa" w:w="8797"/>
          </w:tcPr>
          <w:p>
            <w:r>
              <w:t>A2 — Design inputs and requirements: identifies the source documents and the requirements the design must meet, including data residency as an input constraint.</w:t>
            </w:r>
          </w:p>
        </w:tc>
        <w:tc>
          <w:tcPr>
            <w:tcW w:type="dxa" w:w="1943"/>
          </w:tcPr>
          <w:p>
            <w:r>
              <w:t>Yes        No</w:t>
            </w:r>
          </w:p>
        </w:tc>
      </w:tr>
      <w:tr>
        <w:tc>
          <w:tcPr>
            <w:tcW w:type="dxa" w:w="8797"/>
          </w:tcPr>
          <w:p>
            <w:r>
              <w:t>A3 — Review of the existing architecture: reviews the current cloud baseline against the requirements and identifies the gaps the design closes.</w:t>
            </w:r>
          </w:p>
        </w:tc>
        <w:tc>
          <w:tcPr>
            <w:tcW w:type="dxa" w:w="1943"/>
          </w:tcPr>
          <w:p>
            <w:r>
              <w:t>Yes        No</w:t>
            </w:r>
          </w:p>
        </w:tc>
      </w:tr>
      <w:tr>
        <w:tc>
          <w:tcPr>
            <w:tcW w:type="dxa" w:w="8797"/>
          </w:tcPr>
          <w:p>
            <w:r>
              <w:t>A4 — Web-scale design — scaling by layer: designs architecture changes using cloud services that scale network, compute and storage as utilisation increases.</w:t>
            </w:r>
          </w:p>
        </w:tc>
        <w:tc>
          <w:tcPr>
            <w:tcW w:type="dxa" w:w="1943"/>
          </w:tcPr>
          <w:p>
            <w:r>
              <w:t>Yes        No</w:t>
            </w:r>
          </w:p>
        </w:tc>
      </w:tr>
      <w:tr>
        <w:tc>
          <w:tcPr>
            <w:tcW w:type="dxa" w:w="8797"/>
          </w:tcPr>
          <w:p>
            <w:r>
              <w:t>A5 — Web-scale design — global delivery: designs the changes needed to serve a global user base.</w:t>
            </w:r>
          </w:p>
        </w:tc>
        <w:tc>
          <w:tcPr>
            <w:tcW w:type="dxa" w:w="1943"/>
          </w:tcPr>
          <w:p>
            <w:r>
              <w:t>Yes        No</w:t>
            </w:r>
          </w:p>
        </w:tc>
      </w:tr>
      <w:tr>
        <w:tc>
          <w:tcPr>
            <w:tcW w:type="dxa" w:w="8797"/>
          </w:tcPr>
          <w:p>
            <w:r>
              <w:t>A6 — Web-scale design — availability and security: confirms availability and security are maintained through the changes, and reviews the design against the requirements.</w:t>
            </w:r>
          </w:p>
        </w:tc>
        <w:tc>
          <w:tcPr>
            <w:tcW w:type="dxa" w:w="1943"/>
          </w:tcPr>
          <w:p>
            <w:r>
              <w:t>Yes        No</w:t>
            </w:r>
          </w:p>
        </w:tc>
      </w:tr>
      <w:tr>
        <w:tc>
          <w:tcPr>
            <w:tcW w:type="dxa" w:w="8797"/>
          </w:tcPr>
          <w:p>
            <w:r>
              <w:t>A7 — Web-scale component choices: justifies the component choices across SQL/NoSQL, monolith/microservice, virtual/container/serverless compute, and CDN/in-memory store.</w:t>
            </w:r>
          </w:p>
        </w:tc>
        <w:tc>
          <w:tcPr>
            <w:tcW w:type="dxa" w:w="1943"/>
          </w:tcPr>
          <w:p>
            <w:r>
              <w:t>Yes        No</w:t>
            </w:r>
          </w:p>
        </w:tc>
      </w:tr>
      <w:tr>
        <w:tc>
          <w:tcPr>
            <w:tcW w:type="dxa" w:w="8797"/>
          </w:tcPr>
          <w:p>
            <w:r>
              <w:t>A8 — Microservice — services and data transactions: identifies the microservice(s) and the data transaction(s) each handles, per business needs.</w:t>
            </w:r>
          </w:p>
        </w:tc>
        <w:tc>
          <w:tcPr>
            <w:tcW w:type="dxa" w:w="1943"/>
          </w:tcPr>
          <w:p>
            <w:r>
              <w:t>Yes        No</w:t>
            </w:r>
          </w:p>
        </w:tc>
      </w:tr>
      <w:tr>
        <w:tc>
          <w:tcPr>
            <w:tcW w:type="dxa" w:w="8797"/>
          </w:tcPr>
          <w:p>
            <w:r>
              <w:t>A9 — Microservice — supporting cloud services: determines the cloud services that support the microservice architecture.</w:t>
            </w:r>
          </w:p>
        </w:tc>
        <w:tc>
          <w:tcPr>
            <w:tcW w:type="dxa" w:w="1943"/>
          </w:tcPr>
          <w:p>
            <w:r>
              <w:t>Yes        No</w:t>
            </w:r>
          </w:p>
        </w:tc>
      </w:tr>
      <w:tr>
        <w:tc>
          <w:tcPr>
            <w:tcW w:type="dxa" w:w="8797"/>
          </w:tcPr>
          <w:p>
            <w:r>
              <w:t>A10 — Microservice — architecture: designs the microservice architecture (cohesion/coupling, persistent storage, API/messaging/queuing), with the interface/integration contract.</w:t>
            </w:r>
          </w:p>
        </w:tc>
        <w:tc>
          <w:tcPr>
            <w:tcW w:type="dxa" w:w="1943"/>
          </w:tcPr>
          <w:p>
            <w:r>
              <w:t>Yes        No</w:t>
            </w:r>
          </w:p>
        </w:tc>
      </w:tr>
      <w:tr>
        <w:tc>
          <w:tcPr>
            <w:tcW w:type="dxa" w:w="8797"/>
          </w:tcPr>
          <w:p>
            <w:r>
              <w:t>A11 — Architecture documented and justified: the web-scale and microservice design changes are documented and justified.</w:t>
            </w:r>
          </w:p>
        </w:tc>
        <w:tc>
          <w:tcPr>
            <w:tcW w:type="dxa" w:w="1943"/>
          </w:tcPr>
          <w:p>
            <w:r>
              <w:t>Yes        No</w:t>
            </w:r>
          </w:p>
        </w:tc>
      </w:tr>
      <w:tr>
        <w:tc>
          <w:tcPr>
            <w:tcW w:type="dxa" w:w="8797"/>
          </w:tcPr>
          <w:p>
            <w:r>
              <w:t>A12 — Knowledge Evidence appendix: written contextual responses linking the student's design choices to the underlying web-scale concepts.</w:t>
            </w:r>
          </w:p>
        </w:tc>
        <w:tc>
          <w:tcPr>
            <w:tcW w:type="dxa" w:w="1943"/>
          </w:tcPr>
          <w:p>
            <w:r>
              <w:t>Yes        No</w:t>
            </w:r>
          </w:p>
        </w:tc>
      </w:tr>
      <w:tr>
        <w:tc>
          <w:tcPr>
            <w:tcW w:type="dxa" w:w="8797"/>
          </w:tcPr>
          <w:p>
            <w:r>
              <w:t>A13 — Document quality: the Solution Design uses the YAT template, plain professional English, and is complete and internally consistent.</w:t>
            </w:r>
          </w:p>
        </w:tc>
        <w:tc>
          <w:tcPr>
            <w:tcW w:type="dxa" w:w="1943"/>
          </w:tcPr>
          <w:p>
            <w:r>
              <w:t>Yes        No</w:t>
            </w:r>
          </w:p>
        </w:tc>
      </w:tr>
      <w:tr>
        <w:tc>
          <w:tcPr>
            <w:tcW w:type="dxa" w:w="8797"/>
          </w:tcPr>
          <w:p>
            <w:r>
              <w:rPr>
                <w:b/>
              </w:rPr>
              <w:t>Part B — Disaster Recovery Plan</w:t>
            </w:r>
          </w:p>
        </w:tc>
        <w:tc>
          <w:tcPr>
            <w:tcW w:type="dxa" w:w="1943"/>
          </w:tcPr>
          <w:p>
            <w:r/>
          </w:p>
        </w:tc>
      </w:tr>
      <w:tr>
        <w:tc>
          <w:tcPr>
            <w:tcW w:type="dxa" w:w="8797"/>
          </w:tcPr>
          <w:p>
            <w:r>
              <w:t>B1 — Plan requirements and context: identifies the DR plan requirements according to business needs.</w:t>
            </w:r>
          </w:p>
        </w:tc>
        <w:tc>
          <w:tcPr>
            <w:tcW w:type="dxa" w:w="1943"/>
          </w:tcPr>
          <w:p>
            <w:r>
              <w:t>Yes        No</w:t>
            </w:r>
          </w:p>
        </w:tc>
      </w:tr>
      <w:tr>
        <w:tc>
          <w:tcPr>
            <w:tcW w:type="dxa" w:w="8797"/>
          </w:tcPr>
          <w:p>
            <w:r>
              <w:t>B2 — Current recovery position: determines the existing organisational recovery arrangements and the vendor (cloud provider) DR provisions and SLAs.</w:t>
            </w:r>
          </w:p>
        </w:tc>
        <w:tc>
          <w:tcPr>
            <w:tcW w:type="dxa" w:w="1943"/>
          </w:tcPr>
          <w:p>
            <w:r>
              <w:t>Yes        No</w:t>
            </w:r>
          </w:p>
        </w:tc>
      </w:tr>
      <w:tr>
        <w:tc>
          <w:tcPr>
            <w:tcW w:type="dxa" w:w="8797"/>
          </w:tcPr>
          <w:p>
            <w:r>
              <w:t>B3 — Recovery objectives: determines RTO and RPO according to business needs and explains them.</w:t>
            </w:r>
          </w:p>
        </w:tc>
        <w:tc>
          <w:tcPr>
            <w:tcW w:type="dxa" w:w="1943"/>
          </w:tcPr>
          <w:p>
            <w:r>
              <w:t>Yes        No</w:t>
            </w:r>
          </w:p>
        </w:tc>
      </w:tr>
      <w:tr>
        <w:tc>
          <w:tcPr>
            <w:tcW w:type="dxa" w:w="8797"/>
          </w:tcPr>
          <w:p>
            <w:r>
              <w:t>B4 — Data managed: estimates the amount and security level of data managed.</w:t>
            </w:r>
          </w:p>
        </w:tc>
        <w:tc>
          <w:tcPr>
            <w:tcW w:type="dxa" w:w="1943"/>
          </w:tcPr>
          <w:p>
            <w:r>
              <w:t>Yes        No</w:t>
            </w:r>
          </w:p>
        </w:tc>
      </w:tr>
      <w:tr>
        <w:tc>
          <w:tcPr>
            <w:tcW w:type="dxa" w:w="8797"/>
          </w:tcPr>
          <w:p>
            <w:r>
              <w:t>B5 — Risk assessment: assesses at least three major risk events with likelihood, impact and severity, and evaluates the severity of impact and disruption.</w:t>
            </w:r>
          </w:p>
        </w:tc>
        <w:tc>
          <w:tcPr>
            <w:tcW w:type="dxa" w:w="1943"/>
          </w:tcPr>
          <w:p>
            <w:r>
              <w:t>Yes        No</w:t>
            </w:r>
          </w:p>
        </w:tc>
      </w:tr>
      <w:tr>
        <w:tc>
          <w:tcPr>
            <w:tcW w:type="dxa" w:w="8797"/>
          </w:tcPr>
          <w:p>
            <w:r>
              <w:t>B6 — Plan exclusions: assesses potential risks and plan exclusions according to business requirements.</w:t>
            </w:r>
          </w:p>
        </w:tc>
        <w:tc>
          <w:tcPr>
            <w:tcW w:type="dxa" w:w="1943"/>
          </w:tcPr>
          <w:p>
            <w:r>
              <w:t>Yes        No</w:t>
            </w:r>
          </w:p>
        </w:tc>
      </w:tr>
      <w:tr>
        <w:tc>
          <w:tcPr>
            <w:tcW w:type="dxa" w:w="8797"/>
          </w:tcPr>
          <w:p>
            <w:r>
              <w:t>B7 — Impact-analysis outcomes: documents the outcomes of the impact analysis per organisational policies and procedures.</w:t>
            </w:r>
          </w:p>
        </w:tc>
        <w:tc>
          <w:tcPr>
            <w:tcW w:type="dxa" w:w="1943"/>
          </w:tcPr>
          <w:p>
            <w:r>
              <w:t>Yes        No</w:t>
            </w:r>
          </w:p>
        </w:tc>
      </w:tr>
      <w:tr>
        <w:tc>
          <w:tcPr>
            <w:tcW w:type="dxa" w:w="8797"/>
          </w:tcPr>
          <w:p>
            <w:r>
              <w:t>B8 — Recovery strategy: develops a range of DR solutions and recommends one that meets the RTO/RPO, with rationale.</w:t>
            </w:r>
          </w:p>
        </w:tc>
        <w:tc>
          <w:tcPr>
            <w:tcW w:type="dxa" w:w="1943"/>
          </w:tcPr>
          <w:p>
            <w:r>
              <w:t>Yes        No</w:t>
            </w:r>
          </w:p>
        </w:tc>
      </w:tr>
      <w:tr>
        <w:tc>
          <w:tcPr>
            <w:tcW w:type="dxa" w:w="8797"/>
          </w:tcPr>
          <w:p>
            <w:r>
              <w:t>B9 — Vendor protections and prioritisation: determines vendor protections and prioritises the risks.</w:t>
            </w:r>
          </w:p>
        </w:tc>
        <w:tc>
          <w:tcPr>
            <w:tcW w:type="dxa" w:w="1943"/>
          </w:tcPr>
          <w:p>
            <w:r>
              <w:t>Yes        No</w:t>
            </w:r>
          </w:p>
        </w:tc>
      </w:tr>
      <w:tr>
        <w:tc>
          <w:tcPr>
            <w:tcW w:type="dxa" w:w="8797"/>
          </w:tcPr>
          <w:p>
            <w:r>
              <w:t>B10 — Insurance: assesses external insurance protection and its suitability.</w:t>
            </w:r>
          </w:p>
        </w:tc>
        <w:tc>
          <w:tcPr>
            <w:tcW w:type="dxa" w:w="1943"/>
          </w:tcPr>
          <w:p>
            <w:r>
              <w:t>Yes        No</w:t>
            </w:r>
          </w:p>
        </w:tc>
      </w:tr>
      <w:tr>
        <w:tc>
          <w:tcPr>
            <w:tcW w:type="dxa" w:w="8797"/>
          </w:tcPr>
          <w:p>
            <w:r>
              <w:t>B11 — Other recovery components: identifies the other DR plan components, aligned to relevant continuity standards.</w:t>
            </w:r>
          </w:p>
        </w:tc>
        <w:tc>
          <w:tcPr>
            <w:tcW w:type="dxa" w:w="1943"/>
          </w:tcPr>
          <w:p>
            <w:r>
              <w:t>Yes        No</w:t>
            </w:r>
          </w:p>
        </w:tc>
      </w:tr>
      <w:tr>
        <w:tc>
          <w:tcPr>
            <w:tcW w:type="dxa" w:w="8797"/>
          </w:tcPr>
          <w:p>
            <w:r>
              <w:t>B12 — The recovery plan: aligns recovery to the prioritised risks and outlines the steps, timelines, service providers and detection/alerting.</w:t>
            </w:r>
          </w:p>
        </w:tc>
        <w:tc>
          <w:tcPr>
            <w:tcW w:type="dxa" w:w="1943"/>
          </w:tcPr>
          <w:p>
            <w:r>
              <w:t>Yes        No</w:t>
            </w:r>
          </w:p>
        </w:tc>
      </w:tr>
      <w:tr>
        <w:tc>
          <w:tcPr>
            <w:tcW w:type="dxa" w:w="8797"/>
          </w:tcPr>
          <w:p>
            <w:r>
              <w:t>B13 — Meeting the objectives: shows how the plan reaches the RTO and RPO targets (covering at least three major risk events).</w:t>
            </w:r>
          </w:p>
        </w:tc>
        <w:tc>
          <w:tcPr>
            <w:tcW w:type="dxa" w:w="1943"/>
          </w:tcPr>
          <w:p>
            <w:r>
              <w:t>Yes        No</w:t>
            </w:r>
          </w:p>
        </w:tc>
      </w:tr>
      <w:tr>
        <w:tc>
          <w:tcPr>
            <w:tcW w:type="dxa" w:w="8797"/>
          </w:tcPr>
          <w:p>
            <w:r>
              <w:t>B14 — Plan documented: the DR plan is documented according to business needs and requirements.</w:t>
            </w:r>
          </w:p>
        </w:tc>
        <w:tc>
          <w:tcPr>
            <w:tcW w:type="dxa" w:w="1943"/>
          </w:tcPr>
          <w:p>
            <w:r>
              <w:t>Yes        No</w:t>
            </w:r>
          </w:p>
        </w:tc>
      </w:tr>
      <w:tr>
        <w:tc>
          <w:tcPr>
            <w:tcW w:type="dxa" w:w="8797"/>
          </w:tcPr>
          <w:p>
            <w:r>
              <w:t>B15 — Knowledge Evidence appendix: written contextual responses linking the plan to DR concepts (risk environment, RTO/RPO, DR techniques, standards).</w:t>
            </w:r>
          </w:p>
        </w:tc>
        <w:tc>
          <w:tcPr>
            <w:tcW w:type="dxa" w:w="1943"/>
          </w:tcPr>
          <w:p>
            <w:r>
              <w:t>Yes        No</w:t>
            </w:r>
          </w:p>
        </w:tc>
      </w:tr>
      <w:tr>
        <w:tc>
          <w:tcPr>
            <w:tcW w:type="dxa" w:w="8797"/>
          </w:tcPr>
          <w:p>
            <w:r>
              <w:rPr>
                <w:b/>
              </w:rPr>
              <w:t>Part C — Presentation</w:t>
            </w:r>
          </w:p>
        </w:tc>
        <w:tc>
          <w:tcPr>
            <w:tcW w:type="dxa" w:w="1943"/>
          </w:tcPr>
          <w:p>
            <w:r/>
          </w:p>
        </w:tc>
      </w:tr>
      <w:tr>
        <w:tc>
          <w:tcPr>
            <w:tcW w:type="dxa" w:w="8797"/>
          </w:tcPr>
          <w:p>
            <w:r>
              <w:t>C1 — Verbal walkthrough: conducts a verbal walkthrough of the Solution Design and DR Plan with the required personnel.</w:t>
            </w:r>
          </w:p>
        </w:tc>
        <w:tc>
          <w:tcPr>
            <w:tcW w:type="dxa" w:w="1943"/>
          </w:tcPr>
          <w:p>
            <w:r>
              <w:t>Yes        No</w:t>
            </w:r>
          </w:p>
        </w:tc>
      </w:tr>
      <w:tr>
        <w:tc>
          <w:tcPr>
            <w:tcW w:type="dxa" w:w="8797"/>
          </w:tcPr>
          <w:p>
            <w:r>
              <w:t>C2 — Feedback: seeks and responds to feedback during the presentation.</w:t>
            </w:r>
          </w:p>
        </w:tc>
        <w:tc>
          <w:tcPr>
            <w:tcW w:type="dxa" w:w="1943"/>
          </w:tcPr>
          <w:p>
            <w:r>
              <w:t>Yes        No</w:t>
            </w:r>
          </w:p>
        </w:tc>
      </w:tr>
      <w:tr>
        <w:tc>
          <w:tcPr>
            <w:tcW w:type="dxa" w:w="8797"/>
          </w:tcPr>
          <w:p>
            <w:r>
              <w:t>C3 — Lodgement: lodges the DR plan according to organisational and legislative protocol.</w:t>
            </w:r>
          </w:p>
        </w:tc>
        <w:tc>
          <w:tcPr>
            <w:tcW w:type="dxa" w:w="1943"/>
          </w:tcPr>
          <w:p>
            <w:r>
              <w:t>Yes        No</w:t>
            </w:r>
          </w:p>
        </w:tc>
      </w:tr>
      <w:tr>
        <w:tc>
          <w:tcPr>
            <w:tcW w:type="dxa" w:w="8797"/>
          </w:tcPr>
          <w:p>
            <w:r>
              <w:t>C4 — Sign-off: obtains final sign-off from the required personnel.</w:t>
            </w:r>
          </w:p>
        </w:tc>
        <w:tc>
          <w:tcPr>
            <w:tcW w:type="dxa" w:w="1943"/>
          </w:tcPr>
          <w:p>
            <w:r>
              <w:t>Yes        No</w:t>
            </w:r>
          </w:p>
        </w:tc>
      </w:tr>
      <w:tr>
        <w:tc>
          <w:tcPr>
            <w:tcW w:type="dxa" w:w="8797"/>
          </w:tcPr>
          <w:p>
            <w:r>
              <w:t>C5 — Knowledge Evidence Q&amp;A: answers the assessor's contextual questions on the student's own design choices (the verbal knowledge-evidence location).</w:t>
            </w:r>
          </w:p>
        </w:tc>
        <w:tc>
          <w:tcPr>
            <w:tcW w:type="dxa" w:w="1943"/>
          </w:tcPr>
          <w:p>
            <w:r>
              <w:t>Yes        No</w:t>
            </w:r>
          </w:p>
        </w:tc>
      </w:tr>
      <w:tr>
        <w:tc>
          <w:tcPr>
            <w:tcW w:type="dxa" w:w="8797"/>
          </w:tcPr>
          <w:p>
            <w:r>
              <w:t>C6 — Oral communication: uses listening and questioning techniques and industry language appropriate to the audience.</w:t>
            </w:r>
          </w:p>
        </w:tc>
        <w:tc>
          <w:tcPr>
            <w:tcW w:type="dxa" w:w="1943"/>
          </w:tcPr>
          <w:p>
            <w:r>
              <w:t>Yes        No</w:t>
            </w:r>
          </w:p>
        </w:tc>
      </w:tr>
    </w:tbl>
    <w:p w14:paraId="58CC58BA" w14:textId="77777777" w:rsidR="00C022D4" w:rsidRPr="00C022D4" w:rsidRDefault="00C022D4" w:rsidP="00C022D4">
      <w:pPr>
        <w:pStyle w:val="Assessortext"/>
      </w:pPr>
      <w:r w:rsidRPr="00C022D4">
        <w:br/>
        <w:t>Add or delete rows as required</w:t>
      </w:r>
    </w:p>
    <w:p w14:paraId="3274B3E2" w14:textId="77777777" w:rsidR="00C022D4" w:rsidRPr="00C022D4" w:rsidRDefault="00C022D4" w:rsidP="00C022D4">
      <w:pPr>
        <w:pStyle w:val="Assessortext"/>
      </w:pPr>
    </w:p>
    <w:p w14:paraId="4225B68C" w14:textId="0E3C1379" w:rsidR="00C022D4" w:rsidRPr="00C022D4" w:rsidRDefault="00C022D4" w:rsidP="00C022D4">
      <w:pPr>
        <w:pStyle w:val="Assessortext"/>
      </w:pPr>
      <w:r w:rsidRPr="00C022D4">
        <w:t>If questioning or observation is incorporated into this assessme</w:t>
      </w:r>
      <w:r w:rsidR="00D71797">
        <w:t xml:space="preserve">nt task, you can incorporate a </w:t>
      </w:r>
      <w:r w:rsidR="00D71797" w:rsidRPr="00D71797">
        <w:rPr>
          <w:b/>
          <w:i/>
        </w:rPr>
        <w:t>Practical Observation Checklist</w:t>
      </w:r>
      <w:r w:rsidRPr="00C022D4">
        <w:t>.</w:t>
      </w:r>
    </w:p>
    <w:bookmarkEnd w:id="5"/>
    <w:p w14:paraId="3B5466B7" w14:textId="77777777" w:rsidR="00FA41B0" w:rsidRPr="00FA41B0" w:rsidRDefault="00FA41B0" w:rsidP="00C022D4"/>
    <w:p>
      <w:pPr>
        <w:pStyle w:val="Heading1"/>
      </w:pPr>
      <w:r>
        <w:t>Instructions to Student</w:t>
      </w:r>
    </w:p>
    <w:p>
      <w:pPr>
        <w:pStyle w:val="Heading2"/>
      </w:pPr>
      <w:r>
        <w:t>The engagement and your role</w:t>
      </w:r>
    </w:p>
    <w:p>
      <w:pPr>
        <w:pStyle w:val="Assessortext"/>
      </w:pPr>
      <w:r>
        <w:t>YAT College is a Registered Training Organisation (RTO) based at 175 Cremorne Street, Cremorne VIC. Following a new partnership with a training institution in India, YAT is expanding its Learning Management System (LMS) to serve students in both countries.</w:t>
      </w:r>
    </w:p>
    <w:p>
      <w:pPr>
        <w:pStyle w:val="Assessortext"/>
      </w:pPr>
      <w:r>
        <w:t>You are an MP Tech Solutions (MTS) consultant reporting to Pat Lin (MTS Senior Consultant). Pat liaises with Sam Walker, the YAT ICT Manager. In AT1 you design the changes the expansion needs and plan the LMS's disaster recovery, then present both to YAT ICT management for approval. The approved design and plan are implemented in AT2.</w:t>
      </w:r>
    </w:p>
    <w:p>
      <w:pPr>
        <w:pStyle w:val="Heading2"/>
      </w:pPr>
      <w:r>
        <w:t>Part A — Solution Design</w:t>
      </w:r>
    </w:p>
    <w:p>
      <w:pPr>
        <w:pStyle w:val="Assessortext"/>
      </w:pPr>
      <w:r>
        <w:t>Using the YAT Solution Design template (download from the intranet's Templates section), produce a solution design for the LMS global expansion covering two strands:</w:t>
      </w:r>
    </w:p>
    <w:p>
      <w:pPr>
        <w:pStyle w:val="Assessortext"/>
      </w:pPr>
      <w:r>
        <w:t>• Web-scale design — the architecture changes that let the LMS serve a global user base while scaling network, compute and storage and maintaining availability and security.</w:t>
      </w:r>
    </w:p>
    <w:p>
      <w:pPr>
        <w:pStyle w:val="Assessortext"/>
      </w:pPr>
      <w:r>
        <w:t>• Microservice design — a serverless audit-log microservice that records India-cohort access events, including the interface/webhook contract.</w:t>
      </w:r>
    </w:p>
    <w:p>
      <w:pPr>
        <w:pStyle w:val="Assessortext"/>
      </w:pPr>
      <w:r>
        <w:t>Treat the data residency requirements as an input that shapes your design — do not write a separate compliance plan. Complete the Knowledge Evidence appendix with contextual short answers about your own design choices.</w:t>
      </w:r>
    </w:p>
    <w:p>
      <w:pPr>
        <w:pStyle w:val="Assessortext"/>
      </w:pPr>
      <w:r>
        <w:t>Resources for Part A — on the YAT intranet: the LMS Global Expansion project (engagement brief, requirements, ICT manager consultation notes, data residency &amp; sovereignty requirements), the cloud application specification and baseline solution design, and the YAT Solution Design template.</w:t>
      </w:r>
    </w:p>
    <w:p>
      <w:pPr>
        <w:pStyle w:val="Assessortext"/>
      </w:pPr>
      <w:r>
        <w:t>Part A is submitted to the LMS as the populated Solution Design (.docx) with the Knowledge Evidence appendix completed.</w:t>
      </w:r>
    </w:p>
    <w:p>
      <w:pPr>
        <w:pStyle w:val="Heading2"/>
      </w:pPr>
      <w:r>
        <w:t>Part B — Disaster Recovery Plan</w:t>
      </w:r>
    </w:p>
    <w:p>
      <w:pPr>
        <w:pStyle w:val="Assessortext"/>
      </w:pPr>
      <w:r>
        <w:t>Using the YAT Disaster Recovery Plan template (download from the intranet's Templates section), produce a disaster recovery plan for the LMS designed in Part A. Disaster recovery answers ‘what do we do if the system goes down’ — keep it focused on recovery, not on the design or the regulatory requirements.</w:t>
      </w:r>
    </w:p>
    <w:p>
      <w:pPr>
        <w:pStyle w:val="Assessortext"/>
      </w:pPr>
      <w:r>
        <w:t>Your plan must cover: the plan requirements and current recovery position; an impact analysis with your recovery objectives (RTO/RPO), the data managed, and at least three major risk events; a recovery strategy with options evaluated and one recommended; and the recovery runbook with steps, timelines and service providers. Complete the Knowledge Evidence appendix with contextual short answers.</w:t>
      </w:r>
    </w:p>
    <w:p>
      <w:pPr>
        <w:pStyle w:val="Assessortext"/>
      </w:pPr>
      <w:r>
        <w:t>A deprecated on-premises DR plan is on the intranet — it was superseded by the cloud migration and needs replacing. Use it for context only; your plan is a new cloud DR plan.</w:t>
      </w:r>
    </w:p>
    <w:p>
      <w:pPr>
        <w:pStyle w:val="Assessortext"/>
      </w:pPr>
      <w:r>
        <w:t>Part B is submitted to the LMS as the populated Disaster Recovery Plan (.docx) with the Knowledge Evidence appendix completed.</w:t>
      </w:r>
    </w:p>
    <w:p>
      <w:pPr>
        <w:pStyle w:val="Heading2"/>
      </w:pPr>
      <w:r>
        <w:t>Part C — Presentation for approval</w:t>
      </w:r>
    </w:p>
    <w:p>
      <w:pPr>
        <w:pStyle w:val="Assessortext"/>
      </w:pPr>
      <w:r>
        <w:t>Present your Solution Design and Disaster Recovery Plan to YAT ICT management (role-played by your assessor as Sam Walker, YAT ICT Manager) and seek approval to proceed to implementation.</w:t>
      </w:r>
    </w:p>
    <w:p>
      <w:pPr>
        <w:pStyle w:val="Assessortext"/>
      </w:pPr>
      <w:r>
        <w:t>The presentation event:</w:t>
      </w:r>
    </w:p>
    <w:p>
      <w:pPr>
        <w:pStyle w:val="Assessortext"/>
      </w:pPr>
      <w:r>
        <w:t>• Duration: 10–15 minutes presenting + 5 minutes of questions, feedback and sign-off.</w:t>
      </w:r>
    </w:p>
    <w:p>
      <w:pPr>
        <w:pStyle w:val="Assessortext"/>
      </w:pPr>
      <w:r>
        <w:t>• Format: in person on campus or via video conference (confirm with your assessor).</w:t>
      </w:r>
    </w:p>
    <w:p>
      <w:pPr>
        <w:pStyle w:val="Assessortext"/>
      </w:pPr>
      <w:r>
        <w:t>• Submit the completed Solution Design and DR Plan at least 48 hours in advance.</w:t>
      </w:r>
    </w:p>
    <w:p>
      <w:pPr>
        <w:pStyle w:val="Assessortext"/>
      </w:pPr>
      <w:r>
        <w:t>During the event you will: walk the manager through your design and DR plan; answer questions during Q&amp;A (the assessor probes both your design and your underlying knowledge); capture feedback; lodge the plan; and obtain sign-off.</w:t>
      </w:r>
    </w:p>
    <w:p>
      <w:pPr>
        <w:pStyle w:val="Assessortext"/>
      </w:pPr>
      <w:r>
        <w:t>Part C is submitted as the presentation deck (.pptx) plus the completed feedback and sign-off records.</w:t>
      </w:r>
    </w:p>
    <w:p>
      <w:pPr>
        <w:pStyle w:val="Heading2"/>
      </w:pPr>
      <w:r>
        <w:t>Tips for success</w:t>
      </w:r>
    </w:p>
    <w:p>
      <w:pPr>
        <w:pStyle w:val="Assessortext"/>
      </w:pPr>
      <w:r>
        <w:t>Keep the three concerns separate. The design (web-scale + microservice) goes in the Solution Design; recovery goes in the DR Plan; data residency is an input both respect — it is not its own document.</w:t>
      </w:r>
    </w:p>
    <w:p>
      <w:pPr>
        <w:pStyle w:val="Assessortext"/>
      </w:pPr>
      <w:r>
        <w:t>Design before you plan recovery. You cannot plan recovery for a system you have not designed — do Part A first, then Part B for that design.</w:t>
      </w:r>
    </w:p>
    <w:p>
      <w:pPr>
        <w:pStyle w:val="Assessortext"/>
      </w:pPr>
      <w:r>
        <w:t>Make it the simplest thing that meets the requirements. Justify your choices against the requirements; avoid over-engineering (no unnecessary replication or standby).</w:t>
      </w:r>
    </w:p>
    <w:p>
      <w:pPr>
        <w:pStyle w:val="Assessortext"/>
      </w:pPr>
      <w:r>
        <w:t>Prepare for the Q&amp;A. The assessor will probe both your design and your underlying knowledge — be ready to explain why you chose each component.</w:t>
      </w:r>
    </w:p>
    <w:p>
      <w:pPr>
        <w:pStyle w:val="Assessortext"/>
      </w:pPr>
      <w:r>
        <w:t>Sign-off is part of the assessment. You cannot achieve Satisfactory on Part C without obtaining the manager's sign-off at the presentation.</w:t>
      </w:r>
    </w:p>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