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Solution Design</w:t>
      </w:r>
    </w:p>
    <w:p>
      <w:r>
        <w:rPr>
          <w:b/>
          <w:color w:val="C5613B"/>
          <w:sz w:val="30"/>
        </w:rPr>
        <w:t>YAT LMS Global Expansion — Solution Design</w:t>
      </w:r>
    </w:p>
    <w:p>
      <w:r>
        <w:rPr>
          <w:i/>
          <w:color w:val="6B6660"/>
          <w:sz w:val="20"/>
        </w:rPr>
        <w:t>Assessor exemplar — internal marking reference (not for distribution to students)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LMS Global Expansion &amp; Disaster Recovery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sz w:val="20"/>
              </w:rPr>
              <w:t>YAT-MTS-2026-002</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w:t>
            </w:r>
          </w:p>
        </w:tc>
        <w:tc>
          <w:tcPr>
            <w:tcW w:type="dxa" w:w="6803"/>
            <w:tcBorders>
              <w:top w:val="single" w:sz="4" w:space="0" w:color="E4DED3"/>
              <w:left w:val="single" w:sz="4" w:space="0" w:color="E4DED3"/>
              <w:bottom w:val="single" w:sz="4" w:space="0" w:color="E4DED3"/>
              <w:right w:val="single" w:sz="4" w:space="0" w:color="E4DED3"/>
            </w:tcBorders>
          </w:tcPr>
          <w:p>
            <w:r>
              <w:rPr>
                <w:sz w:val="20"/>
              </w:rPr>
              <w:t>[DD/MM/YYYY]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sz w:val="20"/>
              </w:rPr>
              <w:t>Sam Walker (YAT ICT Manager) · Pat Lin (MTS Senior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sz w:val="20"/>
              </w:rPr>
              <w:t>Functional &amp; Non-Functional Requirements; Data Residency &amp; Sovereignty Requirements; Cloud Baseline Solution Design; companion Disaster Recovery Plan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Scope</w:t>
      </w:r>
    </w:p>
    <w:p>
      <w:pPr>
        <w:spacing w:after="120"/>
      </w:pPr>
      <w:r>
        <w:rPr>
          <w:i/>
          <w:color w:val="1F5A5C"/>
          <w:sz w:val="17"/>
        </w:rPr>
        <w:t>Evidences: [ICTCLD503 PC 1.1] determine and confirm cloud web-scaling needs</w:t>
      </w:r>
    </w:p>
    <w:p>
      <w:r>
        <w:rPr>
          <w:sz w:val="21"/>
        </w:rPr>
        <w:t>This Solution Design sets out the architecture changes that prepare the YAT Learning Management System to serve the new India-campus cohort alongside the existing Australian cohort. Two changes are required: (1) scale the web application to serve a global user base while maintaining availability and security, and (2) add a microservice that records India-cohort access events to a store held in India, meeting the data-residency requirements. This design is the basis for the Phase 2 implementation (the Deployment Report) and for the companion Disaster Recovery Plan.</w:t>
      </w:r>
    </w:p>
    <w:p>
      <w:r>
        <w:rPr>
          <w:sz w:val="21"/>
        </w:rPr>
        <w:t>In scope: the web-tier scaling design (edge delivery, compute/cache/storage scaling) and the audit-log microservice design. Out of scope: disaster recovery (the companion DR Plan), the build and its evidence (the Phase 2 Deployment Report), and the legal determination of the residency obligations (owned by YAT compliance — this design treats them as fixed inputs).</w:t>
      </w:r>
    </w:p>
    <w:p>
      <w:pPr>
        <w:pStyle w:val="Heading1"/>
      </w:pPr>
      <w:r>
        <w:t>2. Design Inputs and Requirements</w:t>
      </w:r>
    </w:p>
    <w:p>
      <w:pPr>
        <w:pStyle w:val="Heading3"/>
      </w:pPr>
      <w:r>
        <w:t>2.1 Inputs</w:t>
      </w:r>
    </w:p>
    <w:p>
      <w:pPr>
        <w:spacing w:after="120"/>
      </w:pPr>
      <w:r>
        <w:rPr>
          <w:i/>
          <w:color w:val="1F5A5C"/>
          <w:sz w:val="17"/>
        </w:rPr>
        <w:t>Evidences: [ICTCLD503 PC 1.1] confirm web-scaling needs according to business needs</w:t>
      </w:r>
    </w:p>
    <w:p>
      <w:r>
        <w:rPr>
          <w:sz w:val="21"/>
        </w:rPr>
        <w:t>This design is built from the Functional &amp; Non-Functional Requirements, the Data Residency &amp; Sovereignty Requirements, the LMS Application Specification (cloud), and the existing Cloud Baseline Solution Design. The partnership roughly doubles the active user base and adds a cohort about 7,000 km from the Sydney region, so the application must serve India users with acceptable latency, absorb a higher and more variable concurrent load, and preserve the existing availability and security posture.</w:t>
      </w:r>
    </w:p>
    <w:p>
      <w:pPr>
        <w:pStyle w:val="Heading3"/>
      </w:pPr>
      <w:r>
        <w:t>2.2 Requirements the design must meet</w:t>
      </w:r>
    </w:p>
    <w:tbl>
      <w:tblPr>
        <w:tblW w:type="auto" w:w="0"/>
        <w:jc w:val="center"/>
        <w:tblLook w:firstColumn="1" w:firstRow="1" w:lastColumn="0" w:lastRow="0" w:noHBand="0" w:noVBand="1" w:val="04A0"/>
      </w:tblPr>
      <w:tblGrid>
        <w:gridCol w:w="3137"/>
        <w:gridCol w:w="3137"/>
        <w:gridCol w:w="3137"/>
      </w:tblGrid>
      <w:tr>
        <w:tc>
          <w:tcPr>
            <w:tcW w:type="dxa" w:w="79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Ref</w:t>
            </w:r>
          </w:p>
        </w:tc>
        <w:tc>
          <w:tcPr>
            <w:tcW w:type="dxa" w:w="487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Requirement</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Source</w:t>
            </w:r>
          </w:p>
        </w:tc>
      </w:tr>
      <w:tr>
        <w:tc>
          <w:tcPr>
            <w:tcW w:type="dxa" w:w="794"/>
            <w:tcBorders>
              <w:top w:val="single" w:sz="4" w:space="0" w:color="E4DED3"/>
              <w:left w:val="single" w:sz="4" w:space="0" w:color="E4DED3"/>
              <w:bottom w:val="single" w:sz="4" w:space="0" w:color="E4DED3"/>
              <w:right w:val="single" w:sz="4" w:space="0" w:color="E4DED3"/>
            </w:tcBorders>
          </w:tcPr>
          <w:p>
            <w:r>
              <w:rPr>
                <w:b/>
                <w:sz w:val="18"/>
              </w:rPr>
              <w:t>R1</w:t>
            </w:r>
          </w:p>
        </w:tc>
        <w:tc>
          <w:tcPr>
            <w:tcW w:type="dxa" w:w="4876"/>
            <w:tcBorders>
              <w:top w:val="single" w:sz="4" w:space="0" w:color="E4DED3"/>
              <w:left w:val="single" w:sz="4" w:space="0" w:color="E4DED3"/>
              <w:bottom w:val="single" w:sz="4" w:space="0" w:color="E4DED3"/>
              <w:right w:val="single" w:sz="4" w:space="0" w:color="E4DED3"/>
            </w:tcBorders>
          </w:tcPr>
          <w:p>
            <w:r>
              <w:rPr>
                <w:sz w:val="18"/>
              </w:rPr>
              <w:t>Serve a global user base (AU + India) with acceptable latency</w:t>
            </w:r>
          </w:p>
        </w:tc>
        <w:tc>
          <w:tcPr>
            <w:tcW w:type="dxa" w:w="3402"/>
            <w:tcBorders>
              <w:top w:val="single" w:sz="4" w:space="0" w:color="E4DED3"/>
              <w:left w:val="single" w:sz="4" w:space="0" w:color="E4DED3"/>
              <w:bottom w:val="single" w:sz="4" w:space="0" w:color="E4DED3"/>
              <w:right w:val="single" w:sz="4" w:space="0" w:color="E4DED3"/>
            </w:tcBorders>
          </w:tcPr>
          <w:p>
            <w:r>
              <w:rPr>
                <w:sz w:val="18"/>
              </w:rPr>
              <w:t>Functional &amp; Non-Functional Requirements</w:t>
            </w:r>
          </w:p>
        </w:tc>
      </w:tr>
      <w:tr>
        <w:tc>
          <w:tcPr>
            <w:tcW w:type="dxa" w:w="794"/>
            <w:tcBorders>
              <w:top w:val="single" w:sz="4" w:space="0" w:color="E4DED3"/>
              <w:left w:val="single" w:sz="4" w:space="0" w:color="E4DED3"/>
              <w:bottom w:val="single" w:sz="4" w:space="0" w:color="E4DED3"/>
              <w:right w:val="single" w:sz="4" w:space="0" w:color="E4DED3"/>
            </w:tcBorders>
          </w:tcPr>
          <w:p>
            <w:r>
              <w:rPr>
                <w:b/>
                <w:sz w:val="18"/>
              </w:rPr>
              <w:t>R2</w:t>
            </w:r>
          </w:p>
        </w:tc>
        <w:tc>
          <w:tcPr>
            <w:tcW w:type="dxa" w:w="4876"/>
            <w:tcBorders>
              <w:top w:val="single" w:sz="4" w:space="0" w:color="E4DED3"/>
              <w:left w:val="single" w:sz="4" w:space="0" w:color="E4DED3"/>
              <w:bottom w:val="single" w:sz="4" w:space="0" w:color="E4DED3"/>
              <w:right w:val="single" w:sz="4" w:space="0" w:color="E4DED3"/>
            </w:tcBorders>
          </w:tcPr>
          <w:p>
            <w:r>
              <w:rPr>
                <w:sz w:val="18"/>
              </w:rPr>
              <w:t>Scale network, compute and storage as utilisation increases</w:t>
            </w:r>
          </w:p>
        </w:tc>
        <w:tc>
          <w:tcPr>
            <w:tcW w:type="dxa" w:w="3402"/>
            <w:tcBorders>
              <w:top w:val="single" w:sz="4" w:space="0" w:color="E4DED3"/>
              <w:left w:val="single" w:sz="4" w:space="0" w:color="E4DED3"/>
              <w:bottom w:val="single" w:sz="4" w:space="0" w:color="E4DED3"/>
              <w:right w:val="single" w:sz="4" w:space="0" w:color="E4DED3"/>
            </w:tcBorders>
          </w:tcPr>
          <w:p>
            <w:r>
              <w:rPr>
                <w:sz w:val="18"/>
              </w:rPr>
              <w:t>Functional &amp; Non-Functional Requirements</w:t>
            </w:r>
          </w:p>
        </w:tc>
      </w:tr>
      <w:tr>
        <w:tc>
          <w:tcPr>
            <w:tcW w:type="dxa" w:w="794"/>
            <w:tcBorders>
              <w:top w:val="single" w:sz="4" w:space="0" w:color="E4DED3"/>
              <w:left w:val="single" w:sz="4" w:space="0" w:color="E4DED3"/>
              <w:bottom w:val="single" w:sz="4" w:space="0" w:color="E4DED3"/>
              <w:right w:val="single" w:sz="4" w:space="0" w:color="E4DED3"/>
            </w:tcBorders>
          </w:tcPr>
          <w:p>
            <w:r>
              <w:rPr>
                <w:b/>
                <w:sz w:val="18"/>
              </w:rPr>
              <w:t>R3</w:t>
            </w:r>
          </w:p>
        </w:tc>
        <w:tc>
          <w:tcPr>
            <w:tcW w:type="dxa" w:w="4876"/>
            <w:tcBorders>
              <w:top w:val="single" w:sz="4" w:space="0" w:color="E4DED3"/>
              <w:left w:val="single" w:sz="4" w:space="0" w:color="E4DED3"/>
              <w:bottom w:val="single" w:sz="4" w:space="0" w:color="E4DED3"/>
              <w:right w:val="single" w:sz="4" w:space="0" w:color="E4DED3"/>
            </w:tcBorders>
          </w:tcPr>
          <w:p>
            <w:r>
              <w:rPr>
                <w:sz w:val="18"/>
              </w:rPr>
              <w:t>Maintain availability (&gt;= 99.9%) and security through the changes</w:t>
            </w:r>
          </w:p>
        </w:tc>
        <w:tc>
          <w:tcPr>
            <w:tcW w:type="dxa" w:w="3402"/>
            <w:tcBorders>
              <w:top w:val="single" w:sz="4" w:space="0" w:color="E4DED3"/>
              <w:left w:val="single" w:sz="4" w:space="0" w:color="E4DED3"/>
              <w:bottom w:val="single" w:sz="4" w:space="0" w:color="E4DED3"/>
              <w:right w:val="single" w:sz="4" w:space="0" w:color="E4DED3"/>
            </w:tcBorders>
          </w:tcPr>
          <w:p>
            <w:r>
              <w:rPr>
                <w:sz w:val="18"/>
              </w:rPr>
              <w:t>Requirements / Baseline Design</w:t>
            </w:r>
          </w:p>
        </w:tc>
      </w:tr>
      <w:tr>
        <w:tc>
          <w:tcPr>
            <w:tcW w:type="dxa" w:w="794"/>
            <w:tcBorders>
              <w:top w:val="single" w:sz="4" w:space="0" w:color="E4DED3"/>
              <w:left w:val="single" w:sz="4" w:space="0" w:color="E4DED3"/>
              <w:bottom w:val="single" w:sz="4" w:space="0" w:color="E4DED3"/>
              <w:right w:val="single" w:sz="4" w:space="0" w:color="E4DED3"/>
            </w:tcBorders>
          </w:tcPr>
          <w:p>
            <w:r>
              <w:rPr>
                <w:b/>
                <w:sz w:val="18"/>
              </w:rPr>
              <w:t>R4</w:t>
            </w:r>
          </w:p>
        </w:tc>
        <w:tc>
          <w:tcPr>
            <w:tcW w:type="dxa" w:w="4876"/>
            <w:tcBorders>
              <w:top w:val="single" w:sz="4" w:space="0" w:color="E4DED3"/>
              <w:left w:val="single" w:sz="4" w:space="0" w:color="E4DED3"/>
              <w:bottom w:val="single" w:sz="4" w:space="0" w:color="E4DED3"/>
              <w:right w:val="single" w:sz="4" w:space="0" w:color="E4DED3"/>
            </w:tcBorders>
          </w:tcPr>
          <w:p>
            <w:r>
              <w:rPr>
                <w:sz w:val="18"/>
              </w:rPr>
              <w:t>India-cohort access logs retained in India (&gt;= 180 days)</w:t>
            </w:r>
          </w:p>
        </w:tc>
        <w:tc>
          <w:tcPr>
            <w:tcW w:type="dxa" w:w="3402"/>
            <w:tcBorders>
              <w:top w:val="single" w:sz="4" w:space="0" w:color="E4DED3"/>
              <w:left w:val="single" w:sz="4" w:space="0" w:color="E4DED3"/>
              <w:bottom w:val="single" w:sz="4" w:space="0" w:color="E4DED3"/>
              <w:right w:val="single" w:sz="4" w:space="0" w:color="E4DED3"/>
            </w:tcBorders>
          </w:tcPr>
          <w:p>
            <w:r>
              <w:rPr>
                <w:sz w:val="18"/>
              </w:rPr>
              <w:t>Data Residency Requirements (CERT-In)</w:t>
            </w:r>
          </w:p>
        </w:tc>
      </w:tr>
      <w:tr>
        <w:tc>
          <w:tcPr>
            <w:tcW w:type="dxa" w:w="794"/>
            <w:tcBorders>
              <w:top w:val="single" w:sz="4" w:space="0" w:color="E4DED3"/>
              <w:left w:val="single" w:sz="4" w:space="0" w:color="E4DED3"/>
              <w:bottom w:val="single" w:sz="4" w:space="0" w:color="E4DED3"/>
              <w:right w:val="single" w:sz="4" w:space="0" w:color="E4DED3"/>
            </w:tcBorders>
          </w:tcPr>
          <w:p>
            <w:r>
              <w:rPr>
                <w:b/>
                <w:sz w:val="18"/>
              </w:rPr>
              <w:t>R5</w:t>
            </w:r>
          </w:p>
        </w:tc>
        <w:tc>
          <w:tcPr>
            <w:tcW w:type="dxa" w:w="4876"/>
            <w:tcBorders>
              <w:top w:val="single" w:sz="4" w:space="0" w:color="E4DED3"/>
              <w:left w:val="single" w:sz="4" w:space="0" w:color="E4DED3"/>
              <w:bottom w:val="single" w:sz="4" w:space="0" w:color="E4DED3"/>
              <w:right w:val="single" w:sz="4" w:space="0" w:color="E4DED3"/>
            </w:tcBorders>
          </w:tcPr>
          <w:p>
            <w:r>
              <w:rPr>
                <w:sz w:val="18"/>
              </w:rPr>
              <w:t>Main LMS data may remain in Australia (light residency slice)</w:t>
            </w:r>
          </w:p>
        </w:tc>
        <w:tc>
          <w:tcPr>
            <w:tcW w:type="dxa" w:w="3402"/>
            <w:tcBorders>
              <w:top w:val="single" w:sz="4" w:space="0" w:color="E4DED3"/>
              <w:left w:val="single" w:sz="4" w:space="0" w:color="E4DED3"/>
              <w:bottom w:val="single" w:sz="4" w:space="0" w:color="E4DED3"/>
              <w:right w:val="single" w:sz="4" w:space="0" w:color="E4DED3"/>
            </w:tcBorders>
          </w:tcPr>
          <w:p>
            <w:r>
              <w:rPr>
                <w:sz w:val="18"/>
              </w:rPr>
              <w:t>Data Residency Requirements (DPDP)</w:t>
            </w:r>
          </w:p>
        </w:tc>
      </w:tr>
    </w:tbl>
    <w:p/>
    <w:p>
      <w:pPr>
        <w:pStyle w:val="Heading1"/>
      </w:pPr>
      <w:r>
        <w:t>3. Review of the Existing Architecture</w:t>
      </w:r>
    </w:p>
    <w:p>
      <w:pPr>
        <w:spacing w:after="120"/>
      </w:pPr>
      <w:r>
        <w:rPr>
          <w:i/>
          <w:color w:val="1F5A5C"/>
          <w:sz w:val="17"/>
        </w:rPr>
        <w:t>Evidences: [ICTCLD503 PC 1.2] review architecture for web application according to business needs</w:t>
      </w:r>
    </w:p>
    <w:p>
      <w:r>
        <w:rPr>
          <w:sz w:val="21"/>
        </w:rPr>
        <w:t>The current architecture (Cloud Baseline Solution Design) is a single-region, multi-AZ deployment in ap-southeast-2 (Sydney): an Application Load Balancer across two Availability Zones, an Auto Scaling group of EC2 application instances, a Multi-AZ RDS database, and S3 for static assets. It is highly available within the region but was sized for a single Australian cohort served entirely from Sydney.</w:t>
      </w:r>
    </w:p>
    <w:p>
      <w:r>
        <w:rPr>
          <w:sz w:val="21"/>
        </w:rPr>
        <w:t>Reviewed layer by layer against R1–R3, three gaps drive this design:</w:t>
      </w:r>
    </w:p>
    <w:p>
      <w:pPr>
        <w:pStyle w:val="ListBullet"/>
      </w:pPr>
      <w:r>
        <w:rPr>
          <w:sz w:val="21"/>
        </w:rPr>
        <w:t>Edge / global delivery — India users are served entirely from Sydney; there is no CDN, so static and cacheable content travels the full distance on every request, hurting latency (R1).</w:t>
      </w:r>
    </w:p>
    <w:p>
      <w:pPr>
        <w:pStyle w:val="ListBullet"/>
      </w:pPr>
      <w:r>
        <w:rPr>
          <w:sz w:val="21"/>
        </w:rPr>
        <w:t>Read-path scale — the Auto Scaling group scales compute, but there is no caching layer to absorb a larger, spikier read and session load off the database (R2).</w:t>
      </w:r>
    </w:p>
    <w:p>
      <w:pPr>
        <w:pStyle w:val="ListBullet"/>
      </w:pPr>
      <w:r>
        <w:rPr>
          <w:sz w:val="21"/>
        </w:rPr>
        <w:t>Logging residency — all access logging currently lands in Sydney; there is no mechanism to keep India-cohort access logs in India (R4).</w:t>
      </w:r>
    </w:p>
    <w:p>
      <w:r>
        <w:rPr>
          <w:sz w:val="21"/>
        </w:rPr>
        <w:t>The compute and load-balancing tiers scale adequately and are retained largely unchanged; the gaps are at the edge, the data read path, and logging residency — addressed in §5 and §6.</w:t>
      </w:r>
    </w:p>
    <w:p>
      <w:pPr>
        <w:pStyle w:val="Heading1"/>
      </w:pPr>
      <w:r>
        <w:t>4. Architecture Design</w:t>
      </w:r>
    </w:p>
    <w:p>
      <w:pPr>
        <w:spacing w:after="120"/>
      </w:pPr>
      <w:r>
        <w:rPr>
          <w:i/>
          <w:color w:val="1F5A5C"/>
          <w:sz w:val="17"/>
        </w:rPr>
        <w:t>Evidences: [ICTCLD503 PC 1.4] design architecture changes using cloud services (overview) · [ICTCLD503 PC 1.5] scale for a global user base</w:t>
      </w:r>
    </w:p>
    <w:p>
      <w:pPr>
        <w:pStyle w:val="Heading3"/>
      </w:pPr>
      <w:r>
        <w:t>4.1 Assumptions and constraints</w:t>
      </w:r>
    </w:p>
    <w:p>
      <w:pPr>
        <w:pStyle w:val="ListBullet"/>
      </w:pPr>
      <w:r>
        <w:rPr>
          <w:sz w:val="21"/>
        </w:rPr>
        <w:t>CL1 is fully implemented: the LMS runs highly available in ap-southeast-2 (multi-AZ ALB/ASG/RDS).</w:t>
      </w:r>
    </w:p>
    <w:p>
      <w:pPr>
        <w:pStyle w:val="ListBullet"/>
      </w:pPr>
      <w:r>
        <w:rPr>
          <w:sz w:val="21"/>
        </w:rPr>
        <w:t>The change is incremental — this design modifies the baseline rather than rebuilding it.</w:t>
      </w:r>
    </w:p>
    <w:p>
      <w:pPr>
        <w:pStyle w:val="ListBullet"/>
      </w:pPr>
      <w:r>
        <w:rPr>
          <w:sz w:val="21"/>
        </w:rPr>
        <w:t>Data residency is a fixed input: India-cohort access logs must be in India; the main LMS database may remain in Australia (the light residency slice).</w:t>
      </w:r>
    </w:p>
    <w:p>
      <w:pPr>
        <w:pStyle w:val="Heading3"/>
      </w:pPr>
      <w:r>
        <w:t>4.2 AWS accounts and regions</w:t>
      </w:r>
    </w:p>
    <w:p>
      <w:r>
        <w:rPr>
          <w:sz w:val="21"/>
        </w:rPr>
        <w:t>ap-southeast-2 (Sydney) remains the primary application and data region. ap-south-1 (Mumbai) is introduced for one purpose only — to hold the India-cohort audit log (the residency slice, §6). Global users are reached through edge delivery (§5.3), not by replicating the application into other regions. The main LMS database stays in Sydney; only the access logs are residency-bound.</w:t>
      </w:r>
    </w:p>
    <w:p>
      <w:pPr>
        <w:pStyle w:val="Heading3"/>
      </w:pPr>
      <w:r>
        <w:t>4.3 Design relative to the baseline</w:t>
      </w:r>
    </w:p>
    <w:p>
      <w:r>
        <w:rPr>
          <w:sz w:val="21"/>
        </w:rPr>
        <w:t>The baseline's IAM, VPC / network, compute (ALB + Auto Scaling group), database (Multi-AZ RDS) and S3 storage are retained. This design adds three things: a global edge / caching layer in front of the application (§5), a read / session cache (§5), and the audit-log microservice in India (§6). Infrastructure layers not described there are unchanged from the Baseline Solution Design.</w:t>
      </w:r>
    </w:p>
    <w:p>
      <w:pPr>
        <w:pStyle w:val="Heading1"/>
      </w:pPr>
      <w:r>
        <w:t>5. Web-scale Design</w:t>
      </w:r>
    </w:p>
    <w:p>
      <w:pPr>
        <w:spacing w:after="120"/>
      </w:pPr>
      <w:r>
        <w:rPr>
          <w:i/>
          <w:color w:val="1F5A5C"/>
          <w:sz w:val="17"/>
        </w:rPr>
        <w:t>Evidences: [ICTCLD503 PC 1.3, 1.4, 1.5, 1.6, 1.7] · [ICTCLD503 PE 1, 5] · [ICTCLD503 KE 3, 6]</w:t>
      </w:r>
    </w:p>
    <w:p>
      <w:pPr>
        <w:pStyle w:val="Heading3"/>
      </w:pPr>
      <w:r>
        <w:t>5.1 Web-scaling needs</w:t>
      </w:r>
    </w:p>
    <w:p>
      <w:r>
        <w:rPr>
          <w:sz w:val="21"/>
        </w:rPr>
        <w:t>The drivers (PC 1.1, 1.3): roughly double the concurrent users, a geographically distant second cohort, and a spikier demand profile (assessment deadlines, term start). The design must scale network, compute and storage elastically (R2) and serve the global base with acceptable latency (R1) without weakening availability or security (R3).</w:t>
      </w:r>
    </w:p>
    <w:p>
      <w:pPr>
        <w:pStyle w:val="Heading3"/>
      </w:pPr>
      <w:r>
        <w:t>5.2 Scaling by layer</w:t>
      </w:r>
    </w:p>
    <w:p>
      <w:r>
        <w:rPr>
          <w:sz w:val="21"/>
        </w:rPr>
        <w:t>Services selected to scale the web application (PC 1.3) and how each layer scales as utilisation increases (PC 1.4):</w:t>
      </w:r>
    </w:p>
    <w:tbl>
      <w:tblPr>
        <w:tblW w:type="auto" w:w="0"/>
        <w:jc w:val="center"/>
        <w:tblLook w:firstColumn="1" w:firstRow="1" w:lastColumn="0" w:lastRow="0" w:noHBand="0" w:noVBand="1" w:val="04A0"/>
      </w:tblPr>
      <w:tblGrid>
        <w:gridCol w:w="3137"/>
        <w:gridCol w:w="3137"/>
        <w:gridCol w:w="3137"/>
      </w:tblGrid>
      <w:tr>
        <w:tc>
          <w:tcPr>
            <w:tcW w:type="dxa" w:w="192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Layer</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Service</w:t>
            </w:r>
          </w:p>
        </w:tc>
        <w:tc>
          <w:tcPr>
            <w:tcW w:type="dxa" w:w="430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How it scales</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Edge / network</w:t>
            </w:r>
          </w:p>
        </w:tc>
        <w:tc>
          <w:tcPr>
            <w:tcW w:type="dxa" w:w="2835"/>
            <w:tcBorders>
              <w:top w:val="single" w:sz="4" w:space="0" w:color="E4DED3"/>
              <w:left w:val="single" w:sz="4" w:space="0" w:color="E4DED3"/>
              <w:bottom w:val="single" w:sz="4" w:space="0" w:color="E4DED3"/>
              <w:right w:val="single" w:sz="4" w:space="0" w:color="E4DED3"/>
            </w:tcBorders>
          </w:tcPr>
          <w:p>
            <w:r>
              <w:rPr>
                <w:sz w:val="18"/>
              </w:rPr>
              <w:t>CloudFront CDN + Route 53 latency routing</w:t>
            </w:r>
          </w:p>
        </w:tc>
        <w:tc>
          <w:tcPr>
            <w:tcW w:type="dxa" w:w="4309"/>
            <w:tcBorders>
              <w:top w:val="single" w:sz="4" w:space="0" w:color="E4DED3"/>
              <w:left w:val="single" w:sz="4" w:space="0" w:color="E4DED3"/>
              <w:bottom w:val="single" w:sz="4" w:space="0" w:color="E4DED3"/>
              <w:right w:val="single" w:sz="4" w:space="0" w:color="E4DED3"/>
            </w:tcBorders>
          </w:tcPr>
          <w:p>
            <w:r>
              <w:rPr>
                <w:sz w:val="18"/>
              </w:rPr>
              <w:t>Serves cached / static content from edge locations worldwide; India users hit the nearest edge, not Sydney</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Compute</w:t>
            </w:r>
          </w:p>
        </w:tc>
        <w:tc>
          <w:tcPr>
            <w:tcW w:type="dxa" w:w="2835"/>
            <w:tcBorders>
              <w:top w:val="single" w:sz="4" w:space="0" w:color="E4DED3"/>
              <w:left w:val="single" w:sz="4" w:space="0" w:color="E4DED3"/>
              <w:bottom w:val="single" w:sz="4" w:space="0" w:color="E4DED3"/>
              <w:right w:val="single" w:sz="4" w:space="0" w:color="E4DED3"/>
            </w:tcBorders>
          </w:tcPr>
          <w:p>
            <w:r>
              <w:rPr>
                <w:sz w:val="18"/>
              </w:rPr>
              <w:t>ALB + EC2 Auto Scaling (retained)</w:t>
            </w:r>
          </w:p>
        </w:tc>
        <w:tc>
          <w:tcPr>
            <w:tcW w:type="dxa" w:w="4309"/>
            <w:tcBorders>
              <w:top w:val="single" w:sz="4" w:space="0" w:color="E4DED3"/>
              <w:left w:val="single" w:sz="4" w:space="0" w:color="E4DED3"/>
              <w:bottom w:val="single" w:sz="4" w:space="0" w:color="E4DED3"/>
              <w:right w:val="single" w:sz="4" w:space="0" w:color="E4DED3"/>
            </w:tcBorders>
          </w:tcPr>
          <w:p>
            <w:r>
              <w:rPr>
                <w:sz w:val="18"/>
              </w:rPr>
              <w:t>Target-tracking policies add / remove instances on demand; retuned for the higher global load</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Caching / read path</w:t>
            </w:r>
          </w:p>
        </w:tc>
        <w:tc>
          <w:tcPr>
            <w:tcW w:type="dxa" w:w="2835"/>
            <w:tcBorders>
              <w:top w:val="single" w:sz="4" w:space="0" w:color="E4DED3"/>
              <w:left w:val="single" w:sz="4" w:space="0" w:color="E4DED3"/>
              <w:bottom w:val="single" w:sz="4" w:space="0" w:color="E4DED3"/>
              <w:right w:val="single" w:sz="4" w:space="0" w:color="E4DED3"/>
            </w:tcBorders>
          </w:tcPr>
          <w:p>
            <w:r>
              <w:rPr>
                <w:sz w:val="18"/>
              </w:rPr>
              <w:t>ElastiCache (Redis) — new</w:t>
            </w:r>
          </w:p>
        </w:tc>
        <w:tc>
          <w:tcPr>
            <w:tcW w:type="dxa" w:w="4309"/>
            <w:tcBorders>
              <w:top w:val="single" w:sz="4" w:space="0" w:color="E4DED3"/>
              <w:left w:val="single" w:sz="4" w:space="0" w:color="E4DED3"/>
              <w:bottom w:val="single" w:sz="4" w:space="0" w:color="E4DED3"/>
              <w:right w:val="single" w:sz="4" w:space="0" w:color="E4DED3"/>
            </w:tcBorders>
          </w:tcPr>
          <w:p>
            <w:r>
              <w:rPr>
                <w:sz w:val="18"/>
              </w:rPr>
              <w:t>Absorbs session state and hot reads off the database as concurrency grows</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Storage</w:t>
            </w:r>
          </w:p>
        </w:tc>
        <w:tc>
          <w:tcPr>
            <w:tcW w:type="dxa" w:w="2835"/>
            <w:tcBorders>
              <w:top w:val="single" w:sz="4" w:space="0" w:color="E4DED3"/>
              <w:left w:val="single" w:sz="4" w:space="0" w:color="E4DED3"/>
              <w:bottom w:val="single" w:sz="4" w:space="0" w:color="E4DED3"/>
              <w:right w:val="single" w:sz="4" w:space="0" w:color="E4DED3"/>
            </w:tcBorders>
          </w:tcPr>
          <w:p>
            <w:r>
              <w:rPr>
                <w:sz w:val="18"/>
              </w:rPr>
              <w:t>S3 (retained), served via CloudFront</w:t>
            </w:r>
          </w:p>
        </w:tc>
        <w:tc>
          <w:tcPr>
            <w:tcW w:type="dxa" w:w="4309"/>
            <w:tcBorders>
              <w:top w:val="single" w:sz="4" w:space="0" w:color="E4DED3"/>
              <w:left w:val="single" w:sz="4" w:space="0" w:color="E4DED3"/>
              <w:bottom w:val="single" w:sz="4" w:space="0" w:color="E4DED3"/>
              <w:right w:val="single" w:sz="4" w:space="0" w:color="E4DED3"/>
            </w:tcBorders>
          </w:tcPr>
          <w:p>
            <w:r>
              <w:rPr>
                <w:sz w:val="18"/>
              </w:rPr>
              <w:t>Effectively unlimited object storage; edge-cached for global delivery</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Database</w:t>
            </w:r>
          </w:p>
        </w:tc>
        <w:tc>
          <w:tcPr>
            <w:tcW w:type="dxa" w:w="2835"/>
            <w:tcBorders>
              <w:top w:val="single" w:sz="4" w:space="0" w:color="E4DED3"/>
              <w:left w:val="single" w:sz="4" w:space="0" w:color="E4DED3"/>
              <w:bottom w:val="single" w:sz="4" w:space="0" w:color="E4DED3"/>
              <w:right w:val="single" w:sz="4" w:space="0" w:color="E4DED3"/>
            </w:tcBorders>
          </w:tcPr>
          <w:p>
            <w:r>
              <w:rPr>
                <w:sz w:val="18"/>
              </w:rPr>
              <w:t>RDS Multi-AZ (retained, Sydney)</w:t>
            </w:r>
          </w:p>
        </w:tc>
        <w:tc>
          <w:tcPr>
            <w:tcW w:type="dxa" w:w="4309"/>
            <w:tcBorders>
              <w:top w:val="single" w:sz="4" w:space="0" w:color="E4DED3"/>
              <w:left w:val="single" w:sz="4" w:space="0" w:color="E4DED3"/>
              <w:bottom w:val="single" w:sz="4" w:space="0" w:color="E4DED3"/>
              <w:right w:val="single" w:sz="4" w:space="0" w:color="E4DED3"/>
            </w:tcBorders>
          </w:tcPr>
          <w:p>
            <w:r>
              <w:rPr>
                <w:sz w:val="18"/>
              </w:rPr>
              <w:t>Vertical scaling, with a read replica as future headroom (not required at launch)</w:t>
            </w:r>
          </w:p>
        </w:tc>
      </w:tr>
    </w:tbl>
    <w:p/>
    <w:p>
      <w:pPr>
        <w:pStyle w:val="Heading3"/>
      </w:pPr>
      <w:r>
        <w:t>5.3 Global delivery</w:t>
      </w:r>
    </w:p>
    <w:p>
      <w:r>
        <w:rPr>
          <w:sz w:val="21"/>
        </w:rPr>
        <w:t>A global user base is served (PC 1.5) by pushing content to the edge with CloudFront and routing users to the lowest-latency entry point with Route 53. Dynamic requests still reach the Sydney origin, but the dominant share of LMS traffic — course media, static assets, cacheable GETs — is served from the nearest edge, so India users get acceptable latency without replicating the application or its data into India.</w:t>
      </w:r>
    </w:p>
    <w:p>
      <w:pPr>
        <w:pStyle w:val="Heading3"/>
      </w:pPr>
      <w:r>
        <w:t>5.4 Web-scale component choices</w:t>
      </w:r>
    </w:p>
    <w:p>
      <w:r>
        <w:rPr>
          <w:sz w:val="21"/>
        </w:rPr>
        <w:t>Each web-scale component is chosen where it fits (KE 3):</w:t>
      </w:r>
    </w:p>
    <w:tbl>
      <w:tblPr>
        <w:tblW w:type="auto" w:w="0"/>
        <w:jc w:val="center"/>
        <w:tblLook w:firstColumn="1" w:firstRow="1" w:lastColumn="0" w:lastRow="0" w:noHBand="0" w:noVBand="1" w:val="04A0"/>
      </w:tblPr>
      <w:tblGrid>
        <w:gridCol w:w="3137"/>
        <w:gridCol w:w="3137"/>
        <w:gridCol w:w="3137"/>
      </w:tblGrid>
      <w:tr>
        <w:tc>
          <w:tcPr>
            <w:tcW w:type="dxa" w:w="204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Choice</w:t>
            </w:r>
          </w:p>
        </w:tc>
        <w:tc>
          <w:tcPr>
            <w:tcW w:type="dxa" w:w="328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Decision</w:t>
            </w:r>
          </w:p>
        </w:tc>
        <w:tc>
          <w:tcPr>
            <w:tcW w:type="dxa" w:w="374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Why</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SQL vs NoSQL</w:t>
            </w:r>
          </w:p>
        </w:tc>
        <w:tc>
          <w:tcPr>
            <w:tcW w:type="dxa" w:w="3288"/>
            <w:tcBorders>
              <w:top w:val="single" w:sz="4" w:space="0" w:color="E4DED3"/>
              <w:left w:val="single" w:sz="4" w:space="0" w:color="E4DED3"/>
              <w:bottom w:val="single" w:sz="4" w:space="0" w:color="E4DED3"/>
              <w:right w:val="single" w:sz="4" w:space="0" w:color="E4DED3"/>
            </w:tcBorders>
          </w:tcPr>
          <w:p>
            <w:r>
              <w:rPr>
                <w:sz w:val="18"/>
              </w:rPr>
              <w:t>SQL (RDS) for LMS data; NoSQL (DynamoDB) for the audit log</w:t>
            </w:r>
          </w:p>
        </w:tc>
        <w:tc>
          <w:tcPr>
            <w:tcW w:type="dxa" w:w="3742"/>
            <w:tcBorders>
              <w:top w:val="single" w:sz="4" w:space="0" w:color="E4DED3"/>
              <w:left w:val="single" w:sz="4" w:space="0" w:color="E4DED3"/>
              <w:bottom w:val="single" w:sz="4" w:space="0" w:color="E4DED3"/>
              <w:right w:val="single" w:sz="4" w:space="0" w:color="E4DED3"/>
            </w:tcBorders>
          </w:tcPr>
          <w:p>
            <w:r>
              <w:rPr>
                <w:sz w:val="18"/>
              </w:rPr>
              <w:t>Relational integrity for enrolment / assessment data; append-only high-write key-value for logs (§6)</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Monolith vs microservice</w:t>
            </w:r>
          </w:p>
        </w:tc>
        <w:tc>
          <w:tcPr>
            <w:tcW w:type="dxa" w:w="3288"/>
            <w:tcBorders>
              <w:top w:val="single" w:sz="4" w:space="0" w:color="E4DED3"/>
              <w:left w:val="single" w:sz="4" w:space="0" w:color="E4DED3"/>
              <w:bottom w:val="single" w:sz="4" w:space="0" w:color="E4DED3"/>
              <w:right w:val="single" w:sz="4" w:space="0" w:color="E4DED3"/>
            </w:tcBorders>
          </w:tcPr>
          <w:p>
            <w:r>
              <w:rPr>
                <w:sz w:val="18"/>
              </w:rPr>
              <w:t>Keep the LMS a monolith; split the audit function into a microservice</w:t>
            </w:r>
          </w:p>
        </w:tc>
        <w:tc>
          <w:tcPr>
            <w:tcW w:type="dxa" w:w="3742"/>
            <w:tcBorders>
              <w:top w:val="single" w:sz="4" w:space="0" w:color="E4DED3"/>
              <w:left w:val="single" w:sz="4" w:space="0" w:color="E4DED3"/>
              <w:bottom w:val="single" w:sz="4" w:space="0" w:color="E4DED3"/>
              <w:right w:val="single" w:sz="4" w:space="0" w:color="E4DED3"/>
            </w:tcBorders>
          </w:tcPr>
          <w:p>
            <w:r>
              <w:rPr>
                <w:sz w:val="18"/>
              </w:rPr>
              <w:t>The monolith performs well and isn't the bottleneck; the new, independently-scaling concern is isolated (§6)</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Compute model</w:t>
            </w:r>
          </w:p>
        </w:tc>
        <w:tc>
          <w:tcPr>
            <w:tcW w:type="dxa" w:w="3288"/>
            <w:tcBorders>
              <w:top w:val="single" w:sz="4" w:space="0" w:color="E4DED3"/>
              <w:left w:val="single" w:sz="4" w:space="0" w:color="E4DED3"/>
              <w:bottom w:val="single" w:sz="4" w:space="0" w:color="E4DED3"/>
              <w:right w:val="single" w:sz="4" w:space="0" w:color="E4DED3"/>
            </w:tcBorders>
          </w:tcPr>
          <w:p>
            <w:r>
              <w:rPr>
                <w:sz w:val="18"/>
              </w:rPr>
              <w:t>Container / VM (EC2 + ASG) for the app; serverless (Lambda) for the microservice</w:t>
            </w:r>
          </w:p>
        </w:tc>
        <w:tc>
          <w:tcPr>
            <w:tcW w:type="dxa" w:w="3742"/>
            <w:tcBorders>
              <w:top w:val="single" w:sz="4" w:space="0" w:color="E4DED3"/>
              <w:left w:val="single" w:sz="4" w:space="0" w:color="E4DED3"/>
              <w:bottom w:val="single" w:sz="4" w:space="0" w:color="E4DED3"/>
              <w:right w:val="single" w:sz="4" w:space="0" w:color="E4DED3"/>
            </w:tcBorders>
          </w:tcPr>
          <w:p>
            <w:r>
              <w:rPr>
                <w:sz w:val="18"/>
              </w:rPr>
              <w:t>Steady app load suits always-on instances; bursty event load suits scale-to-zero serverless</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CDN + in-memory store</w:t>
            </w:r>
          </w:p>
        </w:tc>
        <w:tc>
          <w:tcPr>
            <w:tcW w:type="dxa" w:w="3288"/>
            <w:tcBorders>
              <w:top w:val="single" w:sz="4" w:space="0" w:color="E4DED3"/>
              <w:left w:val="single" w:sz="4" w:space="0" w:color="E4DED3"/>
              <w:bottom w:val="single" w:sz="4" w:space="0" w:color="E4DED3"/>
              <w:right w:val="single" w:sz="4" w:space="0" w:color="E4DED3"/>
            </w:tcBorders>
          </w:tcPr>
          <w:p>
            <w:r>
              <w:rPr>
                <w:sz w:val="18"/>
              </w:rPr>
              <w:t>CloudFront (CDN) + ElastiCache (in-memory)</w:t>
            </w:r>
          </w:p>
        </w:tc>
        <w:tc>
          <w:tcPr>
            <w:tcW w:type="dxa" w:w="3742"/>
            <w:tcBorders>
              <w:top w:val="single" w:sz="4" w:space="0" w:color="E4DED3"/>
              <w:left w:val="single" w:sz="4" w:space="0" w:color="E4DED3"/>
              <w:bottom w:val="single" w:sz="4" w:space="0" w:color="E4DED3"/>
              <w:right w:val="single" w:sz="4" w:space="0" w:color="E4DED3"/>
            </w:tcBorders>
          </w:tcPr>
          <w:p>
            <w:r>
              <w:rPr>
                <w:sz w:val="18"/>
              </w:rPr>
              <w:t>Edge delivery for global latency; in-memory caching for read scale</w:t>
            </w:r>
          </w:p>
        </w:tc>
      </w:tr>
    </w:tbl>
    <w:p/>
    <w:p>
      <w:pPr>
        <w:pStyle w:val="Heading3"/>
      </w:pPr>
      <w:r>
        <w:t>5.5 Availability and security maintained</w:t>
      </w:r>
    </w:p>
    <w:p>
      <w:r>
        <w:rPr>
          <w:sz w:val="21"/>
        </w:rPr>
        <w:t>Availability is preserved (PC 1.6) — the multi-AZ ALB / ASG / RDS design is unchanged, and CloudFront and ElastiCache are themselves resilient managed services. Security is preserved — TLS end-to-end, AWS WAF at the CloudFront edge, the origin locked to accept only CloudFront traffic, and no change to the IAM or data-at-rest posture. The design was reviewed against R1–R3 and meets them.</w:t>
      </w:r>
    </w:p>
    <w:p>
      <w:r>
        <w:rPr>
          <w:sz w:val="21"/>
        </w:rPr>
        <w:t>This is one architecture that scales networking, compute and storage for the multi-tier LMS (PE 1) using established web-scaling principles — edge offload, horizontal compute scaling, read caching (PE 5, KE 6) — and the rationale for each change is recorded above, satisfying the requirement to document and justify the architecture changes (PC 1.7).</w:t>
      </w:r>
    </w:p>
    <w:p>
      <w:pPr>
        <w:pStyle w:val="Heading1"/>
      </w:pPr>
      <w:r>
        <w:t>6. Microservice and Serverless Design</w:t>
      </w:r>
    </w:p>
    <w:p>
      <w:pPr>
        <w:spacing w:after="120"/>
      </w:pPr>
      <w:r>
        <w:rPr>
          <w:i/>
          <w:color w:val="1F5A5C"/>
          <w:sz w:val="17"/>
        </w:rPr>
        <w:t>Evidences: [ICTCLD503 PC 2.1, 2.2, 2.3, 2.4] · [ICTCLD503 PE 2] · [ICTCLD503 KE 4]</w:t>
      </w:r>
    </w:p>
    <w:p>
      <w:pPr>
        <w:pStyle w:val="Heading3"/>
      </w:pPr>
      <w:r>
        <w:t>6.1 Microservices and data transactions</w:t>
      </w:r>
    </w:p>
    <w:p>
      <w:r>
        <w:rPr>
          <w:sz w:val="21"/>
        </w:rPr>
        <w:t>One microservice is introduced (PC 2.1) — the Access-Log Service. Its single responsibility is to record India-cohort access events durably and in-region. The data transaction: on each relevant LMS event (login, course access, assessment view) for an India-cohort user, the LMS emits an event and the service persists one append-only audit record. It never reads back into the LMS and holds no other state — highly cohesive and loosely coupled.</w:t>
      </w:r>
    </w:p>
    <w:p>
      <w:pPr>
        <w:pStyle w:val="Heading3"/>
      </w:pPr>
      <w:r>
        <w:t>6.2 Supporting cloud services</w:t>
      </w:r>
    </w:p>
    <w:p>
      <w:r>
        <w:rPr>
          <w:sz w:val="21"/>
        </w:rPr>
        <w:t>The service is serverless and event-driven, hosted in ap-south-1 (India) (PC 2.2):</w:t>
      </w:r>
    </w:p>
    <w:tbl>
      <w:tblPr>
        <w:tblW w:type="auto" w:w="0"/>
        <w:jc w:val="center"/>
        <w:tblLook w:firstColumn="1" w:firstRow="1" w:lastColumn="0" w:lastRow="0" w:noHBand="0" w:noVBand="1" w:val="04A0"/>
      </w:tblPr>
      <w:tblGrid>
        <w:gridCol w:w="3137"/>
        <w:gridCol w:w="3137"/>
        <w:gridCol w:w="3137"/>
      </w:tblGrid>
      <w:tr>
        <w:tc>
          <w:tcPr>
            <w:tcW w:type="dxa" w:w="204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Service</w:t>
            </w:r>
          </w:p>
        </w:tc>
        <w:tc>
          <w:tcPr>
            <w:tcW w:type="dxa" w:w="419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Why</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Ingress / API</w:t>
            </w:r>
          </w:p>
        </w:tc>
        <w:tc>
          <w:tcPr>
            <w:tcW w:type="dxa" w:w="2835"/>
            <w:tcBorders>
              <w:top w:val="single" w:sz="4" w:space="0" w:color="E4DED3"/>
              <w:left w:val="single" w:sz="4" w:space="0" w:color="E4DED3"/>
              <w:bottom w:val="single" w:sz="4" w:space="0" w:color="E4DED3"/>
              <w:right w:val="single" w:sz="4" w:space="0" w:color="E4DED3"/>
            </w:tcBorders>
          </w:tcPr>
          <w:p>
            <w:r>
              <w:rPr>
                <w:sz w:val="18"/>
              </w:rPr>
              <w:t>API Gateway (regional, ap-south-1)</w:t>
            </w:r>
          </w:p>
        </w:tc>
        <w:tc>
          <w:tcPr>
            <w:tcW w:type="dxa" w:w="4195"/>
            <w:tcBorders>
              <w:top w:val="single" w:sz="4" w:space="0" w:color="E4DED3"/>
              <w:left w:val="single" w:sz="4" w:space="0" w:color="E4DED3"/>
              <w:bottom w:val="single" w:sz="4" w:space="0" w:color="E4DED3"/>
              <w:right w:val="single" w:sz="4" w:space="0" w:color="E4DED3"/>
            </w:tcBorders>
          </w:tcPr>
          <w:p>
            <w:r>
              <w:rPr>
                <w:sz w:val="18"/>
              </w:rPr>
              <w:t>Receives the LMS event webhook over HTTPS</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Messaging / queuing</w:t>
            </w:r>
          </w:p>
        </w:tc>
        <w:tc>
          <w:tcPr>
            <w:tcW w:type="dxa" w:w="2835"/>
            <w:tcBorders>
              <w:top w:val="single" w:sz="4" w:space="0" w:color="E4DED3"/>
              <w:left w:val="single" w:sz="4" w:space="0" w:color="E4DED3"/>
              <w:bottom w:val="single" w:sz="4" w:space="0" w:color="E4DED3"/>
              <w:right w:val="single" w:sz="4" w:space="0" w:color="E4DED3"/>
            </w:tcBorders>
          </w:tcPr>
          <w:p>
            <w:r>
              <w:rPr>
                <w:sz w:val="18"/>
              </w:rPr>
              <w:t>SQS queue</w:t>
            </w:r>
          </w:p>
        </w:tc>
        <w:tc>
          <w:tcPr>
            <w:tcW w:type="dxa" w:w="4195"/>
            <w:tcBorders>
              <w:top w:val="single" w:sz="4" w:space="0" w:color="E4DED3"/>
              <w:left w:val="single" w:sz="4" w:space="0" w:color="E4DED3"/>
              <w:bottom w:val="single" w:sz="4" w:space="0" w:color="E4DED3"/>
              <w:right w:val="single" w:sz="4" w:space="0" w:color="E4DED3"/>
            </w:tcBorders>
          </w:tcPr>
          <w:p>
            <w:r>
              <w:rPr>
                <w:sz w:val="18"/>
              </w:rPr>
              <w:t>Buffers events so a spike or downstream slowness never blocks or loses one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Compute</w:t>
            </w:r>
          </w:p>
        </w:tc>
        <w:tc>
          <w:tcPr>
            <w:tcW w:type="dxa" w:w="2835"/>
            <w:tcBorders>
              <w:top w:val="single" w:sz="4" w:space="0" w:color="E4DED3"/>
              <w:left w:val="single" w:sz="4" w:space="0" w:color="E4DED3"/>
              <w:bottom w:val="single" w:sz="4" w:space="0" w:color="E4DED3"/>
              <w:right w:val="single" w:sz="4" w:space="0" w:color="E4DED3"/>
            </w:tcBorders>
          </w:tcPr>
          <w:p>
            <w:r>
              <w:rPr>
                <w:sz w:val="18"/>
              </w:rPr>
              <w:t>AWS Lambda</w:t>
            </w:r>
          </w:p>
        </w:tc>
        <w:tc>
          <w:tcPr>
            <w:tcW w:type="dxa" w:w="4195"/>
            <w:tcBorders>
              <w:top w:val="single" w:sz="4" w:space="0" w:color="E4DED3"/>
              <w:left w:val="single" w:sz="4" w:space="0" w:color="E4DED3"/>
              <w:bottom w:val="single" w:sz="4" w:space="0" w:color="E4DED3"/>
              <w:right w:val="single" w:sz="4" w:space="0" w:color="E4DED3"/>
            </w:tcBorders>
          </w:tcPr>
          <w:p>
            <w:r>
              <w:rPr>
                <w:sz w:val="18"/>
              </w:rPr>
              <w:t>Serverless; scales to zero and to spikes, with no servers to manage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Persistent storage</w:t>
            </w:r>
          </w:p>
        </w:tc>
        <w:tc>
          <w:tcPr>
            <w:tcW w:type="dxa" w:w="2835"/>
            <w:tcBorders>
              <w:top w:val="single" w:sz="4" w:space="0" w:color="E4DED3"/>
              <w:left w:val="single" w:sz="4" w:space="0" w:color="E4DED3"/>
              <w:bottom w:val="single" w:sz="4" w:space="0" w:color="E4DED3"/>
              <w:right w:val="single" w:sz="4" w:space="0" w:color="E4DED3"/>
            </w:tcBorders>
          </w:tcPr>
          <w:p>
            <w:r>
              <w:rPr>
                <w:sz w:val="18"/>
              </w:rPr>
              <w:t>DynamoDB (ap-south-1)</w:t>
            </w:r>
          </w:p>
        </w:tc>
        <w:tc>
          <w:tcPr>
            <w:tcW w:type="dxa" w:w="4195"/>
            <w:tcBorders>
              <w:top w:val="single" w:sz="4" w:space="0" w:color="E4DED3"/>
              <w:left w:val="single" w:sz="4" w:space="0" w:color="E4DED3"/>
              <w:bottom w:val="single" w:sz="4" w:space="0" w:color="E4DED3"/>
              <w:right w:val="single" w:sz="4" w:space="0" w:color="E4DED3"/>
            </w:tcBorders>
          </w:tcPr>
          <w:p>
            <w:r>
              <w:rPr>
                <w:sz w:val="18"/>
              </w:rPr>
              <w:t>Append-only NoSQL audit log, kept in India (R4 / CERT-In &gt;= 180 days)</w:t>
            </w:r>
          </w:p>
        </w:tc>
      </w:tr>
    </w:tbl>
    <w:p/>
    <w:p>
      <w:pPr>
        <w:pStyle w:val="Heading3"/>
      </w:pPr>
      <w:r>
        <w:t>6.3 Microservice architecture</w:t>
      </w:r>
    </w:p>
    <w:p>
      <w:r>
        <w:rPr>
          <w:sz w:val="21"/>
        </w:rPr>
        <w:t>Flow (PC 2.3): LMS event webhook → API Gateway (ap-south-1) → SQS → Lambda → DynamoDB (ap-south-1). The LMS is the event producer and knows only the webhook contract; everything behind it can change independently. The design is highly cohesive and loosely coupled (the service does one thing; the LMS integrates only through the contract); it uses a managed database / storage service for persistent data (DynamoDB); and it connects its parts with API, messaging and queuing services (API Gateway + SQS) — the three KE 4 elements. Because the store is in ap-south-1, the access logs are resident in India by construction.</w:t>
      </w:r>
    </w:p>
    <w:p>
      <w:pPr>
        <w:pStyle w:val="Heading3"/>
      </w:pPr>
      <w:r>
        <w:t>6.4 Interface / integration contract</w:t>
      </w:r>
    </w:p>
    <w:p>
      <w:r>
        <w:rPr>
          <w:sz w:val="21"/>
        </w:rPr>
        <w:t>The contract the LMS calls is the single coupling point (PC 2.4): POST /events with a JSON body { event_id, occurred_at, user_ref, cohort, event_type, source_ip }, authenticated with a signing key. Defining it here lets the LMS and the service evolve independently. The same generic contract is reused unchanged by the Accounting practice project, where the payload carries transaction-audit events instead of access events — the engine is identical, only the payload differs.</w:t>
      </w:r>
    </w:p>
    <w:p>
      <w:r>
        <w:rPr>
          <w:sz w:val="21"/>
        </w:rPr>
        <w:t>This is one microservice architecture for a simple application (PE 2), designed on serverless cloud services, with each choice justified above — satisfying the requirement to document and justify the microservice design (PC 2.4).</w:t>
      </w:r>
    </w:p>
    <w:p>
      <w:pPr>
        <w:pStyle w:val="Heading1"/>
      </w:pPr>
      <w:r>
        <w:t>7. Implementation Sequencing</w:t>
      </w:r>
    </w:p>
    <w:p>
      <w:r>
        <w:rPr>
          <w:sz w:val="21"/>
        </w:rPr>
        <w:t>The changes are applied in an order that holds availability throughout; the build and its evidence are the Phase 2 Deployment Report.</w:t>
      </w:r>
    </w:p>
    <w:tbl>
      <w:tblPr>
        <w:tblW w:type="auto" w:w="0"/>
        <w:jc w:val="center"/>
        <w:tblLook w:firstColumn="1" w:firstRow="1" w:lastColumn="0" w:lastRow="0" w:noHBand="0" w:noVBand="1" w:val="04A0"/>
      </w:tblPr>
      <w:tblGrid>
        <w:gridCol w:w="3137"/>
        <w:gridCol w:w="3137"/>
        <w:gridCol w:w="3137"/>
      </w:tblGrid>
      <w:tr>
        <w:tc>
          <w:tcPr>
            <w:tcW w:type="dxa" w:w="51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600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Change</w:t>
            </w:r>
          </w:p>
        </w:tc>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Expected impact</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1</w:t>
            </w:r>
          </w:p>
        </w:tc>
        <w:tc>
          <w:tcPr>
            <w:tcW w:type="dxa" w:w="6009"/>
            <w:tcBorders>
              <w:top w:val="single" w:sz="4" w:space="0" w:color="E4DED3"/>
              <w:left w:val="single" w:sz="4" w:space="0" w:color="E4DED3"/>
              <w:bottom w:val="single" w:sz="4" w:space="0" w:color="E4DED3"/>
              <w:right w:val="single" w:sz="4" w:space="0" w:color="E4DED3"/>
            </w:tcBorders>
          </w:tcPr>
          <w:p>
            <w:r>
              <w:rPr>
                <w:sz w:val="18"/>
              </w:rPr>
              <w:t>Stand up the audit-log microservice in ap-south-1 (API Gateway → SQS → Lambda → DynamoDB) and point the LMS webhook at it</w:t>
            </w:r>
          </w:p>
        </w:tc>
        <w:tc>
          <w:tcPr>
            <w:tcW w:type="dxa" w:w="2551"/>
            <w:tcBorders>
              <w:top w:val="single" w:sz="4" w:space="0" w:color="E4DED3"/>
              <w:left w:val="single" w:sz="4" w:space="0" w:color="E4DED3"/>
              <w:bottom w:val="single" w:sz="4" w:space="0" w:color="E4DED3"/>
              <w:right w:val="single" w:sz="4" w:space="0" w:color="E4DED3"/>
            </w:tcBorders>
          </w:tcPr>
          <w:p>
            <w:r>
              <w:rPr>
                <w:sz w:val="18"/>
              </w:rPr>
              <w:t>None — additive</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2</w:t>
            </w:r>
          </w:p>
        </w:tc>
        <w:tc>
          <w:tcPr>
            <w:tcW w:type="dxa" w:w="6009"/>
            <w:tcBorders>
              <w:top w:val="single" w:sz="4" w:space="0" w:color="E4DED3"/>
              <w:left w:val="single" w:sz="4" w:space="0" w:color="E4DED3"/>
              <w:bottom w:val="single" w:sz="4" w:space="0" w:color="E4DED3"/>
              <w:right w:val="single" w:sz="4" w:space="0" w:color="E4DED3"/>
            </w:tcBorders>
          </w:tcPr>
          <w:p>
            <w:r>
              <w:rPr>
                <w:sz w:val="18"/>
              </w:rPr>
              <w:t>Introduce ElastiCache and move the session / read path onto it</w:t>
            </w:r>
          </w:p>
        </w:tc>
        <w:tc>
          <w:tcPr>
            <w:tcW w:type="dxa" w:w="2551"/>
            <w:tcBorders>
              <w:top w:val="single" w:sz="4" w:space="0" w:color="E4DED3"/>
              <w:left w:val="single" w:sz="4" w:space="0" w:color="E4DED3"/>
              <w:bottom w:val="single" w:sz="4" w:space="0" w:color="E4DED3"/>
              <w:right w:val="single" w:sz="4" w:space="0" w:color="E4DED3"/>
            </w:tcBorders>
          </w:tcPr>
          <w:p>
            <w:r>
              <w:rPr>
                <w:sz w:val="18"/>
              </w:rPr>
              <w:t>None — cache warms transparently</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3</w:t>
            </w:r>
          </w:p>
        </w:tc>
        <w:tc>
          <w:tcPr>
            <w:tcW w:type="dxa" w:w="6009"/>
            <w:tcBorders>
              <w:top w:val="single" w:sz="4" w:space="0" w:color="E4DED3"/>
              <w:left w:val="single" w:sz="4" w:space="0" w:color="E4DED3"/>
              <w:bottom w:val="single" w:sz="4" w:space="0" w:color="E4DED3"/>
              <w:right w:val="single" w:sz="4" w:space="0" w:color="E4DED3"/>
            </w:tcBorders>
          </w:tcPr>
          <w:p>
            <w:r>
              <w:rPr>
                <w:sz w:val="18"/>
              </w:rPr>
              <w:t>Put CloudFront + WAF in front of the ALB and switch Route 53 to the distribution</w:t>
            </w:r>
          </w:p>
        </w:tc>
        <w:tc>
          <w:tcPr>
            <w:tcW w:type="dxa" w:w="2551"/>
            <w:tcBorders>
              <w:top w:val="single" w:sz="4" w:space="0" w:color="E4DED3"/>
              <w:left w:val="single" w:sz="4" w:space="0" w:color="E4DED3"/>
              <w:bottom w:val="single" w:sz="4" w:space="0" w:color="E4DED3"/>
              <w:right w:val="single" w:sz="4" w:space="0" w:color="E4DED3"/>
            </w:tcBorders>
          </w:tcPr>
          <w:p>
            <w:r>
              <w:rPr>
                <w:sz w:val="18"/>
              </w:rPr>
              <w:t>None — origin unchanged; cutover at DNS</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4</w:t>
            </w:r>
          </w:p>
        </w:tc>
        <w:tc>
          <w:tcPr>
            <w:tcW w:type="dxa" w:w="6009"/>
            <w:tcBorders>
              <w:top w:val="single" w:sz="4" w:space="0" w:color="E4DED3"/>
              <w:left w:val="single" w:sz="4" w:space="0" w:color="E4DED3"/>
              <w:bottom w:val="single" w:sz="4" w:space="0" w:color="E4DED3"/>
              <w:right w:val="single" w:sz="4" w:space="0" w:color="E4DED3"/>
            </w:tcBorders>
          </w:tcPr>
          <w:p>
            <w:r>
              <w:rPr>
                <w:sz w:val="18"/>
              </w:rPr>
              <w:t>Retune the Auto Scaling group scaling policies for the global load profile</w:t>
            </w:r>
          </w:p>
        </w:tc>
        <w:tc>
          <w:tcPr>
            <w:tcW w:type="dxa" w:w="2551"/>
            <w:tcBorders>
              <w:top w:val="single" w:sz="4" w:space="0" w:color="E4DED3"/>
              <w:left w:val="single" w:sz="4" w:space="0" w:color="E4DED3"/>
              <w:bottom w:val="single" w:sz="4" w:space="0" w:color="E4DED3"/>
              <w:right w:val="single" w:sz="4" w:space="0" w:color="E4DED3"/>
            </w:tcBorders>
          </w:tcPr>
          <w:p>
            <w:r>
              <w:rPr>
                <w:sz w:val="18"/>
              </w:rPr>
              <w:t>None</w:t>
            </w:r>
          </w:p>
        </w:tc>
      </w:tr>
    </w:tbl>
    <w:p/>
    <w:p>
      <w:pPr>
        <w:pStyle w:val="Heading1"/>
      </w:pPr>
      <w:r>
        <w:t>8. Simulation and Verification Plan</w:t>
      </w:r>
    </w:p>
    <w:p>
      <w:r>
        <w:rPr>
          <w:sz w:val="21"/>
        </w:rPr>
        <w:t>How the design will be shown to work; the evidence is produced in Phase 2.</w:t>
      </w:r>
    </w:p>
    <w:p>
      <w:pPr>
        <w:pStyle w:val="Heading3"/>
      </w:pPr>
      <w:r>
        <w:t>8.1 Web-scale verification</w:t>
      </w:r>
    </w:p>
    <w:p>
      <w:pPr>
        <w:pStyle w:val="ListBullet"/>
      </w:pPr>
      <w:r>
        <w:rPr>
          <w:sz w:val="21"/>
        </w:rPr>
        <w:t>A load test ramps concurrent users to the projected global peak; the Auto Scaling group scales out and back, edge offload and cache hit-rate are measured, and p95 latency for an India-region client stays within target (R1, R2).</w:t>
      </w:r>
    </w:p>
    <w:p>
      <w:pPr>
        <w:pStyle w:val="ListBullet"/>
      </w:pPr>
      <w:r>
        <w:rPr>
          <w:sz w:val="21"/>
        </w:rPr>
        <w:t>Confirm multi-AZ failover still works, WAF blocks the OWASP baseline, and the origin rejects non-CloudFront traffic (R3).</w:t>
      </w:r>
    </w:p>
    <w:p>
      <w:pPr>
        <w:pStyle w:val="Heading3"/>
      </w:pPr>
      <w:r>
        <w:t>8.2 Microservice verification</w:t>
      </w:r>
    </w:p>
    <w:p>
      <w:pPr>
        <w:pStyle w:val="ListBullet"/>
      </w:pPr>
      <w:r>
        <w:rPr>
          <w:sz w:val="21"/>
        </w:rPr>
        <w:t>Fire sample webhook events; confirm each is persisted exactly once in the ap-south-1 DynamoDB table.</w:t>
      </w:r>
    </w:p>
    <w:p>
      <w:pPr>
        <w:pStyle w:val="ListBullet"/>
      </w:pPr>
      <w:r>
        <w:rPr>
          <w:sz w:val="21"/>
        </w:rPr>
        <w:t>Force a downstream stall; confirm events queue in SQS and drain without loss.</w:t>
      </w:r>
    </w:p>
    <w:p>
      <w:pPr>
        <w:pStyle w:val="ListBullet"/>
      </w:pPr>
      <w:r>
        <w:rPr>
          <w:sz w:val="21"/>
        </w:rPr>
        <w:t>Confirm the audit store location is ap-south-1 (R4).</w:t>
      </w:r>
    </w:p>
    <w:p>
      <w:pPr>
        <w:pStyle w:val="Heading1"/>
      </w:pPr>
      <w:r>
        <w:t>9. Out of Scope</w:t>
      </w:r>
    </w:p>
    <w:p>
      <w:pPr>
        <w:pStyle w:val="ListBullet"/>
      </w:pPr>
      <w:r>
        <w:rPr>
          <w:sz w:val="21"/>
        </w:rPr>
        <w:t>Disaster recovery — covered by the companion DR Plan (Part B).</w:t>
      </w:r>
    </w:p>
    <w:p>
      <w:pPr>
        <w:pStyle w:val="ListBullet"/>
      </w:pPr>
      <w:r>
        <w:rPr>
          <w:sz w:val="21"/>
        </w:rPr>
        <w:t>The implementation and its evidence — the Phase 2 Deployment Report (AT2).</w:t>
      </w:r>
    </w:p>
    <w:p>
      <w:pPr>
        <w:pStyle w:val="ListBullet"/>
      </w:pPr>
      <w:r>
        <w:rPr>
          <w:sz w:val="21"/>
        </w:rPr>
        <w:t>The legal determination of the residency obligations — owned by YAT compliance; treated here as fixed inputs.</w:t>
      </w:r>
    </w:p>
    <w:p>
      <w:pPr>
        <w:pStyle w:val="ListBullet"/>
      </w:pPr>
      <w:r>
        <w:rPr>
          <w:sz w:val="21"/>
        </w:rPr>
        <w:t>Replicating the main LMS database into India — deliberately avoided; the residency slice is the access logs only, and replication would add cost and complexity for no required benefit.</w:t>
      </w:r>
    </w:p>
    <w:p>
      <w:pPr>
        <w:pStyle w:val="Heading1"/>
      </w:pPr>
      <w:r>
        <w:t>10. References</w:t>
      </w:r>
    </w:p>
    <w:p>
      <w:pPr>
        <w:pStyle w:val="ListBullet"/>
      </w:pPr>
      <w:r>
        <w:rPr>
          <w:sz w:val="21"/>
        </w:rPr>
        <w:t>Functional &amp; Non-Functional Requirements (YAT LMS Global Expansion)</w:t>
      </w:r>
    </w:p>
    <w:p>
      <w:pPr>
        <w:pStyle w:val="ListBullet"/>
      </w:pPr>
      <w:r>
        <w:rPr>
          <w:sz w:val="21"/>
        </w:rPr>
        <w:t>Data Residency &amp; Sovereignty Requirements (DPDP Act 2023; CERT-In Directions 2022)</w:t>
      </w:r>
    </w:p>
    <w:p>
      <w:pPr>
        <w:pStyle w:val="ListBullet"/>
      </w:pPr>
      <w:r>
        <w:rPr>
          <w:sz w:val="21"/>
        </w:rPr>
        <w:t>LMS Application Specification (cloud)</w:t>
      </w:r>
    </w:p>
    <w:p>
      <w:pPr>
        <w:pStyle w:val="ListBullet"/>
      </w:pPr>
      <w:r>
        <w:rPr>
          <w:sz w:val="21"/>
        </w:rPr>
        <w:t>Cloud Baseline Solution Design</w:t>
      </w:r>
    </w:p>
    <w:p>
      <w:pPr>
        <w:pStyle w:val="ListBullet"/>
      </w:pPr>
      <w:r>
        <w:rPr>
          <w:sz w:val="21"/>
        </w:rPr>
        <w:t>AWS Well-Architected Framework — Performance Efficiency and Reliability pillars</w:t>
      </w:r>
    </w:p>
    <w:p>
      <w:pPr>
        <w:pStyle w:val="Heading1"/>
      </w:pPr>
      <w:r>
        <w:t>11. Review and Approval</w:t>
      </w:r>
    </w:p>
    <w:p>
      <w:pPr>
        <w:spacing w:after="120"/>
      </w:pPr>
      <w:r>
        <w:rPr>
          <w:i/>
          <w:color w:val="1F5A5C"/>
          <w:sz w:val="17"/>
        </w:rPr>
        <w:t>Evidences: [ICTCLD503 PC 1.6] review design as required</w:t>
      </w:r>
    </w:p>
    <w:p>
      <w:r>
        <w:rPr>
          <w:sz w:val="21"/>
        </w:rPr>
        <w:t>This design was reviewed by the MTS Senior Consultant and presented to the YAT ICT Manager for approval at the design walkthrough (the AT1 presentation), together with the companion DR Plan. Approval at that walkthrough is the gate to Phase 2 implementation.</w:t>
      </w:r>
    </w:p>
    <w:p>
      <w:pPr>
        <w:pStyle w:val="Heading3"/>
      </w:pPr>
      <w:r>
        <w:t>11.1 Reviewer feedback and author response</w:t>
      </w:r>
    </w:p>
    <w:tbl>
      <w:tblPr>
        <w:tblW w:type="auto" w:w="0"/>
        <w:jc w:val="center"/>
        <w:tblLook w:firstColumn="1" w:firstRow="1" w:lastColumn="0" w:lastRow="0" w:noHBand="0" w:noVBand="1" w:val="04A0"/>
      </w:tblPr>
      <w:tblGrid>
        <w:gridCol w:w="2353"/>
        <w:gridCol w:w="2353"/>
        <w:gridCol w:w="2353"/>
        <w:gridCol w:w="2353"/>
      </w:tblGrid>
      <w:tr>
        <w:tc>
          <w:tcPr>
            <w:tcW w:type="dxa" w:w="4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317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Reviewer feedback</w:t>
            </w:r>
          </w:p>
        </w:tc>
        <w:tc>
          <w:tcPr>
            <w:tcW w:type="dxa" w:w="30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Author response</w:t>
            </w:r>
          </w:p>
        </w:tc>
        <w:tc>
          <w:tcPr>
            <w:tcW w:type="dxa" w:w="238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Resulting change</w:t>
            </w:r>
          </w:p>
        </w:tc>
      </w:tr>
      <w:tr>
        <w:tc>
          <w:tcPr>
            <w:tcW w:type="dxa" w:w="454"/>
            <w:tcBorders>
              <w:top w:val="single" w:sz="4" w:space="0" w:color="E4DED3"/>
              <w:left w:val="single" w:sz="4" w:space="0" w:color="E4DED3"/>
              <w:bottom w:val="single" w:sz="4" w:space="0" w:color="E4DED3"/>
              <w:right w:val="single" w:sz="4" w:space="0" w:color="E4DED3"/>
            </w:tcBorders>
          </w:tcPr>
          <w:p>
            <w:r>
              <w:rPr>
                <w:b/>
                <w:sz w:val="18"/>
              </w:rPr>
              <w:t>1</w:t>
            </w:r>
          </w:p>
        </w:tc>
        <w:tc>
          <w:tcPr>
            <w:tcW w:type="dxa" w:w="3175"/>
            <w:tcBorders>
              <w:top w:val="single" w:sz="4" w:space="0" w:color="E4DED3"/>
              <w:left w:val="single" w:sz="4" w:space="0" w:color="E4DED3"/>
              <w:bottom w:val="single" w:sz="4" w:space="0" w:color="E4DED3"/>
              <w:right w:val="single" w:sz="4" w:space="0" w:color="E4DED3"/>
            </w:tcBorders>
          </w:tcPr>
          <w:p>
            <w:r>
              <w:rPr>
                <w:sz w:val="18"/>
              </w:rPr>
              <w:t>Confirm India users are served without replicating data into India</w:t>
            </w:r>
          </w:p>
        </w:tc>
        <w:tc>
          <w:tcPr>
            <w:tcW w:type="dxa" w:w="3061"/>
            <w:tcBorders>
              <w:top w:val="single" w:sz="4" w:space="0" w:color="E4DED3"/>
              <w:left w:val="single" w:sz="4" w:space="0" w:color="E4DED3"/>
              <w:bottom w:val="single" w:sz="4" w:space="0" w:color="E4DED3"/>
              <w:right w:val="single" w:sz="4" w:space="0" w:color="E4DED3"/>
            </w:tcBorders>
          </w:tcPr>
          <w:p>
            <w:r>
              <w:rPr>
                <w:sz w:val="18"/>
              </w:rPr>
              <w:t>Edge delivery (CloudFront) serves the global base; only the access logs sit in India</w:t>
            </w:r>
          </w:p>
        </w:tc>
        <w:tc>
          <w:tcPr>
            <w:tcW w:type="dxa" w:w="2381"/>
            <w:tcBorders>
              <w:top w:val="single" w:sz="4" w:space="0" w:color="E4DED3"/>
              <w:left w:val="single" w:sz="4" w:space="0" w:color="E4DED3"/>
              <w:bottom w:val="single" w:sz="4" w:space="0" w:color="E4DED3"/>
              <w:right w:val="single" w:sz="4" w:space="0" w:color="E4DED3"/>
            </w:tcBorders>
          </w:tcPr>
          <w:p>
            <w:r>
              <w:rPr>
                <w:sz w:val="18"/>
              </w:rPr>
              <w:t>Clarified in §4.2 and §5.3</w:t>
            </w:r>
          </w:p>
        </w:tc>
      </w:tr>
      <w:tr>
        <w:tc>
          <w:tcPr>
            <w:tcW w:type="dxa" w:w="454"/>
            <w:tcBorders>
              <w:top w:val="single" w:sz="4" w:space="0" w:color="E4DED3"/>
              <w:left w:val="single" w:sz="4" w:space="0" w:color="E4DED3"/>
              <w:bottom w:val="single" w:sz="4" w:space="0" w:color="E4DED3"/>
              <w:right w:val="single" w:sz="4" w:space="0" w:color="E4DED3"/>
            </w:tcBorders>
          </w:tcPr>
          <w:p>
            <w:r>
              <w:rPr>
                <w:b/>
                <w:sz w:val="18"/>
              </w:rPr>
              <w:t>2</w:t>
            </w:r>
          </w:p>
        </w:tc>
        <w:tc>
          <w:tcPr>
            <w:tcW w:type="dxa" w:w="3175"/>
            <w:tcBorders>
              <w:top w:val="single" w:sz="4" w:space="0" w:color="E4DED3"/>
              <w:left w:val="single" w:sz="4" w:space="0" w:color="E4DED3"/>
              <w:bottom w:val="single" w:sz="4" w:space="0" w:color="E4DED3"/>
              <w:right w:val="single" w:sz="4" w:space="0" w:color="E4DED3"/>
            </w:tcBorders>
          </w:tcPr>
          <w:p>
            <w:r>
              <w:rPr>
                <w:sz w:val="18"/>
              </w:rPr>
              <w:t>Confirm the microservice cannot lose events under load</w:t>
            </w:r>
          </w:p>
        </w:tc>
        <w:tc>
          <w:tcPr>
            <w:tcW w:type="dxa" w:w="3061"/>
            <w:tcBorders>
              <w:top w:val="single" w:sz="4" w:space="0" w:color="E4DED3"/>
              <w:left w:val="single" w:sz="4" w:space="0" w:color="E4DED3"/>
              <w:bottom w:val="single" w:sz="4" w:space="0" w:color="E4DED3"/>
              <w:right w:val="single" w:sz="4" w:space="0" w:color="E4DED3"/>
            </w:tcBorders>
          </w:tcPr>
          <w:p>
            <w:r>
              <w:rPr>
                <w:sz w:val="18"/>
              </w:rPr>
              <w:t>An SQS buffer decouples ingress from the writer, so spikes queue rather than drop</w:t>
            </w:r>
          </w:p>
        </w:tc>
        <w:tc>
          <w:tcPr>
            <w:tcW w:type="dxa" w:w="2381"/>
            <w:tcBorders>
              <w:top w:val="single" w:sz="4" w:space="0" w:color="E4DED3"/>
              <w:left w:val="single" w:sz="4" w:space="0" w:color="E4DED3"/>
              <w:bottom w:val="single" w:sz="4" w:space="0" w:color="E4DED3"/>
              <w:right w:val="single" w:sz="4" w:space="0" w:color="E4DED3"/>
            </w:tcBorders>
          </w:tcPr>
          <w:p>
            <w:r>
              <w:rPr>
                <w:sz w:val="18"/>
              </w:rPr>
              <w:t>Recorded in §6.2 / §6.3</w:t>
            </w:r>
          </w:p>
        </w:tc>
      </w:tr>
    </w:tbl>
    <w:p/>
    <w:p>
      <w:pPr>
        <w:pStyle w:val="Heading3"/>
      </w:pPr>
      <w:r>
        <w:t>11.2 Sign-off</w:t>
      </w:r>
    </w:p>
    <w:tbl>
      <w:tblPr>
        <w:tblW w:type="auto" w:w="0"/>
        <w:jc w:val="center"/>
        <w:tblLook w:firstColumn="1" w:firstRow="1" w:lastColumn="0" w:lastRow="0" w:noHBand="0" w:noVBand="1" w:val="04A0"/>
      </w:tblPr>
      <w:tblGrid>
        <w:gridCol w:w="2353"/>
        <w:gridCol w:w="2353"/>
        <w:gridCol w:w="2353"/>
        <w:gridCol w:w="2353"/>
      </w:tblGrid>
      <w:tr>
        <w:tc>
          <w:tcPr>
            <w:tcW w:type="dxa" w:w="204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30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Decision</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Prepared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Consultant</w:t>
            </w:r>
          </w:p>
        </w:tc>
        <w:tc>
          <w:tcPr>
            <w:tcW w:type="dxa" w:w="3061"/>
            <w:tcBorders>
              <w:top w:val="single" w:sz="4" w:space="0" w:color="E4DED3"/>
              <w:left w:val="single" w:sz="4" w:space="0" w:color="E4DED3"/>
              <w:bottom w:val="single" w:sz="4" w:space="0" w:color="E4DED3"/>
              <w:right w:val="single" w:sz="4" w:space="0" w:color="E4DED3"/>
            </w:tcBorders>
          </w:tcPr>
          <w:p>
            <w:r>
              <w:rPr>
                <w:sz w:val="18"/>
              </w:rPr>
              <w:t>Submitted</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Reviewed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Pat Lin (MTS Senior Consultant)</w:t>
            </w:r>
          </w:p>
        </w:tc>
        <w:tc>
          <w:tcPr>
            <w:tcW w:type="dxa" w:w="3061"/>
            <w:tcBorders>
              <w:top w:val="single" w:sz="4" w:space="0" w:color="E4DED3"/>
              <w:left w:val="single" w:sz="4" w:space="0" w:color="E4DED3"/>
              <w:bottom w:val="single" w:sz="4" w:space="0" w:color="E4DED3"/>
              <w:right w:val="single" w:sz="4" w:space="0" w:color="E4DED3"/>
            </w:tcBorders>
          </w:tcPr>
          <w:p>
            <w:r>
              <w:rPr>
                <w:sz w:val="18"/>
              </w:rPr>
              <w:t>Approved for submission</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3061"/>
            <w:tcBorders>
              <w:top w:val="single" w:sz="4" w:space="0" w:color="E4DED3"/>
              <w:left w:val="single" w:sz="4" w:space="0" w:color="E4DED3"/>
              <w:bottom w:val="single" w:sz="4" w:space="0" w:color="E4DED3"/>
              <w:right w:val="single" w:sz="4" w:space="0" w:color="E4DED3"/>
            </w:tcBorders>
          </w:tcPr>
          <w:p>
            <w:r>
              <w:rPr>
                <w:sz w:val="18"/>
              </w:rPr>
              <w:t>Approved at design walkthrough — cleared to implement</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bl>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sz w:val="18"/>
              </w:rPr>
              <w:t>v1.0 — Solution Design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w:t>
            </w:r>
          </w:p>
        </w:tc>
        <w:tc>
          <w:tcPr>
            <w:tcW w:type="dxa" w:w="5953"/>
            <w:tcBorders>
              <w:top w:val="single" w:sz="4" w:space="0" w:color="E4DED3"/>
              <w:left w:val="single" w:sz="4" w:space="0" w:color="E4DED3"/>
              <w:bottom w:val="single" w:sz="4" w:space="0" w:color="E4DED3"/>
              <w:right w:val="single" w:sz="4" w:space="0" w:color="E4DED3"/>
            </w:tcBorders>
          </w:tcPr>
          <w:p>
            <w:r>
              <w:rPr>
                <w:sz w:val="18"/>
              </w:rPr>
              <w:t>MTS Consultant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Engagement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LMS Global Expansion &amp; Disaster Recovery</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Companion document</w:t>
            </w:r>
          </w:p>
        </w:tc>
        <w:tc>
          <w:tcPr>
            <w:tcW w:type="dxa" w:w="5953"/>
            <w:tcBorders>
              <w:top w:val="single" w:sz="4" w:space="0" w:color="E4DED3"/>
              <w:left w:val="single" w:sz="4" w:space="0" w:color="E4DED3"/>
              <w:bottom w:val="single" w:sz="4" w:space="0" w:color="E4DED3"/>
              <w:right w:val="single" w:sz="4" w:space="0" w:color="E4DED3"/>
            </w:tcBorders>
          </w:tcPr>
          <w:p>
            <w:r>
              <w:rPr>
                <w:sz w:val="18"/>
              </w:rPr>
              <w:t>Disaster Recovery Plan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Implemented by</w:t>
            </w:r>
          </w:p>
        </w:tc>
        <w:tc>
          <w:tcPr>
            <w:tcW w:type="dxa" w:w="5953"/>
            <w:tcBorders>
              <w:top w:val="single" w:sz="4" w:space="0" w:color="E4DED3"/>
              <w:left w:val="single" w:sz="4" w:space="0" w:color="E4DED3"/>
              <w:bottom w:val="single" w:sz="4" w:space="0" w:color="E4DED3"/>
              <w:right w:val="single" w:sz="4" w:space="0" w:color="E4DED3"/>
            </w:tcBorders>
          </w:tcPr>
          <w:p>
            <w:r>
              <w:rPr>
                <w:sz w:val="18"/>
              </w:rPr>
              <w:t>LMS Global Expansion Deployment Report (Phase 2)</w:t>
            </w:r>
          </w:p>
        </w:tc>
      </w:tr>
    </w:tbl>
    <w:p/>
    <w:sectPr w:rsidR="00FC693F" w:rsidRPr="0006063C" w:rsidSect="00034616">
      <w:headerReference w:type="default" r:id="rId13"/>
      <w:footerReference w:type="default" r:id="rId14"/>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