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Source Sans 3" w:hAnsi="Source Sans 3"/>
          <w:b/>
          <w:color w:val="1F5A5C"/>
          <w:sz w:val="68"/>
        </w:rPr>
        <w:t>YAT</w:t>
      </w:r>
      <w:r>
        <w:rPr>
          <w:b/>
          <w:color w:val="C5613B"/>
          <w:sz w:val="32"/>
        </w:rPr>
        <w:t xml:space="preserve">  COLLEGE</w:t>
      </w:r>
    </w:p>
    <w:p>
      <w:r>
        <w:rPr>
          <w:color w:val="6B6660"/>
          <w:sz w:val="18"/>
        </w:rPr>
        <w:t>YAT College  ·  175 Cremorne St, Cremorne VIC 3121</w:t>
      </w:r>
    </w:p>
    <w:p>
      <w:pPr>
        <w:pBdr>
          <w:bottom w:val="single" w:sz="12" w:space="4" w:color="1F5A5C"/>
        </w:pBdr>
      </w:pPr>
    </w:p>
    <w:p/>
    <w:p/>
    <w:p/>
    <w:p>
      <w:pPr>
        <w:pStyle w:val="Title"/>
      </w:pPr>
      <w:r>
        <w:t>HA Design</w:t>
      </w:r>
    </w:p>
    <w:p>
      <w:r>
        <w:rPr>
          <w:i/>
          <w:color w:val="6B6660"/>
          <w:sz w:val="30"/>
        </w:rPr>
        <w:t>[ Solution / initiative name ]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Engagement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20"/>
              </w:rPr>
              <w:t>[ Engagement name ]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Engagement reference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20"/>
              </w:rPr>
              <w:t>[ Reference ]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Document version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20"/>
              </w:rPr>
              <w:t>[ e.g. v1.0 ]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20"/>
              </w:rPr>
              <w:t>[ Consultant name, role ]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20"/>
              </w:rPr>
              <w:t>[ DD/MM/YYYY ]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Submitted to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20"/>
              </w:rPr>
              <w:t>[ Acceptance authority / sponsor ]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Related documents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20"/>
              </w:rPr>
              <w:t>[ requirements + the baseline design this supersedes ]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20"/>
              </w:rPr>
              <w:t>Commercial-in-confidence</w:t>
            </w:r>
          </w:p>
        </w:tc>
      </w:tr>
    </w:tbl>
    <w:p>
      <w:pPr>
        <w:sectPr>
          <w:headerReference w:type="default" r:id="rId9"/>
          <w:footerReference w:type="default" r:id="rId10"/>
          <w:pgSz w:w="11906" w:h="16838"/>
          <w:pgMar w:top="1474" w:right="1247" w:bottom="1247" w:left="1247" w:header="567" w:footer="567" w:gutter="0"/>
          <w:cols w:space="720"/>
          <w:docGrid w:linePitch="360"/>
        </w:sectPr>
      </w:pPr>
    </w:p>
    <w:p>
      <w:pPr>
        <w:pStyle w:val="Heading1"/>
      </w:pPr>
      <w:r>
        <w:t>How to use this template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8F4ED"/>
            <w:tcBorders>
              <w:top w:val="single" w:sz="8" w:space="0" w:color="C99932"/>
              <w:left w:val="single" w:sz="8" w:space="0" w:color="C99932"/>
              <w:bottom w:val="single" w:sz="8" w:space="0" w:color="C99932"/>
              <w:right w:val="single" w:sz="8" w:space="0" w:color="C99932"/>
            </w:tcBorders>
          </w:tcPr>
          <w:p>
            <w:r>
              <w:rPr>
                <w:b/>
                <w:color w:val="1F5A5C"/>
                <w:sz w:val="20"/>
              </w:rPr>
              <w:t>Complete every section.</w:t>
            </w:r>
            <w:r>
              <w:rPr>
                <w:color w:val="1F2329"/>
                <w:sz w:val="20"/>
              </w:rPr>
              <w:t xml:space="preserve">  Every section in this template is one this design needs — there is nothing here to skip.</w:t>
            </w:r>
          </w:p>
          <w:p>
            <w:r>
              <w:rPr>
                <w:b/>
                <w:color w:val="1F5A5C"/>
                <w:sz w:val="20"/>
              </w:rPr>
              <w:t>This design hardens an existing environment.</w:t>
            </w:r>
            <w:r>
              <w:rPr>
                <w:color w:val="1F2329"/>
                <w:sz w:val="20"/>
              </w:rPr>
              <w:t xml:space="preserve">  It supersedes the baseline design of the environment you are changing, and §3 reviews that baseline before §4 designs its HA-equivalent.</w:t>
            </w:r>
          </w:p>
          <w:p>
            <w:r>
              <w:rPr>
                <w:b/>
                <w:color w:val="1F5A5C"/>
                <w:sz w:val="20"/>
              </w:rPr>
              <w:t>This design is implemented by a Deployment Report.</w:t>
            </w:r>
            <w:r>
              <w:rPr>
                <w:color w:val="1F2329"/>
                <w:sz w:val="20"/>
              </w:rPr>
              <w:t xml:space="preserve">  Business Case (why) → HA Design (what / how) → Deployment Report (what was built).</w:t>
            </w:r>
          </w:p>
        </w:tc>
      </w:tr>
    </w:tbl>
    <w:p/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</w:r>
      <w:r>
        <w:rPr>
          <w:color w:val="6B6660"/>
        </w:rPr>
        <w:t>Right-click and choose “Update Field” to build the table of contents.</w:t>
      </w:r>
      <w:r>
        <w:fldChar w:fldCharType="end"/>
      </w:r>
    </w:p>
    <w:p>
      <w:pPr>
        <w:sectPr>
          <w:headerReference w:type="default" r:id="rId11"/>
          <w:footerReference w:type="default" r:id="rId12"/>
          <w:pgSz w:w="11906" w:h="16838"/>
          <w:pgMar w:top="1474" w:right="1247" w:bottom="1247" w:left="1247" w:header="567" w:footer="567" w:gutter="0"/>
          <w:cols w:space="720"/>
          <w:docGrid w:linePitch="360"/>
        </w:sectPr>
      </w:pPr>
    </w:p>
    <w:p>
      <w:pPr>
        <w:pStyle w:val="Heading1"/>
      </w:pPr>
      <w:r>
        <w:t>1. Purpose and Scope</w:t>
      </w:r>
    </w:p>
    <w:p>
      <w:pPr>
        <w:spacing w:after="120"/>
      </w:pPr>
      <w:r>
        <w:rPr>
          <w:i/>
          <w:color w:val="6B6660"/>
          <w:sz w:val="19"/>
        </w:rPr>
        <w:t>What this design covers and what it doesn't (≤ ½ page): the solution being designed, the objective it serves, and what is in / out of scope.</w:t>
      </w:r>
    </w:p>
    <w:p>
      <w:r>
        <w:rPr>
          <w:i/>
          <w:color w:val="6B6660"/>
        </w:rPr>
        <w:t>[ Write your response here ]</w:t>
      </w:r>
    </w:p>
    <w:p>
      <w:pPr>
        <w:pStyle w:val="Heading1"/>
      </w:pPr>
      <w:r>
        <w:t>2. Design Inputs and Requirements</w:t>
      </w:r>
    </w:p>
    <w:p>
      <w:pPr>
        <w:pStyle w:val="Heading3"/>
      </w:pPr>
      <w:r>
        <w:t>2.1 Inputs</w:t>
      </w:r>
    </w:p>
    <w:p>
      <w:pPr>
        <w:spacing w:after="120"/>
      </w:pPr>
      <w:r>
        <w:rPr>
          <w:i/>
          <w:color w:val="6B6660"/>
          <w:sz w:val="19"/>
        </w:rPr>
        <w:t>The source documents this design is built from — the approved business case, the requirements, the workload/application specification, and (if hardening an existing system) the baseline design and the report of what was actually built.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2.2 Requirements the design must meet</w:t>
      </w:r>
    </w:p>
    <w:p>
      <w:pPr>
        <w:spacing w:after="120"/>
      </w:pPr>
      <w:r>
        <w:rPr>
          <w:i/>
          <w:color w:val="6B6660"/>
          <w:sz w:val="19"/>
        </w:rPr>
        <w:t>State the reliability, recoverability and service-level targets this design is held to, drawn from the application specification and the cloud migration requirements. Add rows as needed.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5102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Requirement / metric</w:t>
            </w:r>
          </w:p>
        </w:tc>
        <w:tc>
          <w:tcPr>
            <w:tcW w:type="dxa" w:w="3969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Target</w:t>
            </w:r>
          </w:p>
        </w:tc>
      </w:tr>
      <w:tr>
        <w:tc>
          <w:tcPr>
            <w:tcW w:type="dxa" w:w="51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Availability</w:t>
            </w:r>
          </w:p>
        </w:tc>
        <w:tc>
          <w:tcPr>
            <w:tcW w:type="dxa" w:w="3969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e.g. 99.9% ]</w:t>
            </w:r>
          </w:p>
        </w:tc>
      </w:tr>
      <w:tr>
        <w:tc>
          <w:tcPr>
            <w:tcW w:type="dxa" w:w="51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RPO (acceptable data loss)</w:t>
            </w:r>
          </w:p>
        </w:tc>
        <w:tc>
          <w:tcPr>
            <w:tcW w:type="dxa" w:w="3969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e.g. ≤ 1 hour ]</w:t>
            </w:r>
          </w:p>
        </w:tc>
      </w:tr>
      <w:tr>
        <w:tc>
          <w:tcPr>
            <w:tcW w:type="dxa" w:w="51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RTO (time to recover)</w:t>
            </w:r>
          </w:p>
        </w:tc>
        <w:tc>
          <w:tcPr>
            <w:tcW w:type="dxa" w:w="3969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e.g. ≤ 4 hours ]</w:t>
            </w:r>
          </w:p>
        </w:tc>
      </w:tr>
      <w:tr>
        <w:tc>
          <w:tcPr>
            <w:tcW w:type="dxa" w:w="51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Support response (severity-1)</w:t>
            </w:r>
          </w:p>
        </w:tc>
        <w:tc>
          <w:tcPr>
            <w:tcW w:type="dxa" w:w="3969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e.g. ≤ 1 hour ]</w:t>
            </w:r>
          </w:p>
        </w:tc>
      </w:tr>
      <w:tr>
        <w:tc>
          <w:tcPr>
            <w:tcW w:type="dxa" w:w="51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Data residency</w:t>
            </w:r>
          </w:p>
        </w:tc>
        <w:tc>
          <w:tcPr>
            <w:tcW w:type="dxa" w:w="3969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e.g. Australia ]</w:t>
            </w:r>
          </w:p>
        </w:tc>
      </w:tr>
      <w:tr>
        <w:tc>
          <w:tcPr>
            <w:tcW w:type="dxa" w:w="51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add others ]</w:t>
            </w:r>
          </w:p>
        </w:tc>
        <w:tc>
          <w:tcPr>
            <w:tcW w:type="dxa" w:w="3969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</w:tbl>
    <w:p/>
    <w:p>
      <w:pPr>
        <w:pStyle w:val="Heading1"/>
      </w:pPr>
      <w:r>
        <w:t>3. Review of the Baseline Architecture</w:t>
      </w:r>
    </w:p>
    <w:p>
      <w:pPr>
        <w:spacing w:after="120"/>
      </w:pPr>
      <w:r>
        <w:rPr>
          <w:i/>
          <w:color w:val="6B6660"/>
          <w:sz w:val="19"/>
        </w:rPr>
        <w:t>Review the baseline environment — the one this design hardens — against the §2 requirements, using the supplied baseline design and the deployment report of what was actually built.</w:t>
      </w:r>
    </w:p>
    <w:p>
      <w:pPr>
        <w:pStyle w:val="Heading3"/>
      </w:pPr>
      <w:r>
        <w:t>3.1 Architecture review</w:t>
      </w:r>
    </w:p>
    <w:p>
      <w:pPr>
        <w:spacing w:after="120"/>
      </w:pPr>
      <w:r>
        <w:rPr>
          <w:i/>
          <w:color w:val="6B6660"/>
          <w:sz w:val="19"/>
        </w:rPr>
        <w:t>Review the baseline architecture against the requirements, layer by layer (compute, load balancing, database, network, monitoring) — where each currently meets or fails the targets.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3.2 Single points of failure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835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2835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Failure mode</w:t>
            </w:r>
          </w:p>
        </w:tc>
        <w:tc>
          <w:tcPr>
            <w:tcW w:type="dxa" w:w="3402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Consequence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34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34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</w:tbl>
    <w:p/>
    <w:p>
      <w:pPr>
        <w:pStyle w:val="Heading3"/>
      </w:pPr>
      <w:r>
        <w:t>3.3 Recovery objectives — current state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311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1984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Current RPO</w:t>
            </w:r>
          </w:p>
        </w:tc>
        <w:tc>
          <w:tcPr>
            <w:tcW w:type="dxa" w:w="1984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Current RTO</w:t>
            </w:r>
          </w:p>
        </w:tc>
        <w:tc>
          <w:tcPr>
            <w:tcW w:type="dxa" w:w="1984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Meets target?</w:t>
            </w:r>
          </w:p>
        </w:tc>
      </w:tr>
      <w:tr>
        <w:tc>
          <w:tcPr>
            <w:tcW w:type="dxa" w:w="311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98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98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98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Yes/No ]</w:t>
            </w:r>
          </w:p>
        </w:tc>
      </w:tr>
      <w:tr>
        <w:tc>
          <w:tcPr>
            <w:tcW w:type="dxa" w:w="311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98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98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98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Yes/No ]</w:t>
            </w:r>
          </w:p>
        </w:tc>
      </w:tr>
    </w:tbl>
    <w:p/>
    <w:p>
      <w:pPr>
        <w:pStyle w:val="Heading3"/>
      </w:pPr>
      <w:r>
        <w:t>3.4 Components requiring vertical scaling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835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2835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Vertical scale required for</w:t>
            </w:r>
          </w:p>
        </w:tc>
        <w:tc>
          <w:tcPr>
            <w:tcW w:type="dxa" w:w="3402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Availability impact during scale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34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</w:tbl>
    <w:p/>
    <w:p>
      <w:pPr>
        <w:pStyle w:val="Heading3"/>
      </w:pPr>
      <w:r>
        <w:t>3.5 Review findings summary</w:t>
      </w:r>
    </w:p>
    <w:p>
      <w:pPr>
        <w:spacing w:after="120"/>
      </w:pPr>
      <w:r>
        <w:rPr>
          <w:i/>
          <w:color w:val="6B6660"/>
          <w:sz w:val="19"/>
        </w:rPr>
        <w:t>Summarise the gap between the baseline architecture and the §2 requirements: what's met, what isn't, and which components drive the gap (≤ 250 words). Write it for the stakeholders who review this design.</w:t>
      </w:r>
    </w:p>
    <w:p>
      <w:r>
        <w:rPr>
          <w:i/>
          <w:color w:val="6B6660"/>
        </w:rPr>
        <w:t>[ Write your response here ]</w:t>
      </w:r>
    </w:p>
    <w:p>
      <w:pPr>
        <w:pStyle w:val="Heading1"/>
      </w:pPr>
      <w:r>
        <w:t>4. Architecture Design</w:t>
      </w:r>
    </w:p>
    <w:p>
      <w:pPr>
        <w:spacing w:after="120"/>
      </w:pPr>
      <w:r>
        <w:rPr>
          <w:i/>
          <w:color w:val="6B6660"/>
          <w:sz w:val="19"/>
        </w:rPr>
        <w:t>The design proper — the HA-equivalent of the baseline. Describe the design relative to the baseline reviewed in §3.</w:t>
      </w:r>
    </w:p>
    <w:p>
      <w:pPr>
        <w:pStyle w:val="Heading3"/>
      </w:pPr>
      <w:r>
        <w:t>4.1 Assumptions and constraints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4.2 AWS account and region</w:t>
      </w:r>
    </w:p>
    <w:p>
      <w:pPr>
        <w:spacing w:after="120"/>
      </w:pPr>
      <w:r>
        <w:rPr>
          <w:i/>
          <w:color w:val="6B6660"/>
          <w:sz w:val="19"/>
        </w:rPr>
        <w:t>Region(s) and account; note any data-residency constraint and any new region (e.g. a cross-Region backup destination).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4.3 Identity and access management (IAM)</w:t>
      </w:r>
    </w:p>
    <w:p>
      <w:pPr>
        <w:spacing w:after="120"/>
      </w:pPr>
      <w:r>
        <w:rPr>
          <w:i/>
          <w:color w:val="6B6660"/>
          <w:sz w:val="19"/>
        </w:rPr>
        <w:t>Cover: any additions or changes to groups/roles/users, MFA and instance profiles the HA work requires — state if none.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4.4 Network topology</w:t>
      </w:r>
    </w:p>
    <w:p>
      <w:pPr>
        <w:spacing w:after="120"/>
      </w:pPr>
      <w:r>
        <w:rPr>
          <w:i/>
          <w:color w:val="6B6660"/>
          <w:sz w:val="19"/>
        </w:rPr>
        <w:t>Cover: VPC, subnets, availability-zone distribution, gateways, route tables (use the subnet table below).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26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Subnet</w:t>
            </w:r>
          </w:p>
        </w:tc>
        <w:tc>
          <w:tcPr>
            <w:tcW w:type="dxa" w:w="1984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CIDR</w:t>
            </w:r>
          </w:p>
        </w:tc>
        <w:tc>
          <w:tcPr>
            <w:tcW w:type="dxa" w:w="226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AZ</w:t>
            </w:r>
          </w:p>
        </w:tc>
        <w:tc>
          <w:tcPr>
            <w:tcW w:type="dxa" w:w="2551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98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  <w:tr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98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</w:tbl>
    <w:p/>
    <w:p>
      <w:pPr>
        <w:pStyle w:val="Heading3"/>
      </w:pPr>
      <w:r>
        <w:t>4.5 Compute (EC2 + Auto Scaling)</w:t>
      </w:r>
    </w:p>
    <w:p>
      <w:pPr>
        <w:spacing w:after="120"/>
      </w:pPr>
      <w:r>
        <w:rPr>
          <w:i/>
          <w:color w:val="6B6660"/>
          <w:sz w:val="19"/>
        </w:rPr>
        <w:t>Cover: instance type, ASG capacity and availability-zone spread, scaling policy, health checks.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4.6 Load balancing (ALB)</w:t>
      </w:r>
    </w:p>
    <w:p>
      <w:pPr>
        <w:spacing w:after="120"/>
      </w:pPr>
      <w:r>
        <w:rPr>
          <w:i/>
          <w:color w:val="6B6660"/>
          <w:sz w:val="19"/>
        </w:rPr>
        <w:t>Cover: the load balancer, target group, listener, availability-zone coverage.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4.7 Database (RDS)</w:t>
      </w:r>
    </w:p>
    <w:p>
      <w:pPr>
        <w:spacing w:after="120"/>
      </w:pPr>
      <w:r>
        <w:rPr>
          <w:i/>
          <w:color w:val="6B6660"/>
          <w:sz w:val="19"/>
        </w:rPr>
        <w:t>Cover: engine + version, instance class, storage, encryption, backups, and the Multi-AZ deployment.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4.8 Storage (EBS + S3)</w:t>
      </w:r>
    </w:p>
    <w:p>
      <w:pPr>
        <w:spacing w:after="120"/>
      </w:pPr>
      <w:r>
        <w:rPr>
          <w:i/>
          <w:color w:val="6B6660"/>
          <w:sz w:val="19"/>
        </w:rPr>
        <w:t>Cover: volumes, buckets, encryption, public-access settings, and any cross-Region copy.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4.9 Security</w:t>
      </w:r>
    </w:p>
    <w:p>
      <w:pPr>
        <w:spacing w:after="120"/>
      </w:pPr>
      <w:r>
        <w:rPr>
          <w:i/>
          <w:color w:val="6B6660"/>
          <w:sz w:val="19"/>
        </w:rPr>
        <w:t>Cover: the tiered security-group model, encryption in transit + at rest, and the adjustments the HA changes require.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4.10 Monitoring</w:t>
      </w:r>
    </w:p>
    <w:p>
      <w:pPr>
        <w:spacing w:after="120"/>
      </w:pPr>
      <w:r>
        <w:rPr>
          <w:i/>
          <w:color w:val="6B6660"/>
          <w:sz w:val="19"/>
        </w:rPr>
        <w:t>Cover: the HA-tuned alarms and the service-level / availability tracking (use the alarm table below).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26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Alarm</w:t>
            </w:r>
          </w:p>
        </w:tc>
        <w:tc>
          <w:tcPr>
            <w:tcW w:type="dxa" w:w="226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1984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Threshold</w:t>
            </w:r>
          </w:p>
        </w:tc>
        <w:tc>
          <w:tcPr>
            <w:tcW w:type="dxa" w:w="2551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Triggers</w:t>
            </w:r>
          </w:p>
        </w:tc>
      </w:tr>
      <w:tr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98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</w:tbl>
    <w:p/>
    <w:p>
      <w:pPr>
        <w:pStyle w:val="Heading3"/>
      </w:pPr>
      <w:r>
        <w:t>4.11 Naming and tagging conventions</w:t>
      </w:r>
    </w:p>
    <w:p>
      <w:pPr>
        <w:spacing w:after="120"/>
      </w:pPr>
      <w:r>
        <w:rPr>
          <w:i/>
          <w:color w:val="6B6660"/>
          <w:sz w:val="19"/>
        </w:rPr>
        <w:t>Cover: the tagging scheme (Project, Environment, Owner, CostCentre, DataClassification, AZ).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4.12 Backup</w:t>
      </w:r>
    </w:p>
    <w:p>
      <w:pPr>
        <w:spacing w:after="120"/>
      </w:pPr>
      <w:r>
        <w:rPr>
          <w:i/>
          <w:color w:val="6B6660"/>
          <w:sz w:val="19"/>
        </w:rPr>
        <w:t>Cover: the backup baseline and any cross-Region copy / retention design.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4.13 Recovery objectives — designed state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835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1984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Designed RPO</w:t>
            </w:r>
          </w:p>
        </w:tc>
        <w:tc>
          <w:tcPr>
            <w:tcW w:type="dxa" w:w="1984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Designed RTO</w:t>
            </w:r>
          </w:p>
        </w:tc>
        <w:tc>
          <w:tcPr>
            <w:tcW w:type="dxa" w:w="226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98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98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Overall service</w:t>
            </w:r>
          </w:p>
        </w:tc>
        <w:tc>
          <w:tcPr>
            <w:tcW w:type="dxa" w:w="198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98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meets target ]</w:t>
            </w:r>
          </w:p>
        </w:tc>
      </w:tr>
    </w:tbl>
    <w:p/>
    <w:p>
      <w:pPr>
        <w:pStyle w:val="Heading3"/>
      </w:pPr>
      <w:r>
        <w:t>4.14 Components requiring vertical scaling — designed state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835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2835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Vertical scale required for</w:t>
            </w:r>
          </w:p>
        </w:tc>
        <w:tc>
          <w:tcPr>
            <w:tcW w:type="dxa" w:w="3402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Availability impact (designed)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34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</w:tbl>
    <w:p/>
    <w:p>
      <w:pPr>
        <w:pStyle w:val="Heading3"/>
      </w:pPr>
      <w:r>
        <w:t>4.15 Single points of failure removed</w:t>
      </w:r>
    </w:p>
    <w:p>
      <w:pPr>
        <w:spacing w:after="120"/>
      </w:pPr>
      <w:r>
        <w:rPr>
          <w:i/>
          <w:color w:val="6B6660"/>
          <w:sz w:val="19"/>
        </w:rPr>
        <w:t>Each single point of failure from §3.2, and how this design removes it.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969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SPOF (from §3.2)</w:t>
            </w:r>
          </w:p>
        </w:tc>
        <w:tc>
          <w:tcPr>
            <w:tcW w:type="dxa" w:w="5102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Mitigation in this design</w:t>
            </w:r>
          </w:p>
        </w:tc>
      </w:tr>
      <w:tr>
        <w:tc>
          <w:tcPr>
            <w:tcW w:type="dxa" w:w="3969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51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  <w:tr>
        <w:tc>
          <w:tcPr>
            <w:tcW w:type="dxa" w:w="3969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51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</w:tbl>
    <w:p/>
    <w:p>
      <w:pPr>
        <w:pStyle w:val="Heading1"/>
      </w:pPr>
      <w:r>
        <w:t>5. Implementation Sequencing</w:t>
      </w:r>
    </w:p>
    <w:p>
      <w:pPr>
        <w:spacing w:after="120"/>
      </w:pPr>
      <w:r>
        <w:rPr>
          <w:i/>
          <w:color w:val="C5613B"/>
          <w:sz w:val="18"/>
        </w:rPr>
        <w:t>Applicability: complete for deployments into a running system, where order and rollback matter; otherwise mark this section “Not applicable — [reason]”.</w:t>
      </w:r>
    </w:p>
    <w:p>
      <w:pPr>
        <w:spacing w:after="120"/>
      </w:pPr>
      <w:r>
        <w:rPr>
          <w:i/>
          <w:color w:val="6B6660"/>
          <w:sz w:val="19"/>
        </w:rPr>
        <w:t>The order the changes are applied, with per-change duration, expected impact, a verification step, and a rollback if it fails. State the total window and buffer.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454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26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Change</w:t>
            </w:r>
          </w:p>
        </w:tc>
        <w:tc>
          <w:tcPr>
            <w:tcW w:type="dxa" w:w="1134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Duration</w:t>
            </w:r>
          </w:p>
        </w:tc>
        <w:tc>
          <w:tcPr>
            <w:tcW w:type="dxa" w:w="1701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Expected impact</w:t>
            </w:r>
          </w:p>
        </w:tc>
        <w:tc>
          <w:tcPr>
            <w:tcW w:type="dxa" w:w="1701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Verification</w:t>
            </w:r>
          </w:p>
        </w:tc>
        <w:tc>
          <w:tcPr>
            <w:tcW w:type="dxa" w:w="1701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Rollback</w:t>
            </w:r>
          </w:p>
        </w:tc>
      </w:tr>
      <w:tr>
        <w:tc>
          <w:tcPr>
            <w:tcW w:type="dxa" w:w="45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13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70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none ]</w:t>
            </w:r>
          </w:p>
        </w:tc>
        <w:tc>
          <w:tcPr>
            <w:tcW w:type="dxa" w:w="170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70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  <w:tr>
        <w:tc>
          <w:tcPr>
            <w:tcW w:type="dxa" w:w="45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13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70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70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70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</w:tbl>
    <w:p/>
    <w:p>
      <w:pPr>
        <w:pStyle w:val="Heading1"/>
      </w:pPr>
      <w:r>
        <w:t>6. Simulation and Verification Plan</w:t>
      </w:r>
    </w:p>
    <w:p>
      <w:pPr>
        <w:spacing w:after="120"/>
      </w:pPr>
      <w:r>
        <w:rPr>
          <w:i/>
          <w:color w:val="6B6660"/>
          <w:sz w:val="19"/>
        </w:rPr>
        <w:t>The plan the Deployment Report then executes — the simulations that verify this design delivers the availability §2 requires.</w:t>
      </w:r>
    </w:p>
    <w:p>
      <w:pPr>
        <w:pStyle w:val="Heading3"/>
      </w:pPr>
      <w:r>
        <w:t>6.1 Failure simulation plan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454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701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Simulation</w:t>
            </w:r>
          </w:p>
        </w:tc>
        <w:tc>
          <w:tcPr>
            <w:tcW w:type="dxa" w:w="1984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551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Expected outcome</w:t>
            </w:r>
          </w:p>
        </w:tc>
        <w:tc>
          <w:tcPr>
            <w:tcW w:type="dxa" w:w="226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Verification</w:t>
            </w:r>
          </w:p>
        </w:tc>
      </w:tr>
      <w:tr>
        <w:tc>
          <w:tcPr>
            <w:tcW w:type="dxa" w:w="45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F1</w:t>
            </w:r>
          </w:p>
        </w:tc>
        <w:tc>
          <w:tcPr>
            <w:tcW w:type="dxa" w:w="170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98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</w:tbl>
    <w:p/>
    <w:p>
      <w:pPr>
        <w:pStyle w:val="Heading3"/>
      </w:pPr>
      <w:r>
        <w:t>6.2 Resize simulation plan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454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701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Simulation</w:t>
            </w:r>
          </w:p>
        </w:tc>
        <w:tc>
          <w:tcPr>
            <w:tcW w:type="dxa" w:w="1984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551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Expected outcome</w:t>
            </w:r>
          </w:p>
        </w:tc>
        <w:tc>
          <w:tcPr>
            <w:tcW w:type="dxa" w:w="226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Verification</w:t>
            </w:r>
          </w:p>
        </w:tc>
      </w:tr>
      <w:tr>
        <w:tc>
          <w:tcPr>
            <w:tcW w:type="dxa" w:w="45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R1</w:t>
            </w:r>
          </w:p>
        </w:tc>
        <w:tc>
          <w:tcPr>
            <w:tcW w:type="dxa" w:w="170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98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</w:tbl>
    <w:p/>
    <w:p>
      <w:pPr>
        <w:pStyle w:val="Heading3"/>
      </w:pPr>
      <w:r>
        <w:t>6.3 Verification criteria</w:t>
      </w:r>
    </w:p>
    <w:p>
      <w:pPr>
        <w:spacing w:after="120"/>
      </w:pPr>
      <w:r>
        <w:rPr>
          <w:i/>
          <w:color w:val="6B6660"/>
          <w:sz w:val="19"/>
        </w:rPr>
        <w:t>The success criteria — what evidence will demonstrate the design works as intended.</w:t>
      </w:r>
    </w:p>
    <w:p>
      <w:r>
        <w:rPr>
          <w:i/>
          <w:color w:val="6B6660"/>
        </w:rPr>
        <w:t>[ Write your response here ]</w:t>
      </w:r>
    </w:p>
    <w:p>
      <w:pPr>
        <w:pStyle w:val="Heading1"/>
      </w:pPr>
      <w:r>
        <w:t>7. Out of Scope</w:t>
      </w:r>
    </w:p>
    <w:p>
      <w:pPr>
        <w:spacing w:after="120"/>
      </w:pPr>
      <w:r>
        <w:rPr>
          <w:i/>
          <w:color w:val="6B6660"/>
          <w:sz w:val="19"/>
        </w:rPr>
        <w:t>What this design deliberately does not address, and why (e.g. cross-Region active-active DR, application-layer HA, items owned by another team).</w:t>
      </w:r>
    </w:p>
    <w:p>
      <w:r>
        <w:rPr>
          <w:i/>
          <w:color w:val="6B6660"/>
        </w:rPr>
        <w:t>[ Write your response here ]</w:t>
      </w:r>
    </w:p>
    <w:p>
      <w:pPr>
        <w:pStyle w:val="Heading1"/>
      </w:pPr>
      <w:r>
        <w:t>8. References</w:t>
      </w:r>
    </w:p>
    <w:p>
      <w:pPr>
        <w:spacing w:after="120"/>
      </w:pPr>
      <w:r>
        <w:rPr>
          <w:i/>
          <w:color w:val="6B6660"/>
          <w:sz w:val="19"/>
        </w:rPr>
        <w:t>The source documents and standards informing this design (requirements, baseline design, application specification, reference architectures, industry standards), with external sources cited with access dates.</w:t>
      </w:r>
    </w:p>
    <w:p>
      <w:r>
        <w:rPr>
          <w:i/>
          <w:color w:val="6B6660"/>
        </w:rPr>
        <w:t>[ Write your response here ]</w:t>
      </w:r>
    </w:p>
    <w:p>
      <w:pPr>
        <w:pStyle w:val="Heading1"/>
      </w:pPr>
      <w:r>
        <w:t>9. Review and Approval</w:t>
      </w:r>
    </w:p>
    <w:p>
      <w:pPr>
        <w:spacing w:after="120"/>
      </w:pPr>
      <w:r>
        <w:rPr>
          <w:i/>
          <w:color w:val="6B6660"/>
          <w:sz w:val="19"/>
        </w:rPr>
        <w:t>The completed design is submitted to the accepting authority / superior for review. The reviewer records their feedback below; the author records how each point was addressed; the reviewer then signs off on the design before it is implemented.</w:t>
      </w:r>
    </w:p>
    <w:p>
      <w:pPr>
        <w:pStyle w:val="Heading3"/>
      </w:pPr>
      <w:r>
        <w:t>9.1 Reviewer feedback and author response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454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3402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Reviewer feedback / comment</w:t>
            </w:r>
          </w:p>
        </w:tc>
        <w:tc>
          <w:tcPr>
            <w:tcW w:type="dxa" w:w="294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Author response</w:t>
            </w:r>
          </w:p>
        </w:tc>
        <w:tc>
          <w:tcPr>
            <w:tcW w:type="dxa" w:w="226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Resulting change</w:t>
            </w:r>
          </w:p>
        </w:tc>
      </w:tr>
      <w:tr>
        <w:tc>
          <w:tcPr>
            <w:tcW w:type="dxa" w:w="45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34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94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  <w:tr>
        <w:tc>
          <w:tcPr>
            <w:tcW w:type="dxa" w:w="45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34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94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  <w:tr>
        <w:tc>
          <w:tcPr>
            <w:tcW w:type="dxa" w:w="45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34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94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</w:tbl>
    <w:p/>
    <w:p>
      <w:pPr>
        <w:pStyle w:val="Heading3"/>
      </w:pPr>
      <w:r>
        <w:t>9.2 Sign-off</w:t>
      </w:r>
    </w:p>
    <w:p>
      <w:pPr>
        <w:spacing w:after="120"/>
      </w:pPr>
      <w:r>
        <w:rPr>
          <w:i/>
          <w:color w:val="6B6660"/>
          <w:sz w:val="19"/>
        </w:rPr>
        <w:t>The accepting authority records their decision. “Approved with comments” means the design proceeds subject to the changes recorded above.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260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1814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2041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Decision</w:t>
            </w:r>
          </w:p>
        </w:tc>
        <w:tc>
          <w:tcPr>
            <w:tcW w:type="dxa" w:w="1361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1247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Signature</w:t>
            </w:r>
          </w:p>
        </w:tc>
      </w:tr>
      <w:tr>
        <w:tc>
          <w:tcPr>
            <w:tcW w:type="dxa" w:w="260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Prepared by (author)</w:t>
            </w:r>
          </w:p>
        </w:tc>
        <w:tc>
          <w:tcPr>
            <w:tcW w:type="dxa" w:w="181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name, role ]</w:t>
            </w:r>
          </w:p>
        </w:tc>
        <w:tc>
          <w:tcPr>
            <w:tcW w:type="dxa" w:w="204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36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DD/MM/YYYY ]</w:t>
            </w:r>
          </w:p>
        </w:tc>
        <w:tc>
          <w:tcPr>
            <w:tcW w:type="dxa" w:w="1247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Reviewed and approved by (accepting authority)</w:t>
            </w:r>
          </w:p>
        </w:tc>
        <w:tc>
          <w:tcPr>
            <w:tcW w:type="dxa" w:w="181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name, role ]</w:t>
            </w:r>
          </w:p>
        </w:tc>
        <w:tc>
          <w:tcPr>
            <w:tcW w:type="dxa" w:w="204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Approved / Approved with comments / Rejected ]</w:t>
            </w:r>
          </w:p>
        </w:tc>
        <w:tc>
          <w:tcPr>
            <w:tcW w:type="dxa" w:w="136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DD/MM/YYYY ]</w:t>
            </w:r>
          </w:p>
        </w:tc>
        <w:tc>
          <w:tcPr>
            <w:tcW w:type="dxa" w:w="1247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835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5953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Document version</w:t>
            </w:r>
          </w:p>
        </w:tc>
        <w:tc>
          <w:tcPr>
            <w:tcW w:type="dxa" w:w="595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v1.0 ]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Author</w:t>
            </w:r>
          </w:p>
        </w:tc>
        <w:tc>
          <w:tcPr>
            <w:tcW w:type="dxa" w:w="595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Name, role ]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Engagement</w:t>
            </w:r>
          </w:p>
        </w:tc>
        <w:tc>
          <w:tcPr>
            <w:tcW w:type="dxa" w:w="595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Engagement name ]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Supersedes</w:t>
            </w:r>
          </w:p>
        </w:tc>
        <w:tc>
          <w:tcPr>
            <w:tcW w:type="dxa" w:w="595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the baseline design this replaces ]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Implemented by</w:t>
            </w:r>
          </w:p>
        </w:tc>
        <w:tc>
          <w:tcPr>
            <w:tcW w:type="dxa" w:w="595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the Deployment Report that builds this design ]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Approval status</w:t>
            </w:r>
          </w:p>
        </w:tc>
        <w:tc>
          <w:tcPr>
            <w:tcW w:type="dxa" w:w="595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Pending / Approved / Rejected with comments ]</w:t>
            </w:r>
          </w:p>
        </w:tc>
      </w:tr>
    </w:tbl>
    <w:p/>
    <w:sectPr w:rsidR="00FC693F" w:rsidRPr="0006063C" w:rsidSect="00034616">
      <w:headerReference w:type="default" r:id="rId13"/>
      <w:footerReference w:type="default" r:id="rId14"/>
      <w:pgSz w:w="11906" w:h="16838"/>
      <w:pgMar w:top="1474" w:right="1247" w:bottom="1247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bottom w:val="single" w:sz="6" w:space="4" w:color="1F5A5C"/>
      </w:pBdr>
      <w:tabs>
        <w:tab w:pos="9354" w:val="right"/>
      </w:tabs>
    </w:pPr>
    <w:r/>
    <w:r>
      <w:rPr>
        <w:b/>
        <w:color w:val="1F5A5C"/>
        <w:sz w:val="17"/>
      </w:rPr>
      <w:t>YAT College</w:t>
    </w:r>
    <w:r>
      <w:tab/>
    </w:r>
    <w:r>
      <w:rPr>
        <w:color w:val="6B6660"/>
        <w:sz w:val="17"/>
      </w:rPr>
      <w:t xml:space="preserve">Page </w:t>
    </w:r>
    <w:r>
      <w:fldChar w:fldCharType="begin"/>
      <w:instrText xml:space="preserve">PAGE</w:instrText>
      <w:fldChar w:fldCharType="separate"/>
    </w:r>
    <w:r>
      <w:fldChar w:fldCharType="end"/>
    </w:r>
    <w:r>
      <w:rPr>
        <w:color w:val="6B6660"/>
        <w:sz w:val="17"/>
      </w:rPr>
      <w:t xml:space="preserve"> of </w:t>
    </w:r>
    <w:r>
      <w:fldChar w:fldCharType="begin"/>
      <w:instrText xml:space="preserve">NUMPAGES</w:instrText>
      <w:fldChar w:fldCharType="separate"/>
    </w:r>
    <w: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bottom w:val="single" w:sz="6" w:space="4" w:color="1F5A5C"/>
      </w:pBdr>
      <w:tabs>
        <w:tab w:pos="9354" w:val="right"/>
      </w:tabs>
    </w:pPr>
    <w:r/>
    <w:r>
      <w:rPr>
        <w:b/>
        <w:color w:val="1F5A5C"/>
        <w:sz w:val="17"/>
      </w:rPr>
      <w:t>YAT College</w:t>
    </w:r>
    <w:r>
      <w:tab/>
    </w:r>
    <w:r>
      <w:rPr>
        <w:color w:val="6B6660"/>
        <w:sz w:val="17"/>
      </w:rPr>
      <w:t xml:space="preserve">Page </w:t>
    </w:r>
    <w:r>
      <w:fldChar w:fldCharType="begin"/>
      <w:instrText xml:space="preserve">PAGE</w:instrText>
      <w:fldChar w:fldCharType="separate"/>
    </w:r>
    <w:r>
      <w:fldChar w:fldCharType="end"/>
    </w:r>
    <w:r>
      <w:rPr>
        <w:color w:val="6B6660"/>
        <w:sz w:val="17"/>
      </w:rPr>
      <w:t xml:space="preserve"> of </w:t>
    </w:r>
    <w:r>
      <w:fldChar w:fldCharType="begin"/>
      <w:instrText xml:space="preserve">NUMPAGES</w:instrText>
      <w:fldChar w:fldCharType="separate"/>
    </w:r>
    <w:r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bottom w:val="single" w:sz="6" w:space="4" w:color="1F5A5C"/>
      </w:pBdr>
      <w:tabs>
        <w:tab w:pos="9354" w:val="right"/>
      </w:tabs>
    </w:pPr>
    <w:r/>
    <w:r>
      <w:rPr>
        <w:b/>
        <w:color w:val="1F5A5C"/>
        <w:sz w:val="17"/>
      </w:rPr>
      <w:t>YAT College</w:t>
    </w:r>
    <w:r>
      <w:tab/>
    </w:r>
    <w:r>
      <w:rPr>
        <w:color w:val="6B6660"/>
        <w:sz w:val="17"/>
      </w:rPr>
      <w:t xml:space="preserve">Page </w:t>
    </w:r>
    <w:r>
      <w:fldChar w:fldCharType="begin"/>
      <w:instrText xml:space="preserve">PAGE</w:instrText>
      <w:fldChar w:fldCharType="separate"/>
    </w:r>
    <w:r>
      <w:fldChar w:fldCharType="end"/>
    </w:r>
    <w:r>
      <w:rPr>
        <w:color w:val="6B6660"/>
        <w:sz w:val="17"/>
      </w:rPr>
      <w:t xml:space="preserve"> of </w:t>
    </w:r>
    <w:r>
      <w:fldChar w:fldCharType="begin"/>
      <w:instrText xml:space="preserve">NUMPAGES</w:instrText>
      <w:fldChar w:fldCharType="separate"/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hd w:val="clear" w:color="auto" w:fill="C99932"/>
    </w:pPr>
    <w:r>
      <w:rPr>
        <w:b/>
        <w:color w:val="1F2329"/>
        <w:sz w:val="17"/>
      </w:rPr>
      <w:t>This is a fictional organisation used as a case study in an educational context.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hd w:val="clear" w:color="auto" w:fill="C99932"/>
    </w:pPr>
    <w:r>
      <w:rPr>
        <w:b/>
        <w:color w:val="1F2329"/>
        <w:sz w:val="17"/>
      </w:rPr>
      <w:t>This is a fictional organisation used as a case study in an educational context.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hd w:val="clear" w:color="auto" w:fill="C99932"/>
    </w:pPr>
    <w:r>
      <w:rPr>
        <w:b/>
        <w:color w:val="1F2329"/>
        <w:sz w:val="17"/>
      </w:rPr>
      <w:t>This is a fictional organisation used as a case study in an educational context.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ource Sans 3" w:hAnsi="Source Sans 3" w:eastAsia="Source Sans 3"/>
      <w:color w:val="1F23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ource Sans 3" w:hAnsi="Source Sans 3" w:eastAsia="Source Sans 3"/>
      <w:b/>
      <w:bCs/>
      <w:color w:val="1F5A5C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ource Sans 3" w:hAnsi="Source Sans 3" w:eastAsia="Source Sans 3"/>
      <w:b/>
      <w:bCs/>
      <w:color w:val="1F5A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ource Sans 3" w:hAnsi="Source Sans 3" w:eastAsia="Source Sans 3"/>
      <w:b/>
      <w:bCs/>
      <w:color w:val="1F232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ource Sans 3" w:hAnsi="Source Sans 3" w:eastAsia="Source Sans 3"/>
      <w:b/>
      <w:color w:val="1F5A5C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