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ource Sans 3" w:hAnsi="Source Sans 3"/>
          <w:b/>
          <w:color w:val="1F5A5C"/>
          <w:sz w:val="68"/>
        </w:rPr>
        <w:t>YAT</w:t>
      </w:r>
      <w:r>
        <w:rPr>
          <w:b/>
          <w:color w:val="C5613B"/>
          <w:sz w:val="32"/>
        </w:rPr>
        <w:t xml:space="preserve">  COLLEGE</w:t>
      </w:r>
    </w:p>
    <w:p>
      <w:r>
        <w:rPr>
          <w:color w:val="6B6660"/>
          <w:sz w:val="18"/>
        </w:rPr>
        <w:t>YAT College  ·  175 Cremorne St, Cremorne VIC 3121</w:t>
      </w:r>
    </w:p>
    <w:p>
      <w:pPr>
        <w:pBdr>
          <w:bottom w:val="single" w:sz="12" w:space="4" w:color="1F5A5C"/>
        </w:pBdr>
      </w:pPr>
    </w:p>
    <w:p/>
    <w:p/>
    <w:p/>
    <w:p>
      <w:pPr>
        <w:pStyle w:val="Title"/>
      </w:pPr>
      <w:r>
        <w:t>Solution Design</w:t>
      </w:r>
    </w:p>
    <w:p>
      <w:r>
        <w:rPr>
          <w:b/>
          <w:color w:val="C5613B"/>
          <w:sz w:val="30"/>
        </w:rPr>
        <w:t>YAT Enrolline Cloud Architecture — Baseline Design</w:t>
      </w:r>
    </w:p>
    <w:p/>
    <w:tbl>
      <w:tblPr>
        <w:tblW w:type="auto" w:w="0"/>
        <w:tblLook w:firstColumn="1" w:firstRow="1" w:lastColumn="0" w:lastRow="0" w:noHBand="0" w:noVBand="1" w:val="04A0"/>
      </w:tblPr>
      <w:tblGrid>
        <w:gridCol w:w="4706"/>
        <w:gridCol w:w="4706"/>
      </w:tblGrid>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w:t>
            </w:r>
          </w:p>
        </w:tc>
        <w:tc>
          <w:tcPr>
            <w:tcW w:type="dxa" w:w="6803"/>
            <w:tcBorders>
              <w:top w:val="single" w:sz="4" w:space="0" w:color="E4DED3"/>
              <w:left w:val="single" w:sz="4" w:space="0" w:color="E4DED3"/>
              <w:bottom w:val="single" w:sz="4" w:space="0" w:color="E4DED3"/>
              <w:right w:val="single" w:sz="4" w:space="0" w:color="E4DED3"/>
            </w:tcBorders>
          </w:tcPr>
          <w:p>
            <w:r>
              <w:rPr>
                <w:sz w:val="20"/>
              </w:rPr>
              <w:t>YAT Enrolline Cloud Migration — Foundation Build</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Document type</w:t>
            </w:r>
          </w:p>
        </w:tc>
        <w:tc>
          <w:tcPr>
            <w:tcW w:type="dxa" w:w="6803"/>
            <w:tcBorders>
              <w:top w:val="single" w:sz="4" w:space="0" w:color="E4DED3"/>
              <w:left w:val="single" w:sz="4" w:space="0" w:color="E4DED3"/>
              <w:bottom w:val="single" w:sz="4" w:space="0" w:color="E4DED3"/>
              <w:right w:val="single" w:sz="4" w:space="0" w:color="E4DED3"/>
            </w:tcBorders>
          </w:tcPr>
          <w:p>
            <w:r>
              <w:rPr>
                <w:sz w:val="20"/>
              </w:rPr>
              <w:t>Technical design (Solution Design)</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Version</w:t>
            </w:r>
          </w:p>
        </w:tc>
        <w:tc>
          <w:tcPr>
            <w:tcW w:type="dxa" w:w="6803"/>
            <w:tcBorders>
              <w:top w:val="single" w:sz="4" w:space="0" w:color="E4DED3"/>
              <w:left w:val="single" w:sz="4" w:space="0" w:color="E4DED3"/>
              <w:bottom w:val="single" w:sz="4" w:space="0" w:color="E4DED3"/>
              <w:right w:val="single" w:sz="4" w:space="0" w:color="E4DED3"/>
            </w:tcBorders>
          </w:tcPr>
          <w:p>
            <w:r>
              <w:rPr>
                <w:sz w:val="20"/>
              </w:rPr>
              <w:t>v1.0 — Approved for implementation</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Authored by</w:t>
            </w:r>
          </w:p>
        </w:tc>
        <w:tc>
          <w:tcPr>
            <w:tcW w:type="dxa" w:w="6803"/>
            <w:tcBorders>
              <w:top w:val="single" w:sz="4" w:space="0" w:color="E4DED3"/>
              <w:left w:val="single" w:sz="4" w:space="0" w:color="E4DED3"/>
              <w:bottom w:val="single" w:sz="4" w:space="0" w:color="E4DED3"/>
              <w:right w:val="single" w:sz="4" w:space="0" w:color="E4DED3"/>
            </w:tcBorders>
          </w:tcPr>
          <w:p>
            <w:r>
              <w:rPr>
                <w:sz w:val="20"/>
              </w:rPr>
              <w:t>MTS Senior Architecture Team, in consultation with YAT ICT and the YAT Registrar</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Approved by</w:t>
            </w:r>
          </w:p>
        </w:tc>
        <w:tc>
          <w:tcPr>
            <w:tcW w:type="dxa" w:w="6803"/>
            <w:tcBorders>
              <w:top w:val="single" w:sz="4" w:space="0" w:color="E4DED3"/>
              <w:left w:val="single" w:sz="4" w:space="0" w:color="E4DED3"/>
              <w:bottom w:val="single" w:sz="4" w:space="0" w:color="E4DED3"/>
              <w:right w:val="single" w:sz="4" w:space="0" w:color="E4DED3"/>
            </w:tcBorders>
          </w:tcPr>
          <w:p>
            <w:r>
              <w:rPr>
                <w:sz w:val="20"/>
              </w:rPr>
              <w:t>Pat Lin (MTS Senior Consultant) · Sam Walker (YAT ICT Manager)</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Status</w:t>
            </w:r>
          </w:p>
        </w:tc>
        <w:tc>
          <w:tcPr>
            <w:tcW w:type="dxa" w:w="6803"/>
            <w:tcBorders>
              <w:top w:val="single" w:sz="4" w:space="0" w:color="E4DED3"/>
              <w:left w:val="single" w:sz="4" w:space="0" w:color="E4DED3"/>
              <w:bottom w:val="single" w:sz="4" w:space="0" w:color="E4DED3"/>
              <w:right w:val="single" w:sz="4" w:space="0" w:color="E4DED3"/>
            </w:tcBorders>
          </w:tcPr>
          <w:p>
            <w:r>
              <w:rPr>
                <w:sz w:val="20"/>
              </w:rPr>
              <w:t>As built — this is the deployed environment</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Classification</w:t>
            </w:r>
          </w:p>
        </w:tc>
        <w:tc>
          <w:tcPr>
            <w:tcW w:type="dxa" w:w="6803"/>
            <w:tcBorders>
              <w:top w:val="single" w:sz="4" w:space="0" w:color="E4DED3"/>
              <w:left w:val="single" w:sz="4" w:space="0" w:color="E4DED3"/>
              <w:bottom w:val="single" w:sz="4" w:space="0" w:color="E4DED3"/>
              <w:right w:val="single" w:sz="4" w:space="0" w:color="E4DED3"/>
            </w:tcBorders>
          </w:tcPr>
          <w:p>
            <w:r>
              <w:rPr>
                <w:sz w:val="20"/>
              </w:rPr>
              <w:t>Internal — YAT ICT, Student Administration, and MTS personnel on signed MSA</w:t>
            </w:r>
          </w:p>
        </w:tc>
      </w:tr>
    </w:tbl>
    <w:p>
      <w:pPr>
        <w:sectPr>
          <w:headerReference w:type="default" r:id="rId9"/>
          <w:footerReference w:type="default" r:id="rId10"/>
          <w:pgSz w:w="11906" w:h="16838"/>
          <w:pgMar w:top="1474" w:right="1247" w:bottom="1247" w:left="1247" w:header="567" w:footer="567" w:gutter="0"/>
          <w:cols w:space="720"/>
          <w:docGrid w:linePitch="360"/>
        </w:sectPr>
      </w:pPr>
    </w:p>
    <w:p>
      <w:pPr>
        <w:pStyle w:val="Heading1"/>
      </w:pPr>
      <w:r>
        <w:t>Contents</w:t>
      </w:r>
    </w:p>
    <w:p>
      <w:r>
        <w:fldChar w:fldCharType="begin"/>
        <w:instrText xml:space="preserve">TOC \o "1-3" \h \z \u</w:instrText>
        <w:fldChar w:fldCharType="separate"/>
      </w:r>
      <w:r>
        <w:rPr>
          <w:color w:val="6B6660"/>
        </w:rPr>
        <w:t>Right-click and choose “Update Field” to build the table of contents.</w:t>
      </w:r>
      <w:r>
        <w:fldChar w:fldCharType="end"/>
      </w:r>
    </w:p>
    <w:p>
      <w:pPr>
        <w:sectPr>
          <w:headerReference w:type="default" r:id="rId11"/>
          <w:footerReference w:type="default" r:id="rId12"/>
          <w:pgSz w:w="11906" w:h="16838"/>
          <w:pgMar w:top="1474" w:right="1247" w:bottom="1247" w:left="1247" w:header="567" w:footer="567" w:gutter="0"/>
          <w:cols w:space="720"/>
          <w:docGrid w:linePitch="360"/>
        </w:sectPr>
      </w:pPr>
    </w:p>
    <w:p>
      <w:pPr>
        <w:pStyle w:val="Heading1"/>
      </w:pPr>
      <w:r>
        <w:t>1. Purpose and Scope</w:t>
      </w:r>
    </w:p>
    <w:p>
      <w:r>
        <w:rPr>
          <w:sz w:val="21"/>
        </w:rPr>
        <w:t>This document specifies the baseline AWS architecture MTS implemented as the foundation build phase of the YAT Enrolline cloud migration, for the student records and enrolment management system. The design stops at “infrastructure ready for application deployment”: the EC2 instance is provisioned with the OS, the RDS instance with an empty PostgreSQL engine, the S3 bucket empty, and the load balancer with placeholder health checks — no application binaries or student data were placed by the MTS build.</w:t>
      </w:r>
    </w:p>
    <w:p>
      <w:r>
        <w:rPr>
          <w:sz w:val="21"/>
        </w:rPr>
        <w:t>It is the **as-built record of the current environment**, and the starting point for any onward improvement of that environment.</w:t>
      </w:r>
    </w:p>
    <w:p>
      <w:pPr>
        <w:pStyle w:val="Heading3"/>
      </w:pPr>
      <w:r>
        <w:t>In scope of this design</w:t>
      </w:r>
    </w:p>
    <w:p>
      <w:pPr>
        <w:pStyle w:val="ListBullet"/>
      </w:pPr>
      <w:r>
        <w:rPr>
          <w:sz w:val="21"/>
        </w:rPr>
        <w:t>The production cloud foundation for the Enrolline student records application.</w:t>
      </w:r>
    </w:p>
    <w:p>
      <w:pPr>
        <w:pStyle w:val="ListBullet"/>
      </w:pPr>
      <w:r>
        <w:rPr>
          <w:sz w:val="21"/>
        </w:rPr>
        <w:t>All compute, networking, identity, storage, database, autoscaling and baseline monitoring needed to run Enrolline as a staff-facing workload in AWS.</w:t>
      </w:r>
    </w:p>
    <w:p>
      <w:pPr>
        <w:pStyle w:val="ListBullet"/>
      </w:pPr>
      <w:r>
        <w:rPr>
          <w:sz w:val="21"/>
        </w:rPr>
        <w:t>An Amazon S3 document store for scanned student attachments, which are a working part of the record rather than an archive.</w:t>
      </w:r>
    </w:p>
    <w:p>
      <w:pPr>
        <w:pStyle w:val="ListBullet"/>
      </w:pPr>
      <w:r>
        <w:rPr>
          <w:sz w:val="21"/>
        </w:rPr>
        <w:t>Single-region, single-Availability-Zone deployment in ap-southeast-2 (Sydney).</w:t>
      </w:r>
    </w:p>
    <w:p>
      <w:pPr>
        <w:spacing w:before="40" w:after="160"/>
        <w:ind w:left="227"/>
      </w:pPr>
      <w:r>
        <w:rPr>
          <w:b/>
          <w:color w:val="C5613B"/>
          <w:sz w:val="19"/>
        </w:rPr>
        <w:t xml:space="preserve">Building this in a lab </w:t>
      </w:r>
      <w:r>
        <w:rPr>
          <w:i/>
          <w:color w:val="C5613B"/>
          <w:sz w:val="19"/>
        </w:rPr>
        <w:t>the design calls for ap-southeast-2 (Sydney). If you are building this in an AWS Academy Learner Lab, deploy to whichever region that environment gives you — us-east-1 — and treat it as standing in for Sydney throughout. That is acceptable.</w:t>
      </w:r>
    </w:p>
    <w:p>
      <w:pPr>
        <w:pStyle w:val="Heading3"/>
      </w:pPr>
      <w:r>
        <w:t>Out of scope — deferred to the follow-on HA design phase</w:t>
      </w:r>
    </w:p>
    <w:p>
      <w:pPr>
        <w:pStyle w:val="ListBullet"/>
      </w:pPr>
      <w:r>
        <w:rPr>
          <w:sz w:val="21"/>
        </w:rPr>
        <w:t>High-availability hardening (Multi-AZ database, cross-AZ compute resilience, failure-simulation testing).</w:t>
      </w:r>
    </w:p>
    <w:p>
      <w:pPr>
        <w:pStyle w:val="ListBullet"/>
      </w:pPr>
      <w:r>
        <w:rPr>
          <w:sz w:val="21"/>
        </w:rPr>
        <w:t>Disaster recovery to a second AWS region; DR runbook and tabletop testing.</w:t>
      </w:r>
    </w:p>
    <w:p>
      <w:pPr>
        <w:pStyle w:val="ListBullet"/>
      </w:pPr>
      <w:r>
        <w:rPr>
          <w:sz w:val="21"/>
        </w:rPr>
        <w:t>Capacity scheduling against the academic calendar.</w:t>
      </w:r>
    </w:p>
    <w:p>
      <w:pPr>
        <w:pStyle w:val="ListBullet"/>
      </w:pPr>
      <w:r>
        <w:rPr>
          <w:sz w:val="21"/>
        </w:rPr>
        <w:t>Application re-platforming (Enrolline remains Amazon Linux + PostgreSQL).</w:t>
      </w:r>
    </w:p>
    <w:p>
      <w:pPr>
        <w:pStyle w:val="Heading3"/>
      </w:pPr>
      <w:r>
        <w:t>Out of MTS scope entirely — YAT ICT responsibility</w:t>
      </w:r>
    </w:p>
    <w:p>
      <w:pPr>
        <w:pStyle w:val="ListBullet"/>
      </w:pPr>
      <w:r>
        <w:rPr>
          <w:sz w:val="21"/>
        </w:rPr>
        <w:t>Enrolline application installation onto the EC2 instance(s) after handover.</w:t>
      </w:r>
    </w:p>
    <w:p>
      <w:pPr>
        <w:pStyle w:val="ListBullet"/>
      </w:pPr>
      <w:r>
        <w:rPr>
          <w:sz w:val="21"/>
        </w:rPr>
        <w:t>Database migration (extract from the on-premises database, load into RDS for PostgreSQL).</w:t>
      </w:r>
    </w:p>
    <w:p>
      <w:pPr>
        <w:pStyle w:val="ListBullet"/>
      </w:pPr>
      <w:r>
        <w:rPr>
          <w:sz w:val="21"/>
        </w:rPr>
        <w:t>Migration of the scanned document library into the S3 store.</w:t>
      </w:r>
    </w:p>
    <w:p>
      <w:pPr>
        <w:pStyle w:val="ListBullet"/>
      </w:pPr>
      <w:r>
        <w:rPr>
          <w:sz w:val="21"/>
        </w:rPr>
        <w:t>Cutover — DNS switch, parallel running, decommissioning, user redirection (avoiding intake and census windows).</w:t>
      </w:r>
    </w:p>
    <w:p>
      <w:pPr>
        <w:pStyle w:val="ListBullet"/>
      </w:pPr>
      <w:r>
        <w:rPr>
          <w:sz w:val="21"/>
        </w:rPr>
        <w:t>Organisational change management — CAB approvals, communications, training, post-cutover support.</w:t>
      </w:r>
    </w:p>
    <w:p>
      <w:pPr>
        <w:pStyle w:val="Heading1"/>
      </w:pPr>
      <w:r>
        <w:t>2. Design Inputs and Requirements</w:t>
      </w:r>
    </w:p>
    <w:p>
      <w:pPr>
        <w:pStyle w:val="Heading3"/>
      </w:pPr>
      <w:r>
        <w:t>2.1 Inputs</w:t>
      </w:r>
    </w:p>
    <w:p>
      <w:pPr>
        <w:pStyle w:val="ListBullet"/>
      </w:pPr>
      <w:r>
        <w:rPr>
          <w:sz w:val="21"/>
        </w:rPr>
        <w:t>Enrolline Application Specification — functions, user load, data, integrations, SLAs, data residency.</w:t>
      </w:r>
    </w:p>
    <w:p>
      <w:pPr>
        <w:pStyle w:val="ListBullet"/>
      </w:pPr>
      <w:r>
        <w:rPr>
          <w:sz w:val="21"/>
        </w:rPr>
        <w:t>Enrolline Infrastructure Specifications — current operational state, utilisation, growth.</w:t>
      </w:r>
    </w:p>
    <w:p>
      <w:pPr>
        <w:pStyle w:val="ListBullet"/>
      </w:pPr>
      <w:r>
        <w:rPr>
          <w:sz w:val="21"/>
        </w:rPr>
        <w:t>Engagement Role Brief and Consultation Notes — engagement scope; OS, application and database preservation.</w:t>
      </w:r>
    </w:p>
    <w:p>
      <w:pPr>
        <w:pStyle w:val="ListBullet"/>
      </w:pPr>
      <w:r>
        <w:rPr>
          <w:sz w:val="21"/>
        </w:rPr>
        <w:t>YAT academic calendar — the intake enrolment windows and census dates that fix the Restricted Period.</w:t>
      </w:r>
    </w:p>
    <w:p>
      <w:pPr>
        <w:pStyle w:val="Heading3"/>
      </w:pPr>
      <w:r>
        <w:t>2.2 Requirements the design must meet</w:t>
      </w:r>
    </w:p>
    <w:tbl>
      <w:tblPr>
        <w:tblW w:type="auto" w:w="0"/>
        <w:jc w:val="center"/>
        <w:tblLook w:firstColumn="1" w:firstRow="1" w:lastColumn="0" w:lastRow="0" w:noHBand="0" w:noVBand="1" w:val="04A0"/>
      </w:tblPr>
      <w:tblGrid>
        <w:gridCol w:w="4706"/>
        <w:gridCol w:w="4706"/>
      </w:tblGrid>
      <w:tr>
        <w:tc>
          <w:tcPr>
            <w:tcW w:type="dxa" w:w="425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Requirement</w:t>
            </w:r>
          </w:p>
        </w:tc>
        <w:tc>
          <w:tcPr>
            <w:tcW w:type="dxa" w:w="510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Target / note</w:t>
            </w:r>
          </w:p>
        </w:tc>
      </w:tr>
      <w:tr>
        <w:tc>
          <w:tcPr>
            <w:tcW w:type="dxa" w:w="4252"/>
            <w:tcBorders>
              <w:top w:val="single" w:sz="4" w:space="0" w:color="E4DED3"/>
              <w:left w:val="single" w:sz="4" w:space="0" w:color="E4DED3"/>
              <w:bottom w:val="single" w:sz="4" w:space="0" w:color="E4DED3"/>
              <w:right w:val="single" w:sz="4" w:space="0" w:color="E4DED3"/>
            </w:tcBorders>
          </w:tcPr>
          <w:p>
            <w:r>
              <w:rPr>
                <w:b/>
                <w:sz w:val="18"/>
              </w:rPr>
              <w:t>Availability (business hours, outside intake)</w:t>
            </w:r>
          </w:p>
        </w:tc>
        <w:tc>
          <w:tcPr>
            <w:tcW w:type="dxa" w:w="5102"/>
            <w:tcBorders>
              <w:top w:val="single" w:sz="4" w:space="0" w:color="E4DED3"/>
              <w:left w:val="single" w:sz="4" w:space="0" w:color="E4DED3"/>
              <w:bottom w:val="single" w:sz="4" w:space="0" w:color="E4DED3"/>
              <w:right w:val="single" w:sz="4" w:space="0" w:color="E4DED3"/>
            </w:tcBorders>
          </w:tcPr>
          <w:p>
            <w:pPr>
              <w:jc w:val="right"/>
            </w:pPr>
            <w:r>
              <w:rPr>
                <w:sz w:val="18"/>
              </w:rPr>
              <w:t>99.5%</w:t>
            </w:r>
          </w:p>
        </w:tc>
      </w:tr>
      <w:tr>
        <w:tc>
          <w:tcPr>
            <w:tcW w:type="dxa" w:w="4252"/>
            <w:tcBorders>
              <w:top w:val="single" w:sz="4" w:space="0" w:color="E4DED3"/>
              <w:left w:val="single" w:sz="4" w:space="0" w:color="E4DED3"/>
              <w:bottom w:val="single" w:sz="4" w:space="0" w:color="E4DED3"/>
              <w:right w:val="single" w:sz="4" w:space="0" w:color="E4DED3"/>
            </w:tcBorders>
          </w:tcPr>
          <w:p>
            <w:r>
              <w:rPr>
                <w:b/>
                <w:sz w:val="18"/>
              </w:rPr>
              <w:t>Availability (intake enrolment window)</w:t>
            </w:r>
          </w:p>
        </w:tc>
        <w:tc>
          <w:tcPr>
            <w:tcW w:type="dxa" w:w="5102"/>
            <w:tcBorders>
              <w:top w:val="single" w:sz="4" w:space="0" w:color="E4DED3"/>
              <w:left w:val="single" w:sz="4" w:space="0" w:color="E4DED3"/>
              <w:bottom w:val="single" w:sz="4" w:space="0" w:color="E4DED3"/>
              <w:right w:val="single" w:sz="4" w:space="0" w:color="E4DED3"/>
            </w:tcBorders>
          </w:tcPr>
          <w:p>
            <w:r>
              <w:rPr>
                <w:sz w:val="18"/>
              </w:rPr>
              <w:t>99.9% expected by the business</w:t>
            </w:r>
          </w:p>
        </w:tc>
      </w:tr>
      <w:tr>
        <w:tc>
          <w:tcPr>
            <w:tcW w:type="dxa" w:w="4252"/>
            <w:tcBorders>
              <w:top w:val="single" w:sz="4" w:space="0" w:color="E4DED3"/>
              <w:left w:val="single" w:sz="4" w:space="0" w:color="E4DED3"/>
              <w:bottom w:val="single" w:sz="4" w:space="0" w:color="E4DED3"/>
              <w:right w:val="single" w:sz="4" w:space="0" w:color="E4DED3"/>
            </w:tcBorders>
          </w:tcPr>
          <w:p>
            <w:r>
              <w:rPr>
                <w:b/>
                <w:sz w:val="18"/>
              </w:rPr>
              <w:t>RPO</w:t>
            </w:r>
          </w:p>
        </w:tc>
        <w:tc>
          <w:tcPr>
            <w:tcW w:type="dxa" w:w="5102"/>
            <w:tcBorders>
              <w:top w:val="single" w:sz="4" w:space="0" w:color="E4DED3"/>
              <w:left w:val="single" w:sz="4" w:space="0" w:color="E4DED3"/>
              <w:bottom w:val="single" w:sz="4" w:space="0" w:color="E4DED3"/>
              <w:right w:val="single" w:sz="4" w:space="0" w:color="E4DED3"/>
            </w:tcBorders>
          </w:tcPr>
          <w:p>
            <w:r>
              <w:rPr>
                <w:sz w:val="18"/>
              </w:rPr>
              <w:t>≤ 1 hour</w:t>
            </w:r>
          </w:p>
        </w:tc>
      </w:tr>
      <w:tr>
        <w:tc>
          <w:tcPr>
            <w:tcW w:type="dxa" w:w="4252"/>
            <w:tcBorders>
              <w:top w:val="single" w:sz="4" w:space="0" w:color="E4DED3"/>
              <w:left w:val="single" w:sz="4" w:space="0" w:color="E4DED3"/>
              <w:bottom w:val="single" w:sz="4" w:space="0" w:color="E4DED3"/>
              <w:right w:val="single" w:sz="4" w:space="0" w:color="E4DED3"/>
            </w:tcBorders>
          </w:tcPr>
          <w:p>
            <w:r>
              <w:rPr>
                <w:b/>
                <w:sz w:val="18"/>
              </w:rPr>
              <w:t>RTO</w:t>
            </w:r>
          </w:p>
        </w:tc>
        <w:tc>
          <w:tcPr>
            <w:tcW w:type="dxa" w:w="5102"/>
            <w:tcBorders>
              <w:top w:val="single" w:sz="4" w:space="0" w:color="E4DED3"/>
              <w:left w:val="single" w:sz="4" w:space="0" w:color="E4DED3"/>
              <w:bottom w:val="single" w:sz="4" w:space="0" w:color="E4DED3"/>
              <w:right w:val="single" w:sz="4" w:space="0" w:color="E4DED3"/>
            </w:tcBorders>
          </w:tcPr>
          <w:p>
            <w:r>
              <w:rPr>
                <w:sz w:val="18"/>
              </w:rPr>
              <w:t>≤ 2 hours</w:t>
            </w:r>
          </w:p>
        </w:tc>
      </w:tr>
      <w:tr>
        <w:tc>
          <w:tcPr>
            <w:tcW w:type="dxa" w:w="4252"/>
            <w:tcBorders>
              <w:top w:val="single" w:sz="4" w:space="0" w:color="E4DED3"/>
              <w:left w:val="single" w:sz="4" w:space="0" w:color="E4DED3"/>
              <w:bottom w:val="single" w:sz="4" w:space="0" w:color="E4DED3"/>
              <w:right w:val="single" w:sz="4" w:space="0" w:color="E4DED3"/>
            </w:tcBorders>
          </w:tcPr>
          <w:p>
            <w:r>
              <w:rPr>
                <w:b/>
                <w:sz w:val="18"/>
              </w:rPr>
              <w:t>Concurrency (typical / intake peak)</w:t>
            </w:r>
          </w:p>
        </w:tc>
        <w:tc>
          <w:tcPr>
            <w:tcW w:type="dxa" w:w="5102"/>
            <w:tcBorders>
              <w:top w:val="single" w:sz="4" w:space="0" w:color="E4DED3"/>
              <w:left w:val="single" w:sz="4" w:space="0" w:color="E4DED3"/>
              <w:bottom w:val="single" w:sz="4" w:space="0" w:color="E4DED3"/>
              <w:right w:val="single" w:sz="4" w:space="0" w:color="E4DED3"/>
            </w:tcBorders>
          </w:tcPr>
          <w:p>
            <w:r>
              <w:rPr>
                <w:sz w:val="18"/>
              </w:rPr>
              <w:t>25–40 / 90–110</w:t>
            </w:r>
          </w:p>
        </w:tc>
      </w:tr>
      <w:tr>
        <w:tc>
          <w:tcPr>
            <w:tcW w:type="dxa" w:w="4252"/>
            <w:tcBorders>
              <w:top w:val="single" w:sz="4" w:space="0" w:color="E4DED3"/>
              <w:left w:val="single" w:sz="4" w:space="0" w:color="E4DED3"/>
              <w:bottom w:val="single" w:sz="4" w:space="0" w:color="E4DED3"/>
              <w:right w:val="single" w:sz="4" w:space="0" w:color="E4DED3"/>
            </w:tcBorders>
          </w:tcPr>
          <w:p>
            <w:r>
              <w:rPr>
                <w:b/>
                <w:sz w:val="18"/>
              </w:rPr>
              <w:t>Data residency</w:t>
            </w:r>
          </w:p>
        </w:tc>
        <w:tc>
          <w:tcPr>
            <w:tcW w:type="dxa" w:w="5102"/>
            <w:tcBorders>
              <w:top w:val="single" w:sz="4" w:space="0" w:color="E4DED3"/>
              <w:left w:val="single" w:sz="4" w:space="0" w:color="E4DED3"/>
              <w:bottom w:val="single" w:sz="4" w:space="0" w:color="E4DED3"/>
              <w:right w:val="single" w:sz="4" w:space="0" w:color="E4DED3"/>
            </w:tcBorders>
          </w:tcPr>
          <w:p>
            <w:r>
              <w:rPr>
                <w:sz w:val="18"/>
              </w:rPr>
              <w:t>Australian region only — Privacy Act 1988, APP 8</w:t>
            </w:r>
          </w:p>
        </w:tc>
      </w:tr>
      <w:tr>
        <w:tc>
          <w:tcPr>
            <w:tcW w:type="dxa" w:w="4252"/>
            <w:tcBorders>
              <w:top w:val="single" w:sz="4" w:space="0" w:color="E4DED3"/>
              <w:left w:val="single" w:sz="4" w:space="0" w:color="E4DED3"/>
              <w:bottom w:val="single" w:sz="4" w:space="0" w:color="E4DED3"/>
              <w:right w:val="single" w:sz="4" w:space="0" w:color="E4DED3"/>
            </w:tcBorders>
          </w:tcPr>
          <w:p>
            <w:r>
              <w:rPr>
                <w:b/>
                <w:sz w:val="18"/>
              </w:rPr>
              <w:t>Student-record retention</w:t>
            </w:r>
          </w:p>
        </w:tc>
        <w:tc>
          <w:tcPr>
            <w:tcW w:type="dxa" w:w="5102"/>
            <w:tcBorders>
              <w:top w:val="single" w:sz="4" w:space="0" w:color="E4DED3"/>
              <w:left w:val="single" w:sz="4" w:space="0" w:color="E4DED3"/>
              <w:bottom w:val="single" w:sz="4" w:space="0" w:color="E4DED3"/>
              <w:right w:val="single" w:sz="4" w:space="0" w:color="E4DED3"/>
            </w:tcBorders>
          </w:tcPr>
          <w:p>
            <w:r>
              <w:rPr>
                <w:sz w:val="18"/>
              </w:rPr>
              <w:t>30 years (NVR Standards / ASQA)</w:t>
            </w:r>
          </w:p>
        </w:tc>
      </w:tr>
      <w:tr>
        <w:tc>
          <w:tcPr>
            <w:tcW w:type="dxa" w:w="4252"/>
            <w:tcBorders>
              <w:top w:val="single" w:sz="4" w:space="0" w:color="E4DED3"/>
              <w:left w:val="single" w:sz="4" w:space="0" w:color="E4DED3"/>
              <w:bottom w:val="single" w:sz="4" w:space="0" w:color="E4DED3"/>
              <w:right w:val="single" w:sz="4" w:space="0" w:color="E4DED3"/>
            </w:tcBorders>
          </w:tcPr>
          <w:p>
            <w:r>
              <w:rPr>
                <w:b/>
                <w:sz w:val="18"/>
              </w:rPr>
              <w:t>Application preservation</w:t>
            </w:r>
          </w:p>
        </w:tc>
        <w:tc>
          <w:tcPr>
            <w:tcW w:type="dxa" w:w="5102"/>
            <w:tcBorders>
              <w:top w:val="single" w:sz="4" w:space="0" w:color="E4DED3"/>
              <w:left w:val="single" w:sz="4" w:space="0" w:color="E4DED3"/>
              <w:bottom w:val="single" w:sz="4" w:space="0" w:color="E4DED3"/>
              <w:right w:val="single" w:sz="4" w:space="0" w:color="E4DED3"/>
            </w:tcBorders>
          </w:tcPr>
          <w:p>
            <w:r>
              <w:rPr>
                <w:sz w:val="18"/>
              </w:rPr>
              <w:t>No change to Enrolline; PostgreSQL retained</w:t>
            </w:r>
          </w:p>
        </w:tc>
      </w:tr>
    </w:tbl>
    <w:p/>
    <w:p>
      <w:pPr>
        <w:pStyle w:val="Heading1"/>
      </w:pPr>
      <w:r>
        <w:t>3. Review of Existing Architecture</w:t>
      </w:r>
    </w:p>
    <w:p>
      <w:r>
        <w:rPr>
          <w:sz w:val="21"/>
        </w:rPr>
        <w:t>Enrolline previously ran on a single on-premises server co-locating the application and its database, with scanned attachments on a file share. Its single points of failure were the server itself, its storage, and the campus power and network feeding it. Recovery depended on nightly tape and was never tested against the intake calendar.</w:t>
      </w:r>
    </w:p>
    <w:p>
      <w:pPr>
        <w:pStyle w:val="Heading1"/>
      </w:pPr>
      <w:r>
        <w:t>4. Architecture Design</w:t>
      </w:r>
    </w:p>
    <w:p>
      <w:pPr>
        <w:pStyle w:val="Heading3"/>
      </w:pPr>
      <w:r>
        <w:t>4.1 Assumptions and constraints</w:t>
      </w:r>
    </w:p>
    <w:tbl>
      <w:tblPr>
        <w:tblW w:type="auto" w:w="0"/>
        <w:jc w:val="center"/>
        <w:tblLook w:firstColumn="1" w:firstRow="1" w:lastColumn="0" w:lastRow="0" w:noHBand="0" w:noVBand="1" w:val="04A0"/>
      </w:tblPr>
      <w:tblGrid>
        <w:gridCol w:w="3137"/>
        <w:gridCol w:w="3137"/>
        <w:gridCol w:w="3137"/>
      </w:tblGrid>
      <w:tr>
        <w:tc>
          <w:tcPr>
            <w:tcW w:type="dxa" w:w="85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w:t>
            </w:r>
          </w:p>
        </w:tc>
        <w:tc>
          <w:tcPr>
            <w:tcW w:type="dxa" w:w="5669"/>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Assumption / constraint</w:t>
            </w:r>
          </w:p>
        </w:tc>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Source</w:t>
            </w:r>
          </w:p>
        </w:tc>
      </w:tr>
      <w:tr>
        <w:tc>
          <w:tcPr>
            <w:tcW w:type="dxa" w:w="850"/>
            <w:tcBorders>
              <w:top w:val="single" w:sz="4" w:space="0" w:color="E4DED3"/>
              <w:left w:val="single" w:sz="4" w:space="0" w:color="E4DED3"/>
              <w:bottom w:val="single" w:sz="4" w:space="0" w:color="E4DED3"/>
              <w:right w:val="single" w:sz="4" w:space="0" w:color="E4DED3"/>
            </w:tcBorders>
          </w:tcPr>
          <w:p>
            <w:r>
              <w:rPr>
                <w:b/>
                <w:sz w:val="18"/>
              </w:rPr>
              <w:t>A1</w:t>
            </w:r>
          </w:p>
        </w:tc>
        <w:tc>
          <w:tcPr>
            <w:tcW w:type="dxa" w:w="5669"/>
            <w:tcBorders>
              <w:top w:val="single" w:sz="4" w:space="0" w:color="E4DED3"/>
              <w:left w:val="single" w:sz="4" w:space="0" w:color="E4DED3"/>
              <w:bottom w:val="single" w:sz="4" w:space="0" w:color="E4DED3"/>
              <w:right w:val="single" w:sz="4" w:space="0" w:color="E4DED3"/>
            </w:tcBorders>
          </w:tcPr>
          <w:p>
            <w:r>
              <w:rPr>
                <w:sz w:val="18"/>
              </w:rPr>
              <w:t>Enrolline runs unchanged on Amazon Linux 2023 with PostgreSQL</w:t>
            </w:r>
          </w:p>
        </w:tc>
        <w:tc>
          <w:tcPr>
            <w:tcW w:type="dxa" w:w="2835"/>
            <w:tcBorders>
              <w:top w:val="single" w:sz="4" w:space="0" w:color="E4DED3"/>
              <w:left w:val="single" w:sz="4" w:space="0" w:color="E4DED3"/>
              <w:bottom w:val="single" w:sz="4" w:space="0" w:color="E4DED3"/>
              <w:right w:val="single" w:sz="4" w:space="0" w:color="E4DED3"/>
            </w:tcBorders>
          </w:tcPr>
          <w:p>
            <w:r>
              <w:rPr>
                <w:sz w:val="18"/>
              </w:rPr>
              <w:t>Role Brief</w:t>
            </w:r>
          </w:p>
        </w:tc>
      </w:tr>
      <w:tr>
        <w:tc>
          <w:tcPr>
            <w:tcW w:type="dxa" w:w="850"/>
            <w:tcBorders>
              <w:top w:val="single" w:sz="4" w:space="0" w:color="E4DED3"/>
              <w:left w:val="single" w:sz="4" w:space="0" w:color="E4DED3"/>
              <w:bottom w:val="single" w:sz="4" w:space="0" w:color="E4DED3"/>
              <w:right w:val="single" w:sz="4" w:space="0" w:color="E4DED3"/>
            </w:tcBorders>
          </w:tcPr>
          <w:p>
            <w:r>
              <w:rPr>
                <w:b/>
                <w:sz w:val="18"/>
              </w:rPr>
              <w:t>A2</w:t>
            </w:r>
          </w:p>
        </w:tc>
        <w:tc>
          <w:tcPr>
            <w:tcW w:type="dxa" w:w="5669"/>
            <w:tcBorders>
              <w:top w:val="single" w:sz="4" w:space="0" w:color="E4DED3"/>
              <w:left w:val="single" w:sz="4" w:space="0" w:color="E4DED3"/>
              <w:bottom w:val="single" w:sz="4" w:space="0" w:color="E4DED3"/>
              <w:right w:val="single" w:sz="4" w:space="0" w:color="E4DED3"/>
            </w:tcBorders>
          </w:tcPr>
          <w:p>
            <w:r>
              <w:rPr>
                <w:sz w:val="18"/>
              </w:rPr>
              <w:t>Students do not access Enrolline; it is staff-facing only</w:t>
            </w:r>
          </w:p>
        </w:tc>
        <w:tc>
          <w:tcPr>
            <w:tcW w:type="dxa" w:w="2835"/>
            <w:tcBorders>
              <w:top w:val="single" w:sz="4" w:space="0" w:color="E4DED3"/>
              <w:left w:val="single" w:sz="4" w:space="0" w:color="E4DED3"/>
              <w:bottom w:val="single" w:sz="4" w:space="0" w:color="E4DED3"/>
              <w:right w:val="single" w:sz="4" w:space="0" w:color="E4DED3"/>
            </w:tcBorders>
          </w:tcPr>
          <w:p>
            <w:r>
              <w:rPr>
                <w:sz w:val="18"/>
              </w:rPr>
              <w:t>Application Specification</w:t>
            </w:r>
          </w:p>
        </w:tc>
      </w:tr>
      <w:tr>
        <w:tc>
          <w:tcPr>
            <w:tcW w:type="dxa" w:w="850"/>
            <w:tcBorders>
              <w:top w:val="single" w:sz="4" w:space="0" w:color="E4DED3"/>
              <w:left w:val="single" w:sz="4" w:space="0" w:color="E4DED3"/>
              <w:bottom w:val="single" w:sz="4" w:space="0" w:color="E4DED3"/>
              <w:right w:val="single" w:sz="4" w:space="0" w:color="E4DED3"/>
            </w:tcBorders>
          </w:tcPr>
          <w:p>
            <w:r>
              <w:rPr>
                <w:b/>
                <w:sz w:val="18"/>
              </w:rPr>
              <w:t>A3</w:t>
            </w:r>
          </w:p>
        </w:tc>
        <w:tc>
          <w:tcPr>
            <w:tcW w:type="dxa" w:w="5669"/>
            <w:tcBorders>
              <w:top w:val="single" w:sz="4" w:space="0" w:color="E4DED3"/>
              <w:left w:val="single" w:sz="4" w:space="0" w:color="E4DED3"/>
              <w:bottom w:val="single" w:sz="4" w:space="0" w:color="E4DED3"/>
              <w:right w:val="single" w:sz="4" w:space="0" w:color="E4DED3"/>
            </w:tcBorders>
          </w:tcPr>
          <w:p>
            <w:r>
              <w:rPr>
                <w:sz w:val="18"/>
              </w:rPr>
              <w:t>Intake and census dates are fixed externally and published in advance</w:t>
            </w:r>
          </w:p>
        </w:tc>
        <w:tc>
          <w:tcPr>
            <w:tcW w:type="dxa" w:w="2835"/>
            <w:tcBorders>
              <w:top w:val="single" w:sz="4" w:space="0" w:color="E4DED3"/>
              <w:left w:val="single" w:sz="4" w:space="0" w:color="E4DED3"/>
              <w:bottom w:val="single" w:sz="4" w:space="0" w:color="E4DED3"/>
              <w:right w:val="single" w:sz="4" w:space="0" w:color="E4DED3"/>
            </w:tcBorders>
          </w:tcPr>
          <w:p>
            <w:r>
              <w:rPr>
                <w:sz w:val="18"/>
              </w:rPr>
              <w:t>Registrar</w:t>
            </w:r>
          </w:p>
        </w:tc>
      </w:tr>
      <w:tr>
        <w:tc>
          <w:tcPr>
            <w:tcW w:type="dxa" w:w="850"/>
            <w:tcBorders>
              <w:top w:val="single" w:sz="4" w:space="0" w:color="E4DED3"/>
              <w:left w:val="single" w:sz="4" w:space="0" w:color="E4DED3"/>
              <w:bottom w:val="single" w:sz="4" w:space="0" w:color="E4DED3"/>
              <w:right w:val="single" w:sz="4" w:space="0" w:color="E4DED3"/>
            </w:tcBorders>
          </w:tcPr>
          <w:p>
            <w:r>
              <w:rPr>
                <w:b/>
                <w:sz w:val="18"/>
              </w:rPr>
              <w:t>A4</w:t>
            </w:r>
          </w:p>
        </w:tc>
        <w:tc>
          <w:tcPr>
            <w:tcW w:type="dxa" w:w="5669"/>
            <w:tcBorders>
              <w:top w:val="single" w:sz="4" w:space="0" w:color="E4DED3"/>
              <w:left w:val="single" w:sz="4" w:space="0" w:color="E4DED3"/>
              <w:bottom w:val="single" w:sz="4" w:space="0" w:color="E4DED3"/>
              <w:right w:val="single" w:sz="4" w:space="0" w:color="E4DED3"/>
            </w:tcBorders>
          </w:tcPr>
          <w:p>
            <w:r>
              <w:rPr>
                <w:sz w:val="18"/>
              </w:rPr>
              <w:t>Scanned attachments must be retained for 30 years</w:t>
            </w:r>
          </w:p>
        </w:tc>
        <w:tc>
          <w:tcPr>
            <w:tcW w:type="dxa" w:w="2835"/>
            <w:tcBorders>
              <w:top w:val="single" w:sz="4" w:space="0" w:color="E4DED3"/>
              <w:left w:val="single" w:sz="4" w:space="0" w:color="E4DED3"/>
              <w:bottom w:val="single" w:sz="4" w:space="0" w:color="E4DED3"/>
              <w:right w:val="single" w:sz="4" w:space="0" w:color="E4DED3"/>
            </w:tcBorders>
          </w:tcPr>
          <w:p>
            <w:r>
              <w:rPr>
                <w:sz w:val="18"/>
              </w:rPr>
              <w:t>NVR Standards</w:t>
            </w:r>
          </w:p>
        </w:tc>
      </w:tr>
      <w:tr>
        <w:tc>
          <w:tcPr>
            <w:tcW w:type="dxa" w:w="850"/>
            <w:tcBorders>
              <w:top w:val="single" w:sz="4" w:space="0" w:color="E4DED3"/>
              <w:left w:val="single" w:sz="4" w:space="0" w:color="E4DED3"/>
              <w:bottom w:val="single" w:sz="4" w:space="0" w:color="E4DED3"/>
              <w:right w:val="single" w:sz="4" w:space="0" w:color="E4DED3"/>
            </w:tcBorders>
          </w:tcPr>
          <w:p>
            <w:r>
              <w:rPr>
                <w:b/>
                <w:sz w:val="18"/>
              </w:rPr>
              <w:t>C1</w:t>
            </w:r>
          </w:p>
        </w:tc>
        <w:tc>
          <w:tcPr>
            <w:tcW w:type="dxa" w:w="5669"/>
            <w:tcBorders>
              <w:top w:val="single" w:sz="4" w:space="0" w:color="E4DED3"/>
              <w:left w:val="single" w:sz="4" w:space="0" w:color="E4DED3"/>
              <w:bottom w:val="single" w:sz="4" w:space="0" w:color="E4DED3"/>
              <w:right w:val="single" w:sz="4" w:space="0" w:color="E4DED3"/>
            </w:tcBorders>
          </w:tcPr>
          <w:p>
            <w:r>
              <w:rPr>
                <w:sz w:val="18"/>
              </w:rPr>
              <w:t>Single-AZ for the foundation build; HA deferred</w:t>
            </w:r>
          </w:p>
        </w:tc>
        <w:tc>
          <w:tcPr>
            <w:tcW w:type="dxa" w:w="2835"/>
            <w:tcBorders>
              <w:top w:val="single" w:sz="4" w:space="0" w:color="E4DED3"/>
              <w:left w:val="single" w:sz="4" w:space="0" w:color="E4DED3"/>
              <w:bottom w:val="single" w:sz="4" w:space="0" w:color="E4DED3"/>
              <w:right w:val="single" w:sz="4" w:space="0" w:color="E4DED3"/>
            </w:tcBorders>
          </w:tcPr>
          <w:p>
            <w:r>
              <w:rPr>
                <w:sz w:val="18"/>
              </w:rPr>
              <w:t>Engagement scope</w:t>
            </w:r>
          </w:p>
        </w:tc>
      </w:tr>
      <w:tr>
        <w:tc>
          <w:tcPr>
            <w:tcW w:type="dxa" w:w="850"/>
            <w:tcBorders>
              <w:top w:val="single" w:sz="4" w:space="0" w:color="E4DED3"/>
              <w:left w:val="single" w:sz="4" w:space="0" w:color="E4DED3"/>
              <w:bottom w:val="single" w:sz="4" w:space="0" w:color="E4DED3"/>
              <w:right w:val="single" w:sz="4" w:space="0" w:color="E4DED3"/>
            </w:tcBorders>
          </w:tcPr>
          <w:p>
            <w:r>
              <w:rPr>
                <w:b/>
                <w:sz w:val="18"/>
              </w:rPr>
              <w:t>C2</w:t>
            </w:r>
          </w:p>
        </w:tc>
        <w:tc>
          <w:tcPr>
            <w:tcW w:type="dxa" w:w="5669"/>
            <w:tcBorders>
              <w:top w:val="single" w:sz="4" w:space="0" w:color="E4DED3"/>
              <w:left w:val="single" w:sz="4" w:space="0" w:color="E4DED3"/>
              <w:bottom w:val="single" w:sz="4" w:space="0" w:color="E4DED3"/>
              <w:right w:val="single" w:sz="4" w:space="0" w:color="E4DED3"/>
            </w:tcBorders>
          </w:tcPr>
          <w:p>
            <w:r>
              <w:rPr>
                <w:sz w:val="18"/>
              </w:rPr>
              <w:t>All data remains in ap-southeast-2</w:t>
            </w:r>
          </w:p>
        </w:tc>
        <w:tc>
          <w:tcPr>
            <w:tcW w:type="dxa" w:w="2835"/>
            <w:tcBorders>
              <w:top w:val="single" w:sz="4" w:space="0" w:color="E4DED3"/>
              <w:left w:val="single" w:sz="4" w:space="0" w:color="E4DED3"/>
              <w:bottom w:val="single" w:sz="4" w:space="0" w:color="E4DED3"/>
              <w:right w:val="single" w:sz="4" w:space="0" w:color="E4DED3"/>
            </w:tcBorders>
          </w:tcPr>
          <w:p>
            <w:r>
              <w:rPr>
                <w:sz w:val="18"/>
              </w:rPr>
              <w:t>Privacy / Data Handling Policy</w:t>
            </w:r>
          </w:p>
        </w:tc>
      </w:tr>
    </w:tbl>
    <w:p/>
    <w:p>
      <w:pPr>
        <w:pStyle w:val="Heading3"/>
      </w:pPr>
      <w:r>
        <w:t>4.2 AWS account and region</w:t>
      </w:r>
    </w:p>
    <w:p>
      <w:r>
        <w:rPr>
          <w:sz w:val="21"/>
        </w:rPr>
        <w:t>A dedicated AWS account in region ap-southeast-2 (Sydney). No resources are created outside that region.</w:t>
      </w:r>
    </w:p>
    <w:p>
      <w:pPr>
        <w:pStyle w:val="Heading3"/>
      </w:pPr>
      <w:r>
        <w:t>4.3 Identity and Access Management (IAM)</w:t>
      </w:r>
    </w:p>
    <w:tbl>
      <w:tblPr>
        <w:tblW w:type="auto" w:w="0"/>
        <w:jc w:val="center"/>
        <w:tblLook w:firstColumn="1" w:firstRow="1" w:lastColumn="0" w:lastRow="0" w:noHBand="0" w:noVBand="1" w:val="04A0"/>
      </w:tblPr>
      <w:tblGrid>
        <w:gridCol w:w="3137"/>
        <w:gridCol w:w="3137"/>
        <w:gridCol w:w="3137"/>
      </w:tblGrid>
      <w:tr>
        <w:tc>
          <w:tcPr>
            <w:tcW w:type="dxa" w:w="255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Group</w:t>
            </w:r>
          </w:p>
        </w:tc>
        <w:tc>
          <w:tcPr>
            <w:tcW w:type="dxa" w:w="311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Purpose</w:t>
            </w:r>
          </w:p>
        </w:tc>
        <w:tc>
          <w:tcPr>
            <w:tcW w:type="dxa" w:w="368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Indicative permissions</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EnrollineAdmins</w:t>
            </w:r>
          </w:p>
        </w:tc>
        <w:tc>
          <w:tcPr>
            <w:tcW w:type="dxa" w:w="3118"/>
            <w:tcBorders>
              <w:top w:val="single" w:sz="4" w:space="0" w:color="E4DED3"/>
              <w:left w:val="single" w:sz="4" w:space="0" w:color="E4DED3"/>
              <w:bottom w:val="single" w:sz="4" w:space="0" w:color="E4DED3"/>
              <w:right w:val="single" w:sz="4" w:space="0" w:color="E4DED3"/>
            </w:tcBorders>
          </w:tcPr>
          <w:p>
            <w:r>
              <w:rPr>
                <w:sz w:val="18"/>
              </w:rPr>
              <w:t>YAT ICT administration of the environment</w:t>
            </w:r>
          </w:p>
        </w:tc>
        <w:tc>
          <w:tcPr>
            <w:tcW w:type="dxa" w:w="3685"/>
            <w:tcBorders>
              <w:top w:val="single" w:sz="4" w:space="0" w:color="E4DED3"/>
              <w:left w:val="single" w:sz="4" w:space="0" w:color="E4DED3"/>
              <w:bottom w:val="single" w:sz="4" w:space="0" w:color="E4DED3"/>
              <w:right w:val="single" w:sz="4" w:space="0" w:color="E4DED3"/>
            </w:tcBorders>
          </w:tcPr>
          <w:p>
            <w:r>
              <w:rPr>
                <w:sz w:val="18"/>
              </w:rPr>
              <w:t>EC2, RDS, S3, CloudWatch — full within the account</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EnrollineReadOnly</w:t>
            </w:r>
          </w:p>
        </w:tc>
        <w:tc>
          <w:tcPr>
            <w:tcW w:type="dxa" w:w="3118"/>
            <w:tcBorders>
              <w:top w:val="single" w:sz="4" w:space="0" w:color="E4DED3"/>
              <w:left w:val="single" w:sz="4" w:space="0" w:color="E4DED3"/>
              <w:bottom w:val="single" w:sz="4" w:space="0" w:color="E4DED3"/>
              <w:right w:val="single" w:sz="4" w:space="0" w:color="E4DED3"/>
            </w:tcBorders>
          </w:tcPr>
          <w:p>
            <w:r>
              <w:rPr>
                <w:sz w:val="18"/>
              </w:rPr>
              <w:t>Audit and review access</w:t>
            </w:r>
          </w:p>
        </w:tc>
        <w:tc>
          <w:tcPr>
            <w:tcW w:type="dxa" w:w="3685"/>
            <w:tcBorders>
              <w:top w:val="single" w:sz="4" w:space="0" w:color="E4DED3"/>
              <w:left w:val="single" w:sz="4" w:space="0" w:color="E4DED3"/>
              <w:bottom w:val="single" w:sz="4" w:space="0" w:color="E4DED3"/>
              <w:right w:val="single" w:sz="4" w:space="0" w:color="E4DED3"/>
            </w:tcBorders>
          </w:tcPr>
          <w:p>
            <w:r>
              <w:rPr>
                <w:sz w:val="18"/>
              </w:rPr>
              <w:t>ReadOnlyAccess</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EnrollineAppRole</w:t>
            </w:r>
          </w:p>
        </w:tc>
        <w:tc>
          <w:tcPr>
            <w:tcW w:type="dxa" w:w="3118"/>
            <w:tcBorders>
              <w:top w:val="single" w:sz="4" w:space="0" w:color="E4DED3"/>
              <w:left w:val="single" w:sz="4" w:space="0" w:color="E4DED3"/>
              <w:bottom w:val="single" w:sz="4" w:space="0" w:color="E4DED3"/>
              <w:right w:val="single" w:sz="4" w:space="0" w:color="E4DED3"/>
            </w:tcBorders>
          </w:tcPr>
          <w:p>
            <w:r>
              <w:rPr>
                <w:sz w:val="18"/>
              </w:rPr>
              <w:t>Instance profile for the application tier</w:t>
            </w:r>
          </w:p>
        </w:tc>
        <w:tc>
          <w:tcPr>
            <w:tcW w:type="dxa" w:w="3685"/>
            <w:tcBorders>
              <w:top w:val="single" w:sz="4" w:space="0" w:color="E4DED3"/>
              <w:left w:val="single" w:sz="4" w:space="0" w:color="E4DED3"/>
              <w:bottom w:val="single" w:sz="4" w:space="0" w:color="E4DED3"/>
              <w:right w:val="single" w:sz="4" w:space="0" w:color="E4DED3"/>
            </w:tcBorders>
          </w:tcPr>
          <w:p>
            <w:r>
              <w:rPr>
                <w:sz w:val="18"/>
              </w:rPr>
              <w:t>Read/write to yat-enrolline-documents; CloudWatch Logs write</w:t>
            </w:r>
          </w:p>
        </w:tc>
      </w:tr>
    </w:tbl>
    <w:p/>
    <w:p>
      <w:pPr>
        <w:spacing w:before="40" w:after="160"/>
        <w:ind w:left="227"/>
      </w:pPr>
      <w:r>
        <w:rPr>
          <w:b/>
          <w:color w:val="C5613B"/>
          <w:sz w:val="19"/>
        </w:rPr>
        <w:t xml:space="preserve">Building this in a lab </w:t>
      </w:r>
      <w:r>
        <w:rPr>
          <w:i/>
          <w:color w:val="C5613B"/>
          <w:sz w:val="19"/>
        </w:rPr>
        <w:t>the Learner Lab does not permit IAM user, group or role creation. Use the role the lab provides and note where these groups would sit in a real account.</w:t>
      </w:r>
    </w:p>
    <w:p>
      <w:pPr>
        <w:pStyle w:val="Heading3"/>
      </w:pPr>
      <w:r>
        <w:t>4.4 Network topology</w:t>
      </w:r>
    </w:p>
    <w:tbl>
      <w:tblPr>
        <w:tblW w:type="auto" w:w="0"/>
        <w:jc w:val="center"/>
        <w:tblLook w:firstColumn="1" w:firstRow="1" w:lastColumn="0" w:lastRow="0" w:noHBand="0" w:noVBand="1" w:val="04A0"/>
      </w:tblPr>
      <w:tblGrid>
        <w:gridCol w:w="2353"/>
        <w:gridCol w:w="2353"/>
        <w:gridCol w:w="2353"/>
        <w:gridCol w:w="2353"/>
      </w:tblGrid>
      <w:tr>
        <w:tc>
          <w:tcPr>
            <w:tcW w:type="dxa" w:w="255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Subnet</w:t>
            </w:r>
          </w:p>
        </w:tc>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CIDR</w:t>
            </w:r>
          </w:p>
        </w:tc>
        <w:tc>
          <w:tcPr>
            <w:tcW w:type="dxa" w:w="311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Tier</w:t>
            </w:r>
          </w:p>
        </w:tc>
        <w:tc>
          <w:tcPr>
            <w:tcW w:type="dxa" w:w="198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Internet-facing?</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enrolline-public-a</w:t>
            </w:r>
          </w:p>
        </w:tc>
        <w:tc>
          <w:tcPr>
            <w:tcW w:type="dxa" w:w="1701"/>
            <w:tcBorders>
              <w:top w:val="single" w:sz="4" w:space="0" w:color="E4DED3"/>
              <w:left w:val="single" w:sz="4" w:space="0" w:color="E4DED3"/>
              <w:bottom w:val="single" w:sz="4" w:space="0" w:color="E4DED3"/>
              <w:right w:val="single" w:sz="4" w:space="0" w:color="E4DED3"/>
            </w:tcBorders>
          </w:tcPr>
          <w:p>
            <w:r>
              <w:rPr>
                <w:sz w:val="18"/>
              </w:rPr>
              <w:t>10.30.1.0/24</w:t>
            </w:r>
          </w:p>
        </w:tc>
        <w:tc>
          <w:tcPr>
            <w:tcW w:type="dxa" w:w="3118"/>
            <w:tcBorders>
              <w:top w:val="single" w:sz="4" w:space="0" w:color="E4DED3"/>
              <w:left w:val="single" w:sz="4" w:space="0" w:color="E4DED3"/>
              <w:bottom w:val="single" w:sz="4" w:space="0" w:color="E4DED3"/>
              <w:right w:val="single" w:sz="4" w:space="0" w:color="E4DED3"/>
            </w:tcBorders>
          </w:tcPr>
          <w:p>
            <w:r>
              <w:rPr>
                <w:sz w:val="18"/>
              </w:rPr>
              <w:t>Public (ALB, NAT)</w:t>
            </w:r>
          </w:p>
        </w:tc>
        <w:tc>
          <w:tcPr>
            <w:tcW w:type="dxa" w:w="1984"/>
            <w:tcBorders>
              <w:top w:val="single" w:sz="4" w:space="0" w:color="E4DED3"/>
              <w:left w:val="single" w:sz="4" w:space="0" w:color="E4DED3"/>
              <w:bottom w:val="single" w:sz="4" w:space="0" w:color="E4DED3"/>
              <w:right w:val="single" w:sz="4" w:space="0" w:color="E4DED3"/>
            </w:tcBorders>
          </w:tcPr>
          <w:p>
            <w:r>
              <w:rPr>
                <w:sz w:val="18"/>
              </w:rPr>
              <w:t>Yes</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enrolline-public-b</w:t>
            </w:r>
          </w:p>
        </w:tc>
        <w:tc>
          <w:tcPr>
            <w:tcW w:type="dxa" w:w="1701"/>
            <w:tcBorders>
              <w:top w:val="single" w:sz="4" w:space="0" w:color="E4DED3"/>
              <w:left w:val="single" w:sz="4" w:space="0" w:color="E4DED3"/>
              <w:bottom w:val="single" w:sz="4" w:space="0" w:color="E4DED3"/>
              <w:right w:val="single" w:sz="4" w:space="0" w:color="E4DED3"/>
            </w:tcBorders>
          </w:tcPr>
          <w:p>
            <w:r>
              <w:rPr>
                <w:sz w:val="18"/>
              </w:rPr>
              <w:t>10.30.2.0/24</w:t>
            </w:r>
          </w:p>
        </w:tc>
        <w:tc>
          <w:tcPr>
            <w:tcW w:type="dxa" w:w="3118"/>
            <w:tcBorders>
              <w:top w:val="single" w:sz="4" w:space="0" w:color="E4DED3"/>
              <w:left w:val="single" w:sz="4" w:space="0" w:color="E4DED3"/>
              <w:bottom w:val="single" w:sz="4" w:space="0" w:color="E4DED3"/>
              <w:right w:val="single" w:sz="4" w:space="0" w:color="E4DED3"/>
            </w:tcBorders>
          </w:tcPr>
          <w:p>
            <w:r>
              <w:rPr>
                <w:sz w:val="18"/>
              </w:rPr>
              <w:t>Public (ALB only)</w:t>
            </w:r>
          </w:p>
        </w:tc>
        <w:tc>
          <w:tcPr>
            <w:tcW w:type="dxa" w:w="1984"/>
            <w:tcBorders>
              <w:top w:val="single" w:sz="4" w:space="0" w:color="E4DED3"/>
              <w:left w:val="single" w:sz="4" w:space="0" w:color="E4DED3"/>
              <w:bottom w:val="single" w:sz="4" w:space="0" w:color="E4DED3"/>
              <w:right w:val="single" w:sz="4" w:space="0" w:color="E4DED3"/>
            </w:tcBorders>
          </w:tcPr>
          <w:p>
            <w:r>
              <w:rPr>
                <w:sz w:val="18"/>
              </w:rPr>
              <w:t>Yes</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enrolline-app-a</w:t>
            </w:r>
          </w:p>
        </w:tc>
        <w:tc>
          <w:tcPr>
            <w:tcW w:type="dxa" w:w="1701"/>
            <w:tcBorders>
              <w:top w:val="single" w:sz="4" w:space="0" w:color="E4DED3"/>
              <w:left w:val="single" w:sz="4" w:space="0" w:color="E4DED3"/>
              <w:bottom w:val="single" w:sz="4" w:space="0" w:color="E4DED3"/>
              <w:right w:val="single" w:sz="4" w:space="0" w:color="E4DED3"/>
            </w:tcBorders>
          </w:tcPr>
          <w:p>
            <w:r>
              <w:rPr>
                <w:sz w:val="18"/>
              </w:rPr>
              <w:t>10.30.11.0/24</w:t>
            </w:r>
          </w:p>
        </w:tc>
        <w:tc>
          <w:tcPr>
            <w:tcW w:type="dxa" w:w="3118"/>
            <w:tcBorders>
              <w:top w:val="single" w:sz="4" w:space="0" w:color="E4DED3"/>
              <w:left w:val="single" w:sz="4" w:space="0" w:color="E4DED3"/>
              <w:bottom w:val="single" w:sz="4" w:space="0" w:color="E4DED3"/>
              <w:right w:val="single" w:sz="4" w:space="0" w:color="E4DED3"/>
            </w:tcBorders>
          </w:tcPr>
          <w:p>
            <w:r>
              <w:rPr>
                <w:sz w:val="18"/>
              </w:rPr>
              <w:t>Application</w:t>
            </w:r>
          </w:p>
        </w:tc>
        <w:tc>
          <w:tcPr>
            <w:tcW w:type="dxa" w:w="1984"/>
            <w:tcBorders>
              <w:top w:val="single" w:sz="4" w:space="0" w:color="E4DED3"/>
              <w:left w:val="single" w:sz="4" w:space="0" w:color="E4DED3"/>
              <w:bottom w:val="single" w:sz="4" w:space="0" w:color="E4DED3"/>
              <w:right w:val="single" w:sz="4" w:space="0" w:color="E4DED3"/>
            </w:tcBorders>
          </w:tcPr>
          <w:p>
            <w:r>
              <w:rPr>
                <w:sz w:val="18"/>
              </w:rPr>
              <w:t>No — egress via NAT</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enrolline-data-a</w:t>
            </w:r>
          </w:p>
        </w:tc>
        <w:tc>
          <w:tcPr>
            <w:tcW w:type="dxa" w:w="1701"/>
            <w:tcBorders>
              <w:top w:val="single" w:sz="4" w:space="0" w:color="E4DED3"/>
              <w:left w:val="single" w:sz="4" w:space="0" w:color="E4DED3"/>
              <w:bottom w:val="single" w:sz="4" w:space="0" w:color="E4DED3"/>
              <w:right w:val="single" w:sz="4" w:space="0" w:color="E4DED3"/>
            </w:tcBorders>
          </w:tcPr>
          <w:p>
            <w:r>
              <w:rPr>
                <w:sz w:val="18"/>
              </w:rPr>
              <w:t>10.30.21.0/24</w:t>
            </w:r>
          </w:p>
        </w:tc>
        <w:tc>
          <w:tcPr>
            <w:tcW w:type="dxa" w:w="3118"/>
            <w:tcBorders>
              <w:top w:val="single" w:sz="4" w:space="0" w:color="E4DED3"/>
              <w:left w:val="single" w:sz="4" w:space="0" w:color="E4DED3"/>
              <w:bottom w:val="single" w:sz="4" w:space="0" w:color="E4DED3"/>
              <w:right w:val="single" w:sz="4" w:space="0" w:color="E4DED3"/>
            </w:tcBorders>
          </w:tcPr>
          <w:p>
            <w:r>
              <w:rPr>
                <w:sz w:val="18"/>
              </w:rPr>
              <w:t>Database</w:t>
            </w:r>
          </w:p>
        </w:tc>
        <w:tc>
          <w:tcPr>
            <w:tcW w:type="dxa" w:w="1984"/>
            <w:tcBorders>
              <w:top w:val="single" w:sz="4" w:space="0" w:color="E4DED3"/>
              <w:left w:val="single" w:sz="4" w:space="0" w:color="E4DED3"/>
              <w:bottom w:val="single" w:sz="4" w:space="0" w:color="E4DED3"/>
              <w:right w:val="single" w:sz="4" w:space="0" w:color="E4DED3"/>
            </w:tcBorders>
          </w:tcPr>
          <w:p>
            <w:r>
              <w:rPr>
                <w:sz w:val="18"/>
              </w:rPr>
              <w:t>No</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enrolline-data-b</w:t>
            </w:r>
          </w:p>
        </w:tc>
        <w:tc>
          <w:tcPr>
            <w:tcW w:type="dxa" w:w="1701"/>
            <w:tcBorders>
              <w:top w:val="single" w:sz="4" w:space="0" w:color="E4DED3"/>
              <w:left w:val="single" w:sz="4" w:space="0" w:color="E4DED3"/>
              <w:bottom w:val="single" w:sz="4" w:space="0" w:color="E4DED3"/>
              <w:right w:val="single" w:sz="4" w:space="0" w:color="E4DED3"/>
            </w:tcBorders>
          </w:tcPr>
          <w:p>
            <w:r>
              <w:rPr>
                <w:sz w:val="18"/>
              </w:rPr>
              <w:t>10.30.22.0/24</w:t>
            </w:r>
          </w:p>
        </w:tc>
        <w:tc>
          <w:tcPr>
            <w:tcW w:type="dxa" w:w="3118"/>
            <w:tcBorders>
              <w:top w:val="single" w:sz="4" w:space="0" w:color="E4DED3"/>
              <w:left w:val="single" w:sz="4" w:space="0" w:color="E4DED3"/>
              <w:bottom w:val="single" w:sz="4" w:space="0" w:color="E4DED3"/>
              <w:right w:val="single" w:sz="4" w:space="0" w:color="E4DED3"/>
            </w:tcBorders>
          </w:tcPr>
          <w:p>
            <w:r>
              <w:rPr>
                <w:sz w:val="18"/>
              </w:rPr>
              <w:t>Database (subnet group only)</w:t>
            </w:r>
          </w:p>
        </w:tc>
        <w:tc>
          <w:tcPr>
            <w:tcW w:type="dxa" w:w="1984"/>
            <w:tcBorders>
              <w:top w:val="single" w:sz="4" w:space="0" w:color="E4DED3"/>
              <w:left w:val="single" w:sz="4" w:space="0" w:color="E4DED3"/>
              <w:bottom w:val="single" w:sz="4" w:space="0" w:color="E4DED3"/>
              <w:right w:val="single" w:sz="4" w:space="0" w:color="E4DED3"/>
            </w:tcBorders>
          </w:tcPr>
          <w:p>
            <w:r>
              <w:rPr>
                <w:sz w:val="18"/>
              </w:rPr>
              <w:t>No</w:t>
            </w:r>
          </w:p>
        </w:tc>
      </w:tr>
    </w:tbl>
    <w:p/>
    <w:p>
      <w:r>
        <w:rPr>
          <w:sz w:val="21"/>
        </w:rPr>
        <w:t>VPC enrolline-vpc, 10.30.0.0/16. A single NAT Gateway in enrolline-public-a provides outbound internet for the application tier. There is no application subnet in the second Availability Zone. There are no VPC endpoints, so traffic to Amazon S3 and to the USI Registry web service leaves the VPC through the NAT Gateway.</w:t>
      </w:r>
    </w:p>
    <w:p>
      <w:pPr>
        <w:pStyle w:val="Heading3"/>
      </w:pPr>
      <w:r>
        <w:t>4.5 Compute (EC2 + Auto Scaling)</w:t>
      </w:r>
    </w:p>
    <w:tbl>
      <w:tblPr>
        <w:tblW w:type="auto" w:w="0"/>
        <w:jc w:val="center"/>
        <w:tblLook w:firstColumn="1" w:firstRow="1" w:lastColumn="0" w:lastRow="0" w:noHBand="0" w:noVBand="1" w:val="04A0"/>
      </w:tblPr>
      <w:tblGrid>
        <w:gridCol w:w="4706"/>
        <w:gridCol w:w="4706"/>
      </w:tblGrid>
      <w:tr>
        <w:tc>
          <w:tcPr>
            <w:tcW w:type="dxa" w:w="311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Attribute</w:t>
            </w:r>
          </w:p>
        </w:tc>
        <w:tc>
          <w:tcPr>
            <w:tcW w:type="dxa" w:w="6236"/>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Value</w:t>
            </w:r>
          </w:p>
        </w:tc>
      </w:tr>
      <w:tr>
        <w:tc>
          <w:tcPr>
            <w:tcW w:type="dxa" w:w="3118"/>
            <w:tcBorders>
              <w:top w:val="single" w:sz="4" w:space="0" w:color="E4DED3"/>
              <w:left w:val="single" w:sz="4" w:space="0" w:color="E4DED3"/>
              <w:bottom w:val="single" w:sz="4" w:space="0" w:color="E4DED3"/>
              <w:right w:val="single" w:sz="4" w:space="0" w:color="E4DED3"/>
            </w:tcBorders>
          </w:tcPr>
          <w:p>
            <w:r>
              <w:rPr>
                <w:b/>
                <w:sz w:val="18"/>
              </w:rPr>
              <w:t>Instance family</w:t>
            </w:r>
          </w:p>
        </w:tc>
        <w:tc>
          <w:tcPr>
            <w:tcW w:type="dxa" w:w="6236"/>
            <w:tcBorders>
              <w:top w:val="single" w:sz="4" w:space="0" w:color="E4DED3"/>
              <w:left w:val="single" w:sz="4" w:space="0" w:color="E4DED3"/>
              <w:bottom w:val="single" w:sz="4" w:space="0" w:color="E4DED3"/>
              <w:right w:val="single" w:sz="4" w:space="0" w:color="E4DED3"/>
            </w:tcBorders>
          </w:tcPr>
          <w:p>
            <w:r>
              <w:rPr>
                <w:sz w:val="18"/>
              </w:rPr>
              <w:t>General-purpose burstable (t3.micro / t3.small)</w:t>
            </w:r>
          </w:p>
        </w:tc>
      </w:tr>
      <w:tr>
        <w:tc>
          <w:tcPr>
            <w:tcW w:type="dxa" w:w="3118"/>
            <w:tcBorders>
              <w:top w:val="single" w:sz="4" w:space="0" w:color="E4DED3"/>
              <w:left w:val="single" w:sz="4" w:space="0" w:color="E4DED3"/>
              <w:bottom w:val="single" w:sz="4" w:space="0" w:color="E4DED3"/>
              <w:right w:val="single" w:sz="4" w:space="0" w:color="E4DED3"/>
            </w:tcBorders>
          </w:tcPr>
          <w:p>
            <w:r>
              <w:rPr>
                <w:b/>
                <w:sz w:val="18"/>
              </w:rPr>
              <w:t>AMI</w:t>
            </w:r>
          </w:p>
        </w:tc>
        <w:tc>
          <w:tcPr>
            <w:tcW w:type="dxa" w:w="6236"/>
            <w:tcBorders>
              <w:top w:val="single" w:sz="4" w:space="0" w:color="E4DED3"/>
              <w:left w:val="single" w:sz="4" w:space="0" w:color="E4DED3"/>
              <w:bottom w:val="single" w:sz="4" w:space="0" w:color="E4DED3"/>
              <w:right w:val="single" w:sz="4" w:space="0" w:color="E4DED3"/>
            </w:tcBorders>
          </w:tcPr>
          <w:p>
            <w:r>
              <w:rPr>
                <w:sz w:val="18"/>
              </w:rPr>
              <w:t>Amazon Linux 2023 + Enrolline Student Management Suite</w:t>
            </w:r>
          </w:p>
        </w:tc>
      </w:tr>
      <w:tr>
        <w:tc>
          <w:tcPr>
            <w:tcW w:type="dxa" w:w="3118"/>
            <w:tcBorders>
              <w:top w:val="single" w:sz="4" w:space="0" w:color="E4DED3"/>
              <w:left w:val="single" w:sz="4" w:space="0" w:color="E4DED3"/>
              <w:bottom w:val="single" w:sz="4" w:space="0" w:color="E4DED3"/>
              <w:right w:val="single" w:sz="4" w:space="0" w:color="E4DED3"/>
            </w:tcBorders>
          </w:tcPr>
          <w:p>
            <w:r>
              <w:rPr>
                <w:b/>
                <w:sz w:val="18"/>
              </w:rPr>
              <w:t>Auto Scaling Group</w:t>
            </w:r>
          </w:p>
        </w:tc>
        <w:tc>
          <w:tcPr>
            <w:tcW w:type="dxa" w:w="6236"/>
            <w:tcBorders>
              <w:top w:val="single" w:sz="4" w:space="0" w:color="E4DED3"/>
              <w:left w:val="single" w:sz="4" w:space="0" w:color="E4DED3"/>
              <w:bottom w:val="single" w:sz="4" w:space="0" w:color="E4DED3"/>
              <w:right w:val="single" w:sz="4" w:space="0" w:color="E4DED3"/>
            </w:tcBorders>
          </w:tcPr>
          <w:p>
            <w:r>
              <w:rPr>
                <w:sz w:val="18"/>
              </w:rPr>
              <w:t>min 1 / desired 1 / max 2 — enrolline-app-a only</w:t>
            </w:r>
          </w:p>
        </w:tc>
      </w:tr>
      <w:tr>
        <w:tc>
          <w:tcPr>
            <w:tcW w:type="dxa" w:w="3118"/>
            <w:tcBorders>
              <w:top w:val="single" w:sz="4" w:space="0" w:color="E4DED3"/>
              <w:left w:val="single" w:sz="4" w:space="0" w:color="E4DED3"/>
              <w:bottom w:val="single" w:sz="4" w:space="0" w:color="E4DED3"/>
              <w:right w:val="single" w:sz="4" w:space="0" w:color="E4DED3"/>
            </w:tcBorders>
          </w:tcPr>
          <w:p>
            <w:r>
              <w:rPr>
                <w:b/>
                <w:sz w:val="18"/>
              </w:rPr>
              <w:t>Scaling policy</w:t>
            </w:r>
          </w:p>
        </w:tc>
        <w:tc>
          <w:tcPr>
            <w:tcW w:type="dxa" w:w="6236"/>
            <w:tcBorders>
              <w:top w:val="single" w:sz="4" w:space="0" w:color="E4DED3"/>
              <w:left w:val="single" w:sz="4" w:space="0" w:color="E4DED3"/>
              <w:bottom w:val="single" w:sz="4" w:space="0" w:color="E4DED3"/>
              <w:right w:val="single" w:sz="4" w:space="0" w:color="E4DED3"/>
            </w:tcBorders>
          </w:tcPr>
          <w:p>
            <w:pPr>
              <w:jc w:val="right"/>
            </w:pPr>
            <w:r>
              <w:rPr>
                <w:sz w:val="18"/>
              </w:rPr>
              <w:t>Target tracking on CPU at 70%</w:t>
            </w:r>
          </w:p>
        </w:tc>
      </w:tr>
      <w:tr>
        <w:tc>
          <w:tcPr>
            <w:tcW w:type="dxa" w:w="3118"/>
            <w:tcBorders>
              <w:top w:val="single" w:sz="4" w:space="0" w:color="E4DED3"/>
              <w:left w:val="single" w:sz="4" w:space="0" w:color="E4DED3"/>
              <w:bottom w:val="single" w:sz="4" w:space="0" w:color="E4DED3"/>
              <w:right w:val="single" w:sz="4" w:space="0" w:color="E4DED3"/>
            </w:tcBorders>
          </w:tcPr>
          <w:p>
            <w:r>
              <w:rPr>
                <w:b/>
                <w:sz w:val="18"/>
              </w:rPr>
              <w:t>Capacity basis</w:t>
            </w:r>
          </w:p>
        </w:tc>
        <w:tc>
          <w:tcPr>
            <w:tcW w:type="dxa" w:w="6236"/>
            <w:tcBorders>
              <w:top w:val="single" w:sz="4" w:space="0" w:color="E4DED3"/>
              <w:left w:val="single" w:sz="4" w:space="0" w:color="E4DED3"/>
              <w:bottom w:val="single" w:sz="4" w:space="0" w:color="E4DED3"/>
              <w:right w:val="single" w:sz="4" w:space="0" w:color="E4DED3"/>
            </w:tcBorders>
          </w:tcPr>
          <w:p>
            <w:r>
              <w:rPr>
                <w:sz w:val="18"/>
              </w:rPr>
              <w:t>Sized for the intake peak and held at that size year-round</w:t>
            </w:r>
          </w:p>
        </w:tc>
      </w:tr>
      <w:tr>
        <w:tc>
          <w:tcPr>
            <w:tcW w:type="dxa" w:w="3118"/>
            <w:tcBorders>
              <w:top w:val="single" w:sz="4" w:space="0" w:color="E4DED3"/>
              <w:left w:val="single" w:sz="4" w:space="0" w:color="E4DED3"/>
              <w:bottom w:val="single" w:sz="4" w:space="0" w:color="E4DED3"/>
              <w:right w:val="single" w:sz="4" w:space="0" w:color="E4DED3"/>
            </w:tcBorders>
          </w:tcPr>
          <w:p>
            <w:r>
              <w:rPr>
                <w:b/>
                <w:sz w:val="18"/>
              </w:rPr>
              <w:t>Administrative access</w:t>
            </w:r>
          </w:p>
        </w:tc>
        <w:tc>
          <w:tcPr>
            <w:tcW w:type="dxa" w:w="6236"/>
            <w:tcBorders>
              <w:top w:val="single" w:sz="4" w:space="0" w:color="E4DED3"/>
              <w:left w:val="single" w:sz="4" w:space="0" w:color="E4DED3"/>
              <w:bottom w:val="single" w:sz="4" w:space="0" w:color="E4DED3"/>
              <w:right w:val="single" w:sz="4" w:space="0" w:color="E4DED3"/>
            </w:tcBorders>
          </w:tcPr>
          <w:p>
            <w:r>
              <w:rPr>
                <w:sz w:val="18"/>
              </w:rPr>
              <w:t>Systems Manager Session Manager — no key pair, no bastion</w:t>
            </w:r>
          </w:p>
        </w:tc>
      </w:tr>
    </w:tbl>
    <w:p/>
    <w:p>
      <w:pPr>
        <w:pStyle w:val="Heading3"/>
      </w:pPr>
      <w:r>
        <w:t>4.6 Load balancing (ALB)</w:t>
      </w:r>
    </w:p>
    <w:p>
      <w:r>
        <w:rPr>
          <w:sz w:val="21"/>
        </w:rPr>
        <w:t>An internet-facing Application Load Balancer, enrolline-alb, spanning enrolline-public-a and enrolline-public-b, with an HTTP:80 listener to target group enrolline-tg. Health check HTTP GET on /, 30-second interval, 2 failures to remove a target. TLS is not terminated at this baseline.</w:t>
      </w:r>
    </w:p>
    <w:p>
      <w:pPr>
        <w:pStyle w:val="Heading3"/>
      </w:pPr>
      <w:r>
        <w:t>4.7 Database (RDS for PostgreSQL)</w:t>
      </w:r>
    </w:p>
    <w:tbl>
      <w:tblPr>
        <w:tblW w:type="auto" w:w="0"/>
        <w:jc w:val="center"/>
        <w:tblLook w:firstColumn="1" w:firstRow="1" w:lastColumn="0" w:lastRow="0" w:noHBand="0" w:noVBand="1" w:val="04A0"/>
      </w:tblPr>
      <w:tblGrid>
        <w:gridCol w:w="4706"/>
        <w:gridCol w:w="4706"/>
      </w:tblGrid>
      <w:tr>
        <w:tc>
          <w:tcPr>
            <w:tcW w:type="dxa" w:w="311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Attribute</w:t>
            </w:r>
          </w:p>
        </w:tc>
        <w:tc>
          <w:tcPr>
            <w:tcW w:type="dxa" w:w="6236"/>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Value</w:t>
            </w:r>
          </w:p>
        </w:tc>
      </w:tr>
      <w:tr>
        <w:tc>
          <w:tcPr>
            <w:tcW w:type="dxa" w:w="3118"/>
            <w:tcBorders>
              <w:top w:val="single" w:sz="4" w:space="0" w:color="E4DED3"/>
              <w:left w:val="single" w:sz="4" w:space="0" w:color="E4DED3"/>
              <w:bottom w:val="single" w:sz="4" w:space="0" w:color="E4DED3"/>
              <w:right w:val="single" w:sz="4" w:space="0" w:color="E4DED3"/>
            </w:tcBorders>
          </w:tcPr>
          <w:p>
            <w:r>
              <w:rPr>
                <w:b/>
                <w:sz w:val="18"/>
              </w:rPr>
              <w:t>Engine</w:t>
            </w:r>
          </w:p>
        </w:tc>
        <w:tc>
          <w:tcPr>
            <w:tcW w:type="dxa" w:w="6236"/>
            <w:tcBorders>
              <w:top w:val="single" w:sz="4" w:space="0" w:color="E4DED3"/>
              <w:left w:val="single" w:sz="4" w:space="0" w:color="E4DED3"/>
              <w:bottom w:val="single" w:sz="4" w:space="0" w:color="E4DED3"/>
              <w:right w:val="single" w:sz="4" w:space="0" w:color="E4DED3"/>
            </w:tcBorders>
          </w:tcPr>
          <w:p>
            <w:r>
              <w:rPr>
                <w:sz w:val="18"/>
              </w:rPr>
              <w:t>Amazon RDS for PostgreSQL</w:t>
            </w:r>
          </w:p>
        </w:tc>
      </w:tr>
      <w:tr>
        <w:tc>
          <w:tcPr>
            <w:tcW w:type="dxa" w:w="3118"/>
            <w:tcBorders>
              <w:top w:val="single" w:sz="4" w:space="0" w:color="E4DED3"/>
              <w:left w:val="single" w:sz="4" w:space="0" w:color="E4DED3"/>
              <w:bottom w:val="single" w:sz="4" w:space="0" w:color="E4DED3"/>
              <w:right w:val="single" w:sz="4" w:space="0" w:color="E4DED3"/>
            </w:tcBorders>
          </w:tcPr>
          <w:p>
            <w:r>
              <w:rPr>
                <w:b/>
                <w:sz w:val="18"/>
              </w:rPr>
              <w:t>Instance class</w:t>
            </w:r>
          </w:p>
        </w:tc>
        <w:tc>
          <w:tcPr>
            <w:tcW w:type="dxa" w:w="6236"/>
            <w:tcBorders>
              <w:top w:val="single" w:sz="4" w:space="0" w:color="E4DED3"/>
              <w:left w:val="single" w:sz="4" w:space="0" w:color="E4DED3"/>
              <w:bottom w:val="single" w:sz="4" w:space="0" w:color="E4DED3"/>
              <w:right w:val="single" w:sz="4" w:space="0" w:color="E4DED3"/>
            </w:tcBorders>
          </w:tcPr>
          <w:p>
            <w:r>
              <w:rPr>
                <w:sz w:val="18"/>
              </w:rPr>
              <w:t>db.t3.micro / db.t3.small</w:t>
            </w:r>
          </w:p>
        </w:tc>
      </w:tr>
      <w:tr>
        <w:tc>
          <w:tcPr>
            <w:tcW w:type="dxa" w:w="3118"/>
            <w:tcBorders>
              <w:top w:val="single" w:sz="4" w:space="0" w:color="E4DED3"/>
              <w:left w:val="single" w:sz="4" w:space="0" w:color="E4DED3"/>
              <w:bottom w:val="single" w:sz="4" w:space="0" w:color="E4DED3"/>
              <w:right w:val="single" w:sz="4" w:space="0" w:color="E4DED3"/>
            </w:tcBorders>
          </w:tcPr>
          <w:p>
            <w:r>
              <w:rPr>
                <w:b/>
                <w:sz w:val="18"/>
              </w:rPr>
              <w:t>Multi-AZ</w:t>
            </w:r>
          </w:p>
        </w:tc>
        <w:tc>
          <w:tcPr>
            <w:tcW w:type="dxa" w:w="6236"/>
            <w:tcBorders>
              <w:top w:val="single" w:sz="4" w:space="0" w:color="E4DED3"/>
              <w:left w:val="single" w:sz="4" w:space="0" w:color="E4DED3"/>
              <w:bottom w:val="single" w:sz="4" w:space="0" w:color="E4DED3"/>
              <w:right w:val="single" w:sz="4" w:space="0" w:color="E4DED3"/>
            </w:tcBorders>
          </w:tcPr>
          <w:p>
            <w:r>
              <w:rPr>
                <w:sz w:val="18"/>
              </w:rPr>
              <w:t>Disabled — no standby instance</w:t>
            </w:r>
          </w:p>
        </w:tc>
      </w:tr>
      <w:tr>
        <w:tc>
          <w:tcPr>
            <w:tcW w:type="dxa" w:w="3118"/>
            <w:tcBorders>
              <w:top w:val="single" w:sz="4" w:space="0" w:color="E4DED3"/>
              <w:left w:val="single" w:sz="4" w:space="0" w:color="E4DED3"/>
              <w:bottom w:val="single" w:sz="4" w:space="0" w:color="E4DED3"/>
              <w:right w:val="single" w:sz="4" w:space="0" w:color="E4DED3"/>
            </w:tcBorders>
          </w:tcPr>
          <w:p>
            <w:r>
              <w:rPr>
                <w:b/>
                <w:sz w:val="18"/>
              </w:rPr>
              <w:t>Storage</w:t>
            </w:r>
          </w:p>
        </w:tc>
        <w:tc>
          <w:tcPr>
            <w:tcW w:type="dxa" w:w="6236"/>
            <w:tcBorders>
              <w:top w:val="single" w:sz="4" w:space="0" w:color="E4DED3"/>
              <w:left w:val="single" w:sz="4" w:space="0" w:color="E4DED3"/>
              <w:bottom w:val="single" w:sz="4" w:space="0" w:color="E4DED3"/>
              <w:right w:val="single" w:sz="4" w:space="0" w:color="E4DED3"/>
            </w:tcBorders>
          </w:tcPr>
          <w:p>
            <w:r>
              <w:rPr>
                <w:sz w:val="18"/>
              </w:rPr>
              <w:t>gp3, 20 GB; encrypted with AWS KMS</w:t>
            </w:r>
          </w:p>
        </w:tc>
      </w:tr>
      <w:tr>
        <w:tc>
          <w:tcPr>
            <w:tcW w:type="dxa" w:w="3118"/>
            <w:tcBorders>
              <w:top w:val="single" w:sz="4" w:space="0" w:color="E4DED3"/>
              <w:left w:val="single" w:sz="4" w:space="0" w:color="E4DED3"/>
              <w:bottom w:val="single" w:sz="4" w:space="0" w:color="E4DED3"/>
              <w:right w:val="single" w:sz="4" w:space="0" w:color="E4DED3"/>
            </w:tcBorders>
          </w:tcPr>
          <w:p>
            <w:r>
              <w:rPr>
                <w:b/>
                <w:sz w:val="18"/>
              </w:rPr>
              <w:t>Placement</w:t>
            </w:r>
          </w:p>
        </w:tc>
        <w:tc>
          <w:tcPr>
            <w:tcW w:type="dxa" w:w="6236"/>
            <w:tcBorders>
              <w:top w:val="single" w:sz="4" w:space="0" w:color="E4DED3"/>
              <w:left w:val="single" w:sz="4" w:space="0" w:color="E4DED3"/>
              <w:bottom w:val="single" w:sz="4" w:space="0" w:color="E4DED3"/>
              <w:right w:val="single" w:sz="4" w:space="0" w:color="E4DED3"/>
            </w:tcBorders>
          </w:tcPr>
          <w:p>
            <w:r>
              <w:rPr>
                <w:sz w:val="18"/>
              </w:rPr>
              <w:t>enrolline-data-a; not publicly accessible</w:t>
            </w:r>
          </w:p>
        </w:tc>
      </w:tr>
      <w:tr>
        <w:tc>
          <w:tcPr>
            <w:tcW w:type="dxa" w:w="3118"/>
            <w:tcBorders>
              <w:top w:val="single" w:sz="4" w:space="0" w:color="E4DED3"/>
              <w:left w:val="single" w:sz="4" w:space="0" w:color="E4DED3"/>
              <w:bottom w:val="single" w:sz="4" w:space="0" w:color="E4DED3"/>
              <w:right w:val="single" w:sz="4" w:space="0" w:color="E4DED3"/>
            </w:tcBorders>
          </w:tcPr>
          <w:p>
            <w:r>
              <w:rPr>
                <w:b/>
                <w:sz w:val="18"/>
              </w:rPr>
              <w:t>Subnet group</w:t>
            </w:r>
          </w:p>
        </w:tc>
        <w:tc>
          <w:tcPr>
            <w:tcW w:type="dxa" w:w="6236"/>
            <w:tcBorders>
              <w:top w:val="single" w:sz="4" w:space="0" w:color="E4DED3"/>
              <w:left w:val="single" w:sz="4" w:space="0" w:color="E4DED3"/>
              <w:bottom w:val="single" w:sz="4" w:space="0" w:color="E4DED3"/>
              <w:right w:val="single" w:sz="4" w:space="0" w:color="E4DED3"/>
            </w:tcBorders>
          </w:tcPr>
          <w:p>
            <w:r>
              <w:rPr>
                <w:sz w:val="18"/>
              </w:rPr>
              <w:t>enrolline-db-subnet-group, spanning both data subnets</w:t>
            </w:r>
          </w:p>
        </w:tc>
      </w:tr>
      <w:tr>
        <w:tc>
          <w:tcPr>
            <w:tcW w:type="dxa" w:w="3118"/>
            <w:tcBorders>
              <w:top w:val="single" w:sz="4" w:space="0" w:color="E4DED3"/>
              <w:left w:val="single" w:sz="4" w:space="0" w:color="E4DED3"/>
              <w:bottom w:val="single" w:sz="4" w:space="0" w:color="E4DED3"/>
              <w:right w:val="single" w:sz="4" w:space="0" w:color="E4DED3"/>
            </w:tcBorders>
          </w:tcPr>
          <w:p>
            <w:r>
              <w:rPr>
                <w:b/>
                <w:sz w:val="18"/>
              </w:rPr>
              <w:t>Backup retention</w:t>
            </w:r>
          </w:p>
        </w:tc>
        <w:tc>
          <w:tcPr>
            <w:tcW w:type="dxa" w:w="6236"/>
            <w:tcBorders>
              <w:top w:val="single" w:sz="4" w:space="0" w:color="E4DED3"/>
              <w:left w:val="single" w:sz="4" w:space="0" w:color="E4DED3"/>
              <w:bottom w:val="single" w:sz="4" w:space="0" w:color="E4DED3"/>
              <w:right w:val="single" w:sz="4" w:space="0" w:color="E4DED3"/>
            </w:tcBorders>
          </w:tcPr>
          <w:p>
            <w:r>
              <w:rPr>
                <w:sz w:val="18"/>
              </w:rPr>
              <w:t>7 days, automated, with transaction logs</w:t>
            </w:r>
          </w:p>
        </w:tc>
      </w:tr>
    </w:tbl>
    <w:p/>
    <w:p>
      <w:pPr>
        <w:pStyle w:val="Heading3"/>
      </w:pPr>
      <w:r>
        <w:t>4.8 Storage — the S3 document store</w:t>
      </w:r>
    </w:p>
    <w:tbl>
      <w:tblPr>
        <w:tblW w:type="auto" w:w="0"/>
        <w:jc w:val="center"/>
        <w:tblLook w:firstColumn="1" w:firstRow="1" w:lastColumn="0" w:lastRow="0" w:noHBand="0" w:noVBand="1" w:val="04A0"/>
      </w:tblPr>
      <w:tblGrid>
        <w:gridCol w:w="4706"/>
        <w:gridCol w:w="4706"/>
      </w:tblGrid>
      <w:tr>
        <w:tc>
          <w:tcPr>
            <w:tcW w:type="dxa" w:w="311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Attribute</w:t>
            </w:r>
          </w:p>
        </w:tc>
        <w:tc>
          <w:tcPr>
            <w:tcW w:type="dxa" w:w="6236"/>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Value</w:t>
            </w:r>
          </w:p>
        </w:tc>
      </w:tr>
      <w:tr>
        <w:tc>
          <w:tcPr>
            <w:tcW w:type="dxa" w:w="3118"/>
            <w:tcBorders>
              <w:top w:val="single" w:sz="4" w:space="0" w:color="E4DED3"/>
              <w:left w:val="single" w:sz="4" w:space="0" w:color="E4DED3"/>
              <w:bottom w:val="single" w:sz="4" w:space="0" w:color="E4DED3"/>
              <w:right w:val="single" w:sz="4" w:space="0" w:color="E4DED3"/>
            </w:tcBorders>
          </w:tcPr>
          <w:p>
            <w:r>
              <w:rPr>
                <w:b/>
                <w:sz w:val="18"/>
              </w:rPr>
              <w:t>Bucket</w:t>
            </w:r>
          </w:p>
        </w:tc>
        <w:tc>
          <w:tcPr>
            <w:tcW w:type="dxa" w:w="6236"/>
            <w:tcBorders>
              <w:top w:val="single" w:sz="4" w:space="0" w:color="E4DED3"/>
              <w:left w:val="single" w:sz="4" w:space="0" w:color="E4DED3"/>
              <w:bottom w:val="single" w:sz="4" w:space="0" w:color="E4DED3"/>
              <w:right w:val="single" w:sz="4" w:space="0" w:color="E4DED3"/>
            </w:tcBorders>
          </w:tcPr>
          <w:p>
            <w:r>
              <w:rPr>
                <w:sz w:val="18"/>
              </w:rPr>
              <w:t>yat-enrolline-documents</w:t>
            </w:r>
          </w:p>
        </w:tc>
      </w:tr>
      <w:tr>
        <w:tc>
          <w:tcPr>
            <w:tcW w:type="dxa" w:w="3118"/>
            <w:tcBorders>
              <w:top w:val="single" w:sz="4" w:space="0" w:color="E4DED3"/>
              <w:left w:val="single" w:sz="4" w:space="0" w:color="E4DED3"/>
              <w:bottom w:val="single" w:sz="4" w:space="0" w:color="E4DED3"/>
              <w:right w:val="single" w:sz="4" w:space="0" w:color="E4DED3"/>
            </w:tcBorders>
          </w:tcPr>
          <w:p>
            <w:r>
              <w:rPr>
                <w:b/>
                <w:sz w:val="18"/>
              </w:rPr>
              <w:t>Contents</w:t>
            </w:r>
          </w:p>
        </w:tc>
        <w:tc>
          <w:tcPr>
            <w:tcW w:type="dxa" w:w="6236"/>
            <w:tcBorders>
              <w:top w:val="single" w:sz="4" w:space="0" w:color="E4DED3"/>
              <w:left w:val="single" w:sz="4" w:space="0" w:color="E4DED3"/>
              <w:bottom w:val="single" w:sz="4" w:space="0" w:color="E4DED3"/>
              <w:right w:val="single" w:sz="4" w:space="0" w:color="E4DED3"/>
            </w:tcBorders>
          </w:tcPr>
          <w:p>
            <w:r>
              <w:rPr>
                <w:sz w:val="18"/>
              </w:rPr>
              <w:t>Scanned ID evidence, prior qualifications, USI evidence, support plans</w:t>
            </w:r>
          </w:p>
        </w:tc>
      </w:tr>
      <w:tr>
        <w:tc>
          <w:tcPr>
            <w:tcW w:type="dxa" w:w="3118"/>
            <w:tcBorders>
              <w:top w:val="single" w:sz="4" w:space="0" w:color="E4DED3"/>
              <w:left w:val="single" w:sz="4" w:space="0" w:color="E4DED3"/>
              <w:bottom w:val="single" w:sz="4" w:space="0" w:color="E4DED3"/>
              <w:right w:val="single" w:sz="4" w:space="0" w:color="E4DED3"/>
            </w:tcBorders>
          </w:tcPr>
          <w:p>
            <w:r>
              <w:rPr>
                <w:b/>
                <w:sz w:val="18"/>
              </w:rPr>
              <w:t>Versioning</w:t>
            </w:r>
          </w:p>
        </w:tc>
        <w:tc>
          <w:tcPr>
            <w:tcW w:type="dxa" w:w="6236"/>
            <w:tcBorders>
              <w:top w:val="single" w:sz="4" w:space="0" w:color="E4DED3"/>
              <w:left w:val="single" w:sz="4" w:space="0" w:color="E4DED3"/>
              <w:bottom w:val="single" w:sz="4" w:space="0" w:color="E4DED3"/>
              <w:right w:val="single" w:sz="4" w:space="0" w:color="E4DED3"/>
            </w:tcBorders>
          </w:tcPr>
          <w:p>
            <w:r>
              <w:rPr>
                <w:sz w:val="18"/>
              </w:rPr>
              <w:t>Enabled</w:t>
            </w:r>
          </w:p>
        </w:tc>
      </w:tr>
      <w:tr>
        <w:tc>
          <w:tcPr>
            <w:tcW w:type="dxa" w:w="3118"/>
            <w:tcBorders>
              <w:top w:val="single" w:sz="4" w:space="0" w:color="E4DED3"/>
              <w:left w:val="single" w:sz="4" w:space="0" w:color="E4DED3"/>
              <w:bottom w:val="single" w:sz="4" w:space="0" w:color="E4DED3"/>
              <w:right w:val="single" w:sz="4" w:space="0" w:color="E4DED3"/>
            </w:tcBorders>
          </w:tcPr>
          <w:p>
            <w:r>
              <w:rPr>
                <w:b/>
                <w:sz w:val="18"/>
              </w:rPr>
              <w:t>Encryption</w:t>
            </w:r>
          </w:p>
        </w:tc>
        <w:tc>
          <w:tcPr>
            <w:tcW w:type="dxa" w:w="6236"/>
            <w:tcBorders>
              <w:top w:val="single" w:sz="4" w:space="0" w:color="E4DED3"/>
              <w:left w:val="single" w:sz="4" w:space="0" w:color="E4DED3"/>
              <w:bottom w:val="single" w:sz="4" w:space="0" w:color="E4DED3"/>
              <w:right w:val="single" w:sz="4" w:space="0" w:color="E4DED3"/>
            </w:tcBorders>
          </w:tcPr>
          <w:p>
            <w:r>
              <w:rPr>
                <w:sz w:val="18"/>
              </w:rPr>
              <w:t>SSE-S3</w:t>
            </w:r>
          </w:p>
        </w:tc>
      </w:tr>
      <w:tr>
        <w:tc>
          <w:tcPr>
            <w:tcW w:type="dxa" w:w="3118"/>
            <w:tcBorders>
              <w:top w:val="single" w:sz="4" w:space="0" w:color="E4DED3"/>
              <w:left w:val="single" w:sz="4" w:space="0" w:color="E4DED3"/>
              <w:bottom w:val="single" w:sz="4" w:space="0" w:color="E4DED3"/>
              <w:right w:val="single" w:sz="4" w:space="0" w:color="E4DED3"/>
            </w:tcBorders>
          </w:tcPr>
          <w:p>
            <w:r>
              <w:rPr>
                <w:b/>
                <w:sz w:val="18"/>
              </w:rPr>
              <w:t>Storage class</w:t>
            </w:r>
          </w:p>
        </w:tc>
        <w:tc>
          <w:tcPr>
            <w:tcW w:type="dxa" w:w="6236"/>
            <w:tcBorders>
              <w:top w:val="single" w:sz="4" w:space="0" w:color="E4DED3"/>
              <w:left w:val="single" w:sz="4" w:space="0" w:color="E4DED3"/>
              <w:bottom w:val="single" w:sz="4" w:space="0" w:color="E4DED3"/>
              <w:right w:val="single" w:sz="4" w:space="0" w:color="E4DED3"/>
            </w:tcBorders>
          </w:tcPr>
          <w:p>
            <w:r>
              <w:rPr>
                <w:sz w:val="18"/>
              </w:rPr>
              <w:t>S3 Standard for all objects — no lifecycle configuration</w:t>
            </w:r>
          </w:p>
        </w:tc>
      </w:tr>
      <w:tr>
        <w:tc>
          <w:tcPr>
            <w:tcW w:type="dxa" w:w="3118"/>
            <w:tcBorders>
              <w:top w:val="single" w:sz="4" w:space="0" w:color="E4DED3"/>
              <w:left w:val="single" w:sz="4" w:space="0" w:color="E4DED3"/>
              <w:bottom w:val="single" w:sz="4" w:space="0" w:color="E4DED3"/>
              <w:right w:val="single" w:sz="4" w:space="0" w:color="E4DED3"/>
            </w:tcBorders>
          </w:tcPr>
          <w:p>
            <w:r>
              <w:rPr>
                <w:b/>
                <w:sz w:val="18"/>
              </w:rPr>
              <w:t>Public access</w:t>
            </w:r>
          </w:p>
        </w:tc>
        <w:tc>
          <w:tcPr>
            <w:tcW w:type="dxa" w:w="6236"/>
            <w:tcBorders>
              <w:top w:val="single" w:sz="4" w:space="0" w:color="E4DED3"/>
              <w:left w:val="single" w:sz="4" w:space="0" w:color="E4DED3"/>
              <w:bottom w:val="single" w:sz="4" w:space="0" w:color="E4DED3"/>
              <w:right w:val="single" w:sz="4" w:space="0" w:color="E4DED3"/>
            </w:tcBorders>
          </w:tcPr>
          <w:p>
            <w:r>
              <w:rPr>
                <w:sz w:val="18"/>
              </w:rPr>
              <w:t>Blocked at the bucket level</w:t>
            </w:r>
          </w:p>
        </w:tc>
      </w:tr>
      <w:tr>
        <w:tc>
          <w:tcPr>
            <w:tcW w:type="dxa" w:w="3118"/>
            <w:tcBorders>
              <w:top w:val="single" w:sz="4" w:space="0" w:color="E4DED3"/>
              <w:left w:val="single" w:sz="4" w:space="0" w:color="E4DED3"/>
              <w:bottom w:val="single" w:sz="4" w:space="0" w:color="E4DED3"/>
              <w:right w:val="single" w:sz="4" w:space="0" w:color="E4DED3"/>
            </w:tcBorders>
          </w:tcPr>
          <w:p>
            <w:r>
              <w:rPr>
                <w:b/>
                <w:sz w:val="18"/>
              </w:rPr>
              <w:t>Access path</w:t>
            </w:r>
          </w:p>
        </w:tc>
        <w:tc>
          <w:tcPr>
            <w:tcW w:type="dxa" w:w="6236"/>
            <w:tcBorders>
              <w:top w:val="single" w:sz="4" w:space="0" w:color="E4DED3"/>
              <w:left w:val="single" w:sz="4" w:space="0" w:color="E4DED3"/>
              <w:bottom w:val="single" w:sz="4" w:space="0" w:color="E4DED3"/>
              <w:right w:val="single" w:sz="4" w:space="0" w:color="E4DED3"/>
            </w:tcBorders>
          </w:tcPr>
          <w:p>
            <w:r>
              <w:rPr>
                <w:sz w:val="18"/>
              </w:rPr>
              <w:t>Via the NAT Gateway — no S3 VPC endpoint</w:t>
            </w:r>
          </w:p>
        </w:tc>
      </w:tr>
    </w:tbl>
    <w:p/>
    <w:p>
      <w:pPr>
        <w:pStyle w:val="Heading3"/>
      </w:pPr>
      <w:r>
        <w:t>4.9 Security</w:t>
      </w:r>
    </w:p>
    <w:tbl>
      <w:tblPr>
        <w:tblW w:type="auto" w:w="0"/>
        <w:jc w:val="center"/>
        <w:tblLook w:firstColumn="1" w:firstRow="1" w:lastColumn="0" w:lastRow="0" w:noHBand="0" w:noVBand="1" w:val="04A0"/>
      </w:tblPr>
      <w:tblGrid>
        <w:gridCol w:w="4706"/>
        <w:gridCol w:w="4706"/>
      </w:tblGrid>
      <w:tr>
        <w:tc>
          <w:tcPr>
            <w:tcW w:type="dxa" w:w="311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Security group</w:t>
            </w:r>
          </w:p>
        </w:tc>
        <w:tc>
          <w:tcPr>
            <w:tcW w:type="dxa" w:w="6236"/>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Inbound</w:t>
            </w:r>
          </w:p>
        </w:tc>
      </w:tr>
      <w:tr>
        <w:tc>
          <w:tcPr>
            <w:tcW w:type="dxa" w:w="3118"/>
            <w:tcBorders>
              <w:top w:val="single" w:sz="4" w:space="0" w:color="E4DED3"/>
              <w:left w:val="single" w:sz="4" w:space="0" w:color="E4DED3"/>
              <w:bottom w:val="single" w:sz="4" w:space="0" w:color="E4DED3"/>
              <w:right w:val="single" w:sz="4" w:space="0" w:color="E4DED3"/>
            </w:tcBorders>
          </w:tcPr>
          <w:p>
            <w:r>
              <w:rPr>
                <w:b/>
                <w:sz w:val="18"/>
              </w:rPr>
              <w:t>enrolline-alb-sg</w:t>
            </w:r>
          </w:p>
        </w:tc>
        <w:tc>
          <w:tcPr>
            <w:tcW w:type="dxa" w:w="6236"/>
            <w:tcBorders>
              <w:top w:val="single" w:sz="4" w:space="0" w:color="E4DED3"/>
              <w:left w:val="single" w:sz="4" w:space="0" w:color="E4DED3"/>
              <w:bottom w:val="single" w:sz="4" w:space="0" w:color="E4DED3"/>
              <w:right w:val="single" w:sz="4" w:space="0" w:color="E4DED3"/>
            </w:tcBorders>
          </w:tcPr>
          <w:p>
            <w:r>
              <w:rPr>
                <w:sz w:val="18"/>
              </w:rPr>
              <w:t>HTTP:80 from 0.0.0.0/0</w:t>
            </w:r>
          </w:p>
        </w:tc>
      </w:tr>
      <w:tr>
        <w:tc>
          <w:tcPr>
            <w:tcW w:type="dxa" w:w="3118"/>
            <w:tcBorders>
              <w:top w:val="single" w:sz="4" w:space="0" w:color="E4DED3"/>
              <w:left w:val="single" w:sz="4" w:space="0" w:color="E4DED3"/>
              <w:bottom w:val="single" w:sz="4" w:space="0" w:color="E4DED3"/>
              <w:right w:val="single" w:sz="4" w:space="0" w:color="E4DED3"/>
            </w:tcBorders>
          </w:tcPr>
          <w:p>
            <w:r>
              <w:rPr>
                <w:b/>
                <w:sz w:val="18"/>
              </w:rPr>
              <w:t>enrolline-app-sg</w:t>
            </w:r>
          </w:p>
        </w:tc>
        <w:tc>
          <w:tcPr>
            <w:tcW w:type="dxa" w:w="6236"/>
            <w:tcBorders>
              <w:top w:val="single" w:sz="4" w:space="0" w:color="E4DED3"/>
              <w:left w:val="single" w:sz="4" w:space="0" w:color="E4DED3"/>
              <w:bottom w:val="single" w:sz="4" w:space="0" w:color="E4DED3"/>
              <w:right w:val="single" w:sz="4" w:space="0" w:color="E4DED3"/>
            </w:tcBorders>
          </w:tcPr>
          <w:p>
            <w:r>
              <w:rPr>
                <w:sz w:val="18"/>
              </w:rPr>
              <w:t>HTTP:80 from enrolline-alb-sg only</w:t>
            </w:r>
          </w:p>
        </w:tc>
      </w:tr>
      <w:tr>
        <w:tc>
          <w:tcPr>
            <w:tcW w:type="dxa" w:w="3118"/>
            <w:tcBorders>
              <w:top w:val="single" w:sz="4" w:space="0" w:color="E4DED3"/>
              <w:left w:val="single" w:sz="4" w:space="0" w:color="E4DED3"/>
              <w:bottom w:val="single" w:sz="4" w:space="0" w:color="E4DED3"/>
              <w:right w:val="single" w:sz="4" w:space="0" w:color="E4DED3"/>
            </w:tcBorders>
          </w:tcPr>
          <w:p>
            <w:r>
              <w:rPr>
                <w:b/>
                <w:sz w:val="18"/>
              </w:rPr>
              <w:t>enrolline-db-sg</w:t>
            </w:r>
          </w:p>
        </w:tc>
        <w:tc>
          <w:tcPr>
            <w:tcW w:type="dxa" w:w="6236"/>
            <w:tcBorders>
              <w:top w:val="single" w:sz="4" w:space="0" w:color="E4DED3"/>
              <w:left w:val="single" w:sz="4" w:space="0" w:color="E4DED3"/>
              <w:bottom w:val="single" w:sz="4" w:space="0" w:color="E4DED3"/>
              <w:right w:val="single" w:sz="4" w:space="0" w:color="E4DED3"/>
            </w:tcBorders>
          </w:tcPr>
          <w:p>
            <w:r>
              <w:rPr>
                <w:sz w:val="18"/>
              </w:rPr>
              <w:t>PostgreSQL:5432 from enrolline-app-sg only</w:t>
            </w:r>
          </w:p>
        </w:tc>
      </w:tr>
    </w:tbl>
    <w:p/>
    <w:p>
      <w:r>
        <w:rPr>
          <w:sz w:val="21"/>
        </w:rPr>
        <w:t>Encryption at rest is enabled on the database and the document store. No VPC flow logs, load-balancer access logs, or S3 access logging are configured at this baseline.</w:t>
      </w:r>
    </w:p>
    <w:p>
      <w:pPr>
        <w:pStyle w:val="Heading3"/>
      </w:pPr>
      <w:r>
        <w:t>4.10 Monitoring (baseline)</w:t>
      </w:r>
    </w:p>
    <w:p>
      <w:pPr>
        <w:pStyle w:val="ListBullet"/>
      </w:pPr>
      <w:r>
        <w:rPr>
          <w:sz w:val="21"/>
        </w:rPr>
        <w:t>enrolline-unhealthy-hosts — any unhealthy target behind the load balancer.</w:t>
      </w:r>
    </w:p>
    <w:p>
      <w:pPr>
        <w:pStyle w:val="ListBullet"/>
      </w:pPr>
      <w:r>
        <w:rPr>
          <w:sz w:val="21"/>
        </w:rPr>
        <w:t>enrolline-db-storage-low — free database storage below 15% of allocation.</w:t>
      </w:r>
    </w:p>
    <w:p>
      <w:pPr>
        <w:pStyle w:val="Heading3"/>
      </w:pPr>
      <w:r>
        <w:t>4.11 Naming and tagging conventions</w:t>
      </w:r>
    </w:p>
    <w:p>
      <w:r>
        <w:rPr>
          <w:sz w:val="21"/>
        </w:rPr>
        <w:t>All resources are prefixed enrolline- and tagged System=Enrolline, Environment=Production, Owner=YAT-ICT.</w:t>
      </w:r>
    </w:p>
    <w:p>
      <w:pPr>
        <w:pStyle w:val="Heading3"/>
      </w:pPr>
      <w:r>
        <w:t>4.12 Backup</w:t>
      </w:r>
    </w:p>
    <w:p>
      <w:pPr>
        <w:pStyle w:val="ListBullet"/>
      </w:pPr>
      <w:r>
        <w:rPr>
          <w:sz w:val="21"/>
        </w:rPr>
        <w:t>Database: RDS automated daily backups, 7-day retention, plus transaction logs.</w:t>
      </w:r>
    </w:p>
    <w:p>
      <w:pPr>
        <w:pStyle w:val="ListBullet"/>
      </w:pPr>
      <w:r>
        <w:rPr>
          <w:sz w:val="21"/>
        </w:rPr>
        <w:t>Documents: S3 versioning. No cross-Region copy.</w:t>
      </w:r>
    </w:p>
    <w:p>
      <w:pPr>
        <w:pStyle w:val="Heading3"/>
      </w:pPr>
      <w:r>
        <w:t>4.13 Recovery objectives — baseline state</w:t>
      </w:r>
    </w:p>
    <w:p>
      <w:r>
        <w:rPr>
          <w:sz w:val="21"/>
        </w:rPr>
        <w:t>The two-hour recovery-time objective is **not reliably met** by this baseline. Recovering a failed single-AZ database depends on point-in-time restore, which does not complete inside two hours at this data volume. This is a known limitation of the foundation build, recorded here rather than resolved.</w:t>
      </w:r>
    </w:p>
    <w:p>
      <w:pPr>
        <w:pStyle w:val="Heading3"/>
      </w:pPr>
      <w:r>
        <w:t>4.14 Single points of failure</w:t>
      </w:r>
    </w:p>
    <w:p>
      <w:pPr>
        <w:pStyle w:val="ListBullet"/>
      </w:pPr>
      <w:r>
        <w:rPr>
          <w:sz w:val="21"/>
        </w:rPr>
        <w:t>RDS database — single instance, one Availability Zone, no standby.</w:t>
      </w:r>
    </w:p>
    <w:p>
      <w:pPr>
        <w:pStyle w:val="ListBullet"/>
      </w:pPr>
      <w:r>
        <w:rPr>
          <w:sz w:val="21"/>
        </w:rPr>
        <w:t>EC2 application — all capacity in enrolline-app-a, with no second-zone application subnet to expand into.</w:t>
      </w:r>
    </w:p>
    <w:p>
      <w:pPr>
        <w:pStyle w:val="ListBullet"/>
      </w:pPr>
      <w:r>
        <w:rPr>
          <w:sz w:val="21"/>
        </w:rPr>
        <w:t>NAT Gateway — single, in enrolline-public-a. Its loss also removes S3 document access and USI verification.</w:t>
      </w:r>
    </w:p>
    <w:p>
      <w:pPr>
        <w:pStyle w:val="Heading3"/>
      </w:pPr>
      <w:r>
        <w:t>4.15 Configuration decisions left to the implementer</w:t>
      </w:r>
    </w:p>
    <w:p>
      <w:pPr>
        <w:pStyle w:val="ListBullet"/>
      </w:pPr>
      <w:r>
        <w:rPr>
          <w:sz w:val="21"/>
        </w:rPr>
        <w:t>Instance and database class within the stated families, on the documented load profile.</w:t>
      </w:r>
    </w:p>
    <w:p>
      <w:pPr>
        <w:pStyle w:val="ListBullet"/>
      </w:pPr>
      <w:r>
        <w:rPr>
          <w:sz w:val="21"/>
        </w:rPr>
        <w:t>CloudWatch alarm thresholds beyond the two baseline alarms.</w:t>
      </w:r>
    </w:p>
    <w:p>
      <w:pPr>
        <w:pStyle w:val="ListBullet"/>
      </w:pPr>
      <w:r>
        <w:rPr>
          <w:sz w:val="21"/>
        </w:rPr>
        <w:t>Tag values beyond the three mandatory keys.</w:t>
      </w:r>
    </w:p>
    <w:p>
      <w:pPr>
        <w:pStyle w:val="Heading1"/>
      </w:pPr>
      <w:r>
        <w:t>5. Implementation Sequencing</w:t>
      </w:r>
    </w:p>
    <w:p>
      <w:pPr>
        <w:pStyle w:val="ListBullet"/>
      </w:pPr>
      <w:r>
        <w:rPr>
          <w:sz w:val="21"/>
        </w:rPr>
        <w:t>Network — VPC, subnets, gateways, routing, security groups.</w:t>
      </w:r>
    </w:p>
    <w:p>
      <w:pPr>
        <w:pStyle w:val="ListBullet"/>
      </w:pPr>
      <w:r>
        <w:rPr>
          <w:sz w:val="21"/>
        </w:rPr>
        <w:t>Storage — the S3 document store and its bucket policy.</w:t>
      </w:r>
    </w:p>
    <w:p>
      <w:pPr>
        <w:pStyle w:val="ListBullet"/>
      </w:pPr>
      <w:r>
        <w:rPr>
          <w:sz w:val="21"/>
        </w:rPr>
        <w:t>Database — subnet group, parameter group, RDS instance.</w:t>
      </w:r>
    </w:p>
    <w:p>
      <w:pPr>
        <w:pStyle w:val="ListBullet"/>
      </w:pPr>
      <w:r>
        <w:rPr>
          <w:sz w:val="21"/>
        </w:rPr>
        <w:t>Compute — launch template, Auto Scaling group, target group, load balancer.</w:t>
      </w:r>
    </w:p>
    <w:p>
      <w:pPr>
        <w:pStyle w:val="ListBullet"/>
      </w:pPr>
      <w:r>
        <w:rPr>
          <w:sz w:val="21"/>
        </w:rPr>
        <w:t>Monitoring — the two baseline alarms.</w:t>
      </w:r>
    </w:p>
    <w:p>
      <w:pPr>
        <w:pStyle w:val="Heading1"/>
      </w:pPr>
      <w:r>
        <w:t>6. Verification Plan</w:t>
      </w:r>
    </w:p>
    <w:p>
      <w:pPr>
        <w:pStyle w:val="ListBullet"/>
      </w:pPr>
      <w:r>
        <w:rPr>
          <w:sz w:val="21"/>
        </w:rPr>
        <w:t>The load balancer reports a healthy target and serves the application endpoint.</w:t>
      </w:r>
    </w:p>
    <w:p>
      <w:pPr>
        <w:pStyle w:val="ListBullet"/>
      </w:pPr>
      <w:r>
        <w:rPr>
          <w:sz w:val="21"/>
        </w:rPr>
        <w:t>The application tier can read and write the document store.</w:t>
      </w:r>
    </w:p>
    <w:p>
      <w:pPr>
        <w:pStyle w:val="ListBullet"/>
      </w:pPr>
      <w:r>
        <w:rPr>
          <w:sz w:val="21"/>
        </w:rPr>
        <w:t>The database is reachable from the application tier and from nowhere else.</w:t>
      </w:r>
    </w:p>
    <w:p>
      <w:pPr>
        <w:pStyle w:val="ListBullet"/>
      </w:pPr>
      <w:r>
        <w:rPr>
          <w:sz w:val="21"/>
        </w:rPr>
        <w:t>Both baseline alarms exist and are in an OK state.</w:t>
      </w:r>
    </w:p>
    <w:p>
      <w:pPr>
        <w:pStyle w:val="Heading1"/>
      </w:pPr>
      <w:r>
        <w:t>7. References</w:t>
      </w:r>
    </w:p>
    <w:p>
      <w:pPr>
        <w:pStyle w:val="ListBullet"/>
      </w:pPr>
      <w:r>
        <w:rPr>
          <w:sz w:val="21"/>
        </w:rPr>
        <w:t>Enrolline Application Specification (YAT ICT records)</w:t>
      </w:r>
    </w:p>
    <w:p>
      <w:pPr>
        <w:pStyle w:val="ListBullet"/>
      </w:pPr>
      <w:r>
        <w:rPr>
          <w:sz w:val="21"/>
        </w:rPr>
        <w:t>Enrolline Infrastructure Specifications (YAT ICT records)</w:t>
      </w:r>
    </w:p>
    <w:p>
      <w:pPr>
        <w:pStyle w:val="ListBullet"/>
      </w:pPr>
      <w:r>
        <w:rPr>
          <w:sz w:val="21"/>
        </w:rPr>
        <w:t>Enrolline Network Diagram (YAT ICT records)</w:t>
      </w:r>
    </w:p>
    <w:p>
      <w:pPr>
        <w:pStyle w:val="ListBullet"/>
      </w:pPr>
      <w:r>
        <w:rPr>
          <w:sz w:val="21"/>
        </w:rPr>
        <w:t>Enrolline Operational Costing (YAT ICT records)</w:t>
      </w:r>
    </w:p>
    <w:p>
      <w:pPr>
        <w:pStyle w:val="ListBullet"/>
      </w:pPr>
      <w:r>
        <w:rPr>
          <w:sz w:val="21"/>
        </w:rPr>
        <w:t>Backup and Retention Policy; Change Management Procedure; Privacy / Data Handling Policy (intranet)</w:t>
      </w:r>
    </w:p>
    <w:p>
      <w:pPr>
        <w:pStyle w:val="Heading1"/>
      </w:pPr>
      <w:r>
        <w:t>Document control</w:t>
      </w:r>
    </w:p>
    <w:tbl>
      <w:tblPr>
        <w:tblW w:type="auto" w:w="0"/>
        <w:jc w:val="center"/>
        <w:tblLook w:firstColumn="1" w:firstRow="1" w:lastColumn="0" w:lastRow="0" w:noHBand="0" w:noVBand="1" w:val="04A0"/>
      </w:tblPr>
      <w:tblGrid>
        <w:gridCol w:w="4706"/>
        <w:gridCol w:w="4706"/>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Field</w:t>
            </w:r>
          </w:p>
        </w:tc>
        <w:tc>
          <w:tcPr>
            <w:tcW w:type="dxa" w:w="652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Value</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Document owner</w:t>
            </w:r>
          </w:p>
        </w:tc>
        <w:tc>
          <w:tcPr>
            <w:tcW w:type="dxa" w:w="6520"/>
            <w:tcBorders>
              <w:top w:val="single" w:sz="4" w:space="0" w:color="E4DED3"/>
              <w:left w:val="single" w:sz="4" w:space="0" w:color="E4DED3"/>
              <w:bottom w:val="single" w:sz="4" w:space="0" w:color="E4DED3"/>
              <w:right w:val="single" w:sz="4" w:space="0" w:color="E4DED3"/>
            </w:tcBorders>
          </w:tcPr>
          <w:p>
            <w:r>
              <w:rPr>
                <w:sz w:val="18"/>
              </w:rPr>
              <w:t>Pat Lin, MTS Senior Consultant</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Business owner</w:t>
            </w:r>
          </w:p>
        </w:tc>
        <w:tc>
          <w:tcPr>
            <w:tcW w:type="dxa" w:w="6520"/>
            <w:tcBorders>
              <w:top w:val="single" w:sz="4" w:space="0" w:color="E4DED3"/>
              <w:left w:val="single" w:sz="4" w:space="0" w:color="E4DED3"/>
              <w:bottom w:val="single" w:sz="4" w:space="0" w:color="E4DED3"/>
              <w:right w:val="single" w:sz="4" w:space="0" w:color="E4DED3"/>
            </w:tcBorders>
          </w:tcPr>
          <w:p>
            <w:r>
              <w:rPr>
                <w:sz w:val="18"/>
              </w:rPr>
              <w:t>Jess Tran, YAT Registrar</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Version</w:t>
            </w:r>
          </w:p>
        </w:tc>
        <w:tc>
          <w:tcPr>
            <w:tcW w:type="dxa" w:w="6520"/>
            <w:tcBorders>
              <w:top w:val="single" w:sz="4" w:space="0" w:color="E4DED3"/>
              <w:left w:val="single" w:sz="4" w:space="0" w:color="E4DED3"/>
              <w:bottom w:val="single" w:sz="4" w:space="0" w:color="E4DED3"/>
              <w:right w:val="single" w:sz="4" w:space="0" w:color="E4DED3"/>
            </w:tcBorders>
          </w:tcPr>
          <w:p>
            <w:r>
              <w:rPr>
                <w:sz w:val="18"/>
              </w:rPr>
              <w:t>v1.0 — as built</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Approved by</w:t>
            </w:r>
          </w:p>
        </w:tc>
        <w:tc>
          <w:tcPr>
            <w:tcW w:type="dxa" w:w="6520"/>
            <w:tcBorders>
              <w:top w:val="single" w:sz="4" w:space="0" w:color="E4DED3"/>
              <w:left w:val="single" w:sz="4" w:space="0" w:color="E4DED3"/>
              <w:bottom w:val="single" w:sz="4" w:space="0" w:color="E4DED3"/>
              <w:right w:val="single" w:sz="4" w:space="0" w:color="E4DED3"/>
            </w:tcBorders>
          </w:tcPr>
          <w:p>
            <w:r>
              <w:rPr>
                <w:sz w:val="18"/>
              </w:rPr>
              <w:t>Pat Lin (MTS Senior Consultant) · Sam Walker (YAT ICT Manager)</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Review cycle</w:t>
            </w:r>
          </w:p>
        </w:tc>
        <w:tc>
          <w:tcPr>
            <w:tcW w:type="dxa" w:w="6520"/>
            <w:tcBorders>
              <w:top w:val="single" w:sz="4" w:space="0" w:color="E4DED3"/>
              <w:left w:val="single" w:sz="4" w:space="0" w:color="E4DED3"/>
              <w:bottom w:val="single" w:sz="4" w:space="0" w:color="E4DED3"/>
              <w:right w:val="single" w:sz="4" w:space="0" w:color="E4DED3"/>
            </w:tcBorders>
          </w:tcPr>
          <w:p>
            <w:r>
              <w:rPr>
                <w:sz w:val="18"/>
              </w:rPr>
              <w:t>On material change to the architecture or its operating profile</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Classification</w:t>
            </w:r>
          </w:p>
        </w:tc>
        <w:tc>
          <w:tcPr>
            <w:tcW w:type="dxa" w:w="6520"/>
            <w:tcBorders>
              <w:top w:val="single" w:sz="4" w:space="0" w:color="E4DED3"/>
              <w:left w:val="single" w:sz="4" w:space="0" w:color="E4DED3"/>
              <w:bottom w:val="single" w:sz="4" w:space="0" w:color="E4DED3"/>
              <w:right w:val="single" w:sz="4" w:space="0" w:color="E4DED3"/>
            </w:tcBorders>
          </w:tcPr>
          <w:p>
            <w:r>
              <w:rPr>
                <w:sz w:val="18"/>
              </w:rPr>
              <w:t>Internal — YAT ICT, Student Administration, Compliance, and MTS personnel on signed MSA</w:t>
            </w:r>
          </w:p>
        </w:tc>
      </w:tr>
    </w:tbl>
    <w:p/>
    <w:sectPr w:rsidR="00FC693F" w:rsidRPr="0006063C" w:rsidSect="00034616">
      <w:headerReference w:type="default" r:id="rId13"/>
      <w:footerReference w:type="default" r:id="rId14"/>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ource Sans 3" w:hAnsi="Source Sans 3" w:eastAsia="Source Sans 3"/>
      <w:color w:val="1F23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3" w:hAnsi="Source Sans 3" w:eastAsia="Source Sans 3"/>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3" w:hAnsi="Source Sans 3" w:eastAsia="Source Sans 3"/>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ans 3" w:hAnsi="Source Sans 3" w:eastAsia="Source Sans 3"/>
      <w:b/>
      <w:bCs/>
      <w:color w:val="1F23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3" w:hAnsi="Source Sans 3" w:eastAsia="Source Sans 3"/>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